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A0" w:rsidRDefault="003B3AA0" w:rsidP="003B3AA0">
      <w:pPr>
        <w:spacing w:after="0"/>
        <w:jc w:val="center"/>
      </w:pPr>
      <w:r>
        <w:t xml:space="preserve">The 100 words you need to now for the </w:t>
      </w:r>
    </w:p>
    <w:p w:rsidR="003B3AA0" w:rsidRDefault="003B3AA0" w:rsidP="003B3AA0">
      <w:pPr>
        <w:spacing w:after="0"/>
        <w:jc w:val="center"/>
      </w:pPr>
      <w:proofErr w:type="gramStart"/>
      <w:r>
        <w:t>US Government and Politics exam.</w:t>
      </w:r>
      <w:proofErr w:type="gramEnd"/>
    </w:p>
    <w:p w:rsidR="003B3AA0" w:rsidRDefault="003B3AA0" w:rsidP="003B3AA0">
      <w:pPr>
        <w:spacing w:after="0"/>
      </w:pP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Federalism – Dual, Cooperative, Creative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Pluralism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Incorporation Doctrine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14</w:t>
      </w:r>
      <w:r w:rsidRPr="003B3AA0">
        <w:rPr>
          <w:vertAlign w:val="superscript"/>
        </w:rPr>
        <w:t>th</w:t>
      </w:r>
      <w:r>
        <w:t xml:space="preserve"> Amendment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Commerce Clause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Straight ticket voting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Primary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Hard money v. Soft money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Bipartisan Campaign Reform Act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PAC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Special Interest Groups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527</w:t>
      </w:r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Party realignment/</w:t>
      </w:r>
      <w:proofErr w:type="spellStart"/>
      <w:r>
        <w:t>dealignment</w:t>
      </w:r>
      <w:proofErr w:type="spellEnd"/>
    </w:p>
    <w:p w:rsidR="003B3AA0" w:rsidRDefault="003B3AA0" w:rsidP="003B3AA0">
      <w:pPr>
        <w:pStyle w:val="ListParagraph"/>
        <w:numPr>
          <w:ilvl w:val="0"/>
          <w:numId w:val="1"/>
        </w:numPr>
        <w:spacing w:after="0"/>
      </w:pPr>
      <w:r>
        <w:t>Political efficacy</w:t>
      </w:r>
    </w:p>
    <w:p w:rsidR="00F1431D" w:rsidRDefault="003B3AA0" w:rsidP="003B3AA0">
      <w:pPr>
        <w:pStyle w:val="ListParagraph"/>
        <w:numPr>
          <w:ilvl w:val="0"/>
          <w:numId w:val="1"/>
        </w:numPr>
        <w:spacing w:after="0"/>
      </w:pPr>
      <w:r>
        <w:t>Divided government</w:t>
      </w:r>
    </w:p>
    <w:p w:rsidR="00F1431D" w:rsidRDefault="00F1431D" w:rsidP="003B3AA0">
      <w:pPr>
        <w:pStyle w:val="ListParagraph"/>
        <w:numPr>
          <w:ilvl w:val="0"/>
          <w:numId w:val="1"/>
        </w:numPr>
        <w:spacing w:after="0"/>
      </w:pPr>
      <w:r>
        <w:t>Party dominance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Unitary system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proofErr w:type="spellStart"/>
      <w:r>
        <w:t>Confederal</w:t>
      </w:r>
      <w:proofErr w:type="spellEnd"/>
      <w:r>
        <w:t xml:space="preserve"> system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Devolution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Block and Categorical grants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Unfunded Mandates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Necessary and Proper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Civil Rights Act 1964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Supremacy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Reserved Powers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Electoral College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Federalist 10 and 51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Judicial Review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Formal v. Informal Amendment Process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Executive Orders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Executive Privilege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Executive Agreements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 xml:space="preserve">Republic 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Direct democracy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Rule of Law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Alexis de Tocqueville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Jim Crow laws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Voting Rights Act of 1965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Plessey v. Ferguson – Brown v. Board 1954</w:t>
      </w:r>
    </w:p>
    <w:p w:rsidR="00A87C2E" w:rsidRDefault="00A87C2E" w:rsidP="003B3AA0">
      <w:pPr>
        <w:pStyle w:val="ListParagraph"/>
        <w:numPr>
          <w:ilvl w:val="0"/>
          <w:numId w:val="1"/>
        </w:numPr>
        <w:spacing w:after="0"/>
      </w:pPr>
      <w:r>
        <w:t>Linkage Institutions</w:t>
      </w:r>
    </w:p>
    <w:p w:rsidR="00E8273C" w:rsidRDefault="00E8273C" w:rsidP="003B3AA0">
      <w:pPr>
        <w:pStyle w:val="ListParagraph"/>
        <w:numPr>
          <w:ilvl w:val="0"/>
          <w:numId w:val="1"/>
        </w:numPr>
        <w:spacing w:after="0"/>
      </w:pPr>
      <w:r>
        <w:t>Winner take all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Power Elite v. Pluralist theory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Revolving Door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lastRenderedPageBreak/>
        <w:t>Gridlock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Grassroots organization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Litigation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Electioneering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Bi cameral legislature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Strict constructionist v. Loose interpretation</w:t>
      </w:r>
    </w:p>
    <w:p w:rsidR="0070017B" w:rsidRDefault="0070017B" w:rsidP="003B3AA0">
      <w:pPr>
        <w:pStyle w:val="ListParagraph"/>
        <w:numPr>
          <w:ilvl w:val="0"/>
          <w:numId w:val="1"/>
        </w:numPr>
        <w:spacing w:after="0"/>
      </w:pPr>
      <w:r>
        <w:t>14</w:t>
      </w:r>
      <w:r w:rsidRPr="0070017B">
        <w:rPr>
          <w:vertAlign w:val="superscript"/>
        </w:rPr>
        <w:t>th</w:t>
      </w:r>
      <w:r>
        <w:t xml:space="preserve"> Amendment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Revenue Bill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Impeachment Process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Congressional Oversight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Speaker of the House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Senate Majority Leader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Chief Justice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Resolutions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Congressional Committees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Mark up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Open v. Closed rule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Incumbency advantage</w:t>
      </w:r>
    </w:p>
    <w:p w:rsidR="0056451A" w:rsidRDefault="0056451A" w:rsidP="003B3AA0">
      <w:pPr>
        <w:pStyle w:val="ListParagraph"/>
        <w:numPr>
          <w:ilvl w:val="0"/>
          <w:numId w:val="1"/>
        </w:numPr>
        <w:spacing w:after="0"/>
      </w:pPr>
      <w:r>
        <w:t>Redistricting/</w:t>
      </w:r>
      <w:proofErr w:type="spellStart"/>
      <w:r>
        <w:t>malapportionment</w:t>
      </w:r>
      <w:proofErr w:type="spellEnd"/>
    </w:p>
    <w:p w:rsidR="00803233" w:rsidRDefault="00803233" w:rsidP="003B3AA0">
      <w:pPr>
        <w:pStyle w:val="ListParagraph"/>
        <w:numPr>
          <w:ilvl w:val="0"/>
          <w:numId w:val="1"/>
        </w:numPr>
        <w:spacing w:after="0"/>
      </w:pPr>
      <w:r>
        <w:t>Gerrymandering</w:t>
      </w:r>
    </w:p>
    <w:p w:rsidR="00803233" w:rsidRDefault="00803233" w:rsidP="003B3AA0">
      <w:pPr>
        <w:pStyle w:val="ListParagraph"/>
        <w:numPr>
          <w:ilvl w:val="0"/>
          <w:numId w:val="1"/>
        </w:numPr>
        <w:spacing w:after="0"/>
      </w:pPr>
      <w:r>
        <w:t>Cloture</w:t>
      </w:r>
    </w:p>
    <w:p w:rsidR="00A50F5A" w:rsidRDefault="00803233" w:rsidP="003B3AA0">
      <w:pPr>
        <w:pStyle w:val="ListParagraph"/>
        <w:numPr>
          <w:ilvl w:val="0"/>
          <w:numId w:val="1"/>
        </w:numPr>
        <w:spacing w:after="0"/>
      </w:pPr>
      <w:r>
        <w:t>Veto/Override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Rule of 4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Writ of certiorari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Majority/dissenting opinion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Bureaucracy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 xml:space="preserve"> Executive Power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Article I, II, III, IV, V, VI, VII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War Powers Resolution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Agenda setting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Line item veto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Presidential signing statements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Cabinet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22</w:t>
      </w:r>
      <w:r w:rsidRPr="00A50F5A">
        <w:rPr>
          <w:vertAlign w:val="superscript"/>
        </w:rPr>
        <w:t>nd</w:t>
      </w:r>
      <w:r>
        <w:t xml:space="preserve"> Amendment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25</w:t>
      </w:r>
      <w:r w:rsidRPr="00A50F5A">
        <w:rPr>
          <w:vertAlign w:val="superscript"/>
        </w:rPr>
        <w:t>th</w:t>
      </w:r>
      <w:r>
        <w:t xml:space="preserve"> Amendment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 xml:space="preserve">Stare </w:t>
      </w:r>
      <w:proofErr w:type="spellStart"/>
      <w:r>
        <w:t>Decisis</w:t>
      </w:r>
      <w:proofErr w:type="spellEnd"/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Judicial Review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proofErr w:type="spellStart"/>
      <w:r>
        <w:t>Marbury</w:t>
      </w:r>
      <w:proofErr w:type="spellEnd"/>
      <w:r>
        <w:t xml:space="preserve"> v. Madison</w:t>
      </w:r>
    </w:p>
    <w:p w:rsidR="00A50F5A" w:rsidRDefault="00A50F5A" w:rsidP="003B3AA0">
      <w:pPr>
        <w:pStyle w:val="ListParagraph"/>
        <w:numPr>
          <w:ilvl w:val="0"/>
          <w:numId w:val="1"/>
        </w:numPr>
        <w:spacing w:after="0"/>
      </w:pPr>
      <w:r>
        <w:t>Gibbons v. Ogden</w:t>
      </w:r>
    </w:p>
    <w:p w:rsidR="00325981" w:rsidRDefault="00325981" w:rsidP="003B3AA0">
      <w:pPr>
        <w:pStyle w:val="ListParagraph"/>
        <w:numPr>
          <w:ilvl w:val="0"/>
          <w:numId w:val="1"/>
        </w:numPr>
        <w:spacing w:after="0"/>
      </w:pPr>
      <w:r>
        <w:t>Dual sovereignty</w:t>
      </w:r>
    </w:p>
    <w:p w:rsidR="00325981" w:rsidRDefault="00325981" w:rsidP="003B3AA0">
      <w:pPr>
        <w:pStyle w:val="ListParagraph"/>
        <w:numPr>
          <w:ilvl w:val="0"/>
          <w:numId w:val="1"/>
        </w:numPr>
        <w:spacing w:after="0"/>
      </w:pPr>
      <w:r>
        <w:t>Senatorial courtesy</w:t>
      </w:r>
    </w:p>
    <w:p w:rsidR="00325981" w:rsidRDefault="00325981" w:rsidP="003B3AA0">
      <w:pPr>
        <w:pStyle w:val="ListParagraph"/>
        <w:numPr>
          <w:ilvl w:val="0"/>
          <w:numId w:val="1"/>
        </w:numPr>
        <w:spacing w:after="0"/>
      </w:pPr>
      <w:r>
        <w:t>Amicus Curiae</w:t>
      </w:r>
    </w:p>
    <w:p w:rsidR="00325981" w:rsidRDefault="00325981" w:rsidP="003B3AA0">
      <w:pPr>
        <w:pStyle w:val="ListParagraph"/>
        <w:numPr>
          <w:ilvl w:val="0"/>
          <w:numId w:val="1"/>
        </w:numPr>
        <w:spacing w:after="0"/>
      </w:pPr>
      <w:r>
        <w:t>Precedence</w:t>
      </w:r>
    </w:p>
    <w:p w:rsidR="00325981" w:rsidRDefault="00325981" w:rsidP="003B3AA0">
      <w:pPr>
        <w:pStyle w:val="ListParagraph"/>
        <w:numPr>
          <w:ilvl w:val="0"/>
          <w:numId w:val="1"/>
        </w:numPr>
        <w:spacing w:after="0"/>
      </w:pPr>
      <w:r>
        <w:t>Original v. Appellate jurisdiction</w:t>
      </w:r>
    </w:p>
    <w:p w:rsidR="00D82F50" w:rsidRDefault="00D82F50" w:rsidP="003B3AA0">
      <w:pPr>
        <w:pStyle w:val="ListParagraph"/>
        <w:numPr>
          <w:ilvl w:val="0"/>
          <w:numId w:val="1"/>
        </w:numPr>
        <w:spacing w:after="0"/>
      </w:pPr>
      <w:r>
        <w:t>District courts</w:t>
      </w:r>
    </w:p>
    <w:p w:rsidR="00D9646E" w:rsidRDefault="00325981" w:rsidP="003B3AA0">
      <w:pPr>
        <w:pStyle w:val="ListParagraph"/>
        <w:numPr>
          <w:ilvl w:val="0"/>
          <w:numId w:val="1"/>
        </w:numPr>
        <w:spacing w:after="0"/>
      </w:pPr>
      <w:r>
        <w:t>Appellate Courts</w:t>
      </w:r>
    </w:p>
    <w:p w:rsidR="00D9646E" w:rsidRDefault="00D9646E" w:rsidP="003B3AA0">
      <w:pPr>
        <w:pStyle w:val="ListParagraph"/>
        <w:numPr>
          <w:ilvl w:val="0"/>
          <w:numId w:val="1"/>
        </w:numPr>
        <w:spacing w:after="0"/>
      </w:pPr>
      <w:r>
        <w:lastRenderedPageBreak/>
        <w:t>Separation of Power</w:t>
      </w:r>
    </w:p>
    <w:p w:rsidR="00D9646E" w:rsidRDefault="00D9646E" w:rsidP="003B3AA0">
      <w:pPr>
        <w:pStyle w:val="ListParagraph"/>
        <w:numPr>
          <w:ilvl w:val="0"/>
          <w:numId w:val="1"/>
        </w:numPr>
        <w:spacing w:after="0"/>
      </w:pPr>
      <w:r>
        <w:t>Check and balance</w:t>
      </w:r>
    </w:p>
    <w:p w:rsidR="00826F67" w:rsidRDefault="00826F67" w:rsidP="003B3AA0">
      <w:pPr>
        <w:pStyle w:val="ListParagraph"/>
        <w:numPr>
          <w:ilvl w:val="0"/>
          <w:numId w:val="1"/>
        </w:numPr>
        <w:spacing w:after="0"/>
      </w:pPr>
      <w:r>
        <w:t>Advice and consent</w:t>
      </w:r>
    </w:p>
    <w:p w:rsidR="007F6648" w:rsidRDefault="00826F67" w:rsidP="003B3AA0">
      <w:pPr>
        <w:pStyle w:val="ListParagraph"/>
        <w:numPr>
          <w:ilvl w:val="0"/>
          <w:numId w:val="1"/>
        </w:numPr>
        <w:spacing w:after="0"/>
      </w:pPr>
      <w:r>
        <w:t>Agenda Setting</w:t>
      </w:r>
    </w:p>
    <w:p w:rsidR="00DD6B27" w:rsidRDefault="00DD6B27" w:rsidP="003B3AA0">
      <w:pPr>
        <w:pStyle w:val="ListParagraph"/>
        <w:numPr>
          <w:ilvl w:val="0"/>
          <w:numId w:val="1"/>
        </w:numPr>
        <w:spacing w:after="0"/>
      </w:pPr>
      <w:r>
        <w:t>Establishment Clause</w:t>
      </w:r>
    </w:p>
    <w:p w:rsidR="00DD6B27" w:rsidRDefault="00DD6B27" w:rsidP="003B3AA0">
      <w:pPr>
        <w:pStyle w:val="ListParagraph"/>
        <w:numPr>
          <w:ilvl w:val="0"/>
          <w:numId w:val="1"/>
        </w:numPr>
        <w:spacing w:after="0"/>
      </w:pPr>
      <w:r>
        <w:t>Free Exercise Clause</w:t>
      </w:r>
    </w:p>
    <w:p w:rsidR="00DD6B27" w:rsidRDefault="00DD6B27" w:rsidP="003B3AA0">
      <w:pPr>
        <w:pStyle w:val="ListParagraph"/>
        <w:numPr>
          <w:ilvl w:val="0"/>
          <w:numId w:val="1"/>
        </w:numPr>
        <w:spacing w:after="0"/>
      </w:pPr>
      <w:r>
        <w:t>Caucus v. Primary (Open and Closed)</w:t>
      </w:r>
    </w:p>
    <w:p w:rsidR="0007299F" w:rsidRDefault="00DD6B27" w:rsidP="003B3AA0">
      <w:pPr>
        <w:pStyle w:val="ListParagraph"/>
        <w:numPr>
          <w:ilvl w:val="0"/>
          <w:numId w:val="1"/>
        </w:numPr>
        <w:spacing w:after="0"/>
      </w:pPr>
      <w:r>
        <w:t>Merit system</w:t>
      </w:r>
    </w:p>
    <w:p w:rsidR="00E8273C" w:rsidRDefault="0007299F" w:rsidP="003B3AA0">
      <w:pPr>
        <w:pStyle w:val="ListParagraph"/>
        <w:numPr>
          <w:ilvl w:val="0"/>
          <w:numId w:val="1"/>
        </w:numPr>
        <w:spacing w:after="0"/>
      </w:pPr>
      <w:r>
        <w:t>Preemption</w:t>
      </w:r>
    </w:p>
    <w:sectPr w:rsidR="00E8273C" w:rsidSect="00E827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6DF4"/>
    <w:multiLevelType w:val="hybridMultilevel"/>
    <w:tmpl w:val="0E50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B3AA0"/>
    <w:rsid w:val="0007299F"/>
    <w:rsid w:val="00166FAF"/>
    <w:rsid w:val="00325981"/>
    <w:rsid w:val="00331B39"/>
    <w:rsid w:val="003B3AA0"/>
    <w:rsid w:val="00491411"/>
    <w:rsid w:val="0056451A"/>
    <w:rsid w:val="0070017B"/>
    <w:rsid w:val="007F6648"/>
    <w:rsid w:val="00803233"/>
    <w:rsid w:val="00826F67"/>
    <w:rsid w:val="00931507"/>
    <w:rsid w:val="00A50F5A"/>
    <w:rsid w:val="00A87C2E"/>
    <w:rsid w:val="00D82F50"/>
    <w:rsid w:val="00D9646E"/>
    <w:rsid w:val="00DC0D7B"/>
    <w:rsid w:val="00DD6B27"/>
    <w:rsid w:val="00E8273C"/>
    <w:rsid w:val="00F1431D"/>
    <w:rsid w:val="00F540D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1654</Characters>
  <Application>Microsoft Office Word</Application>
  <DocSecurity>4</DocSecurity>
  <Lines>13</Lines>
  <Paragraphs>3</Paragraphs>
  <ScaleCrop>false</ScaleCrop>
  <Company>State College Area School District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SCASD</dc:creator>
  <cp:lastModifiedBy>alan.vitale</cp:lastModifiedBy>
  <cp:revision>2</cp:revision>
  <dcterms:created xsi:type="dcterms:W3CDTF">2016-04-21T22:51:00Z</dcterms:created>
  <dcterms:modified xsi:type="dcterms:W3CDTF">2016-04-21T22:51:00Z</dcterms:modified>
</cp:coreProperties>
</file>