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4D" w:rsidRPr="00DE3161" w:rsidRDefault="006A5F4D" w:rsidP="006A5F4D">
      <w:pPr>
        <w:jc w:val="center"/>
        <w:rPr>
          <w:b/>
          <w:sz w:val="28"/>
        </w:rPr>
      </w:pPr>
      <w:r w:rsidRPr="00DE3161">
        <w:rPr>
          <w:b/>
          <w:sz w:val="28"/>
          <w:lang w:val="en"/>
        </w:rPr>
        <w:t>Disciplinary Literacy in the CATE Classroom</w:t>
      </w:r>
    </w:p>
    <w:p w:rsidR="006A5F4D" w:rsidRPr="00DE3161" w:rsidRDefault="006A5F4D" w:rsidP="006A5F4D">
      <w:pPr>
        <w:jc w:val="center"/>
        <w:rPr>
          <w:b/>
          <w:sz w:val="28"/>
        </w:rPr>
      </w:pPr>
      <w:r w:rsidRPr="00DE3161">
        <w:rPr>
          <w:b/>
          <w:sz w:val="28"/>
          <w:lang w:val="en"/>
        </w:rPr>
        <w:t>The What? The Why? The How?</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b/>
          <w:u w:val="single"/>
          <w:lang w:val="en"/>
        </w:rPr>
        <w:t>What</w:t>
      </w:r>
      <w:r w:rsidRPr="006A5F4D">
        <w:rPr>
          <w:b/>
          <w:lang w:val="en"/>
        </w:rPr>
        <w:t>?</w:t>
      </w:r>
      <w:r w:rsidRPr="006A5F4D">
        <w:rPr>
          <w:lang w:val="en"/>
        </w:rPr>
        <w:t xml:space="preserve"> Disciplinary Literacy in a Nutshell</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Focuses on how reading and writing are used in the discipline being studied. It emphasizes the unique tools that the experts in a discipline use to participate in the work of that discipline.</w:t>
      </w:r>
    </w:p>
    <w:p w:rsidR="006A5F4D" w:rsidRDefault="006A5F4D" w:rsidP="00DE3161">
      <w:pPr>
        <w:spacing w:after="0" w:line="240" w:lineRule="auto"/>
        <w:rPr>
          <w:u w:val="single"/>
          <w:lang w:val="en"/>
        </w:rPr>
      </w:pP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b/>
          <w:u w:val="single"/>
          <w:lang w:val="en"/>
        </w:rPr>
        <w:t>Why</w:t>
      </w:r>
      <w:r w:rsidRPr="006A5F4D">
        <w:rPr>
          <w:lang w:val="en"/>
        </w:rPr>
        <w:t xml:space="preserve"> CATE?</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Students typically find their CATE courses to be directly connected to their future goals and are often more willing to engage in reading and writing within the context of their CATE program. Job-specific vocabulary and authentic work situations can inspire students to apply themselves to literacy tasks that lack meaning in other contexts.</w:t>
      </w:r>
    </w:p>
    <w:p w:rsidR="006A5F4D" w:rsidRDefault="006A5F4D" w:rsidP="00DE3161">
      <w:pPr>
        <w:spacing w:after="0" w:line="240" w:lineRule="auto"/>
        <w:rPr>
          <w:u w:val="single"/>
          <w:lang w:val="en"/>
        </w:rPr>
      </w:pP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b/>
          <w:u w:val="single"/>
          <w:lang w:val="en"/>
        </w:rPr>
        <w:t>How</w:t>
      </w:r>
      <w:r w:rsidRPr="006A5F4D">
        <w:rPr>
          <w:b/>
          <w:lang w:val="en"/>
        </w:rPr>
        <w:t>?</w:t>
      </w:r>
      <w:r w:rsidRPr="006A5F4D">
        <w:rPr>
          <w:lang w:val="en"/>
        </w:rPr>
        <w:t xml:space="preserve"> Determining Disciplinary Literacy Strategies for Instructional Delivery</w:t>
      </w:r>
    </w:p>
    <w:p w:rsidR="006A5F4D" w:rsidRPr="006A5F4D" w:rsidRDefault="006A5F4D" w:rsidP="006A5F4D">
      <w:pPr>
        <w:pBdr>
          <w:top w:val="single" w:sz="4" w:space="1" w:color="auto"/>
          <w:left w:val="single" w:sz="4" w:space="4" w:color="auto"/>
          <w:bottom w:val="single" w:sz="4" w:space="1" w:color="auto"/>
          <w:right w:val="single" w:sz="4" w:space="4" w:color="auto"/>
        </w:pBdr>
        <w:rPr>
          <w:lang w:val="en"/>
        </w:rPr>
      </w:pPr>
      <w:r w:rsidRPr="006A5F4D">
        <w:rPr>
          <w:lang w:val="en"/>
        </w:rPr>
        <w:t>What types of reading, writing, speaking and listening will be the focus?</w:t>
      </w:r>
    </w:p>
    <w:tbl>
      <w:tblPr>
        <w:tblpPr w:leftFromText="180" w:rightFromText="180" w:vertAnchor="text" w:horzAnchor="margin" w:tblpY="119"/>
        <w:tblW w:w="10070" w:type="dxa"/>
        <w:tblCellMar>
          <w:left w:w="0" w:type="dxa"/>
          <w:right w:w="0" w:type="dxa"/>
        </w:tblCellMar>
        <w:tblLook w:val="0600" w:firstRow="0" w:lastRow="0" w:firstColumn="0" w:lastColumn="0" w:noHBand="1" w:noVBand="1"/>
      </w:tblPr>
      <w:tblGrid>
        <w:gridCol w:w="4940"/>
        <w:gridCol w:w="5130"/>
      </w:tblGrid>
      <w:tr w:rsidR="006A5F4D" w:rsidRPr="006A5F4D" w:rsidTr="006A5F4D">
        <w:trPr>
          <w:trHeight w:val="526"/>
        </w:trPr>
        <w:tc>
          <w:tcPr>
            <w:tcW w:w="4940" w:type="dxa"/>
            <w:tcBorders>
              <w:top w:val="single" w:sz="8" w:space="0" w:color="000000"/>
              <w:left w:val="single" w:sz="8" w:space="0" w:color="000000"/>
              <w:bottom w:val="single" w:sz="8" w:space="0" w:color="000000"/>
              <w:right w:val="single" w:sz="8" w:space="0" w:color="000000"/>
            </w:tcBorders>
            <w:shd w:val="clear" w:color="auto" w:fill="BFBFBF"/>
            <w:tcMar>
              <w:top w:w="144" w:type="dxa"/>
              <w:left w:w="108" w:type="dxa"/>
              <w:bottom w:w="144" w:type="dxa"/>
              <w:right w:w="108" w:type="dxa"/>
            </w:tcMar>
            <w:hideMark/>
          </w:tcPr>
          <w:p w:rsidR="006A5F4D" w:rsidRPr="006A5F4D" w:rsidRDefault="006A5F4D" w:rsidP="006A5F4D">
            <w:pPr>
              <w:rPr>
                <w:u w:val="single"/>
              </w:rPr>
            </w:pPr>
            <w:r w:rsidRPr="006A5F4D">
              <w:rPr>
                <w:b/>
                <w:bCs/>
                <w:u w:val="single"/>
                <w:lang w:val="en"/>
              </w:rPr>
              <w:t>Types</w:t>
            </w:r>
          </w:p>
        </w:tc>
        <w:tc>
          <w:tcPr>
            <w:tcW w:w="5130" w:type="dxa"/>
            <w:tcBorders>
              <w:top w:val="single" w:sz="8" w:space="0" w:color="000000"/>
              <w:left w:val="single" w:sz="8" w:space="0" w:color="000000"/>
              <w:bottom w:val="single" w:sz="8" w:space="0" w:color="000000"/>
              <w:right w:val="single" w:sz="8" w:space="0" w:color="000000"/>
            </w:tcBorders>
            <w:shd w:val="clear" w:color="auto" w:fill="BFBFBF"/>
            <w:tcMar>
              <w:top w:w="144" w:type="dxa"/>
              <w:left w:w="108" w:type="dxa"/>
              <w:bottom w:w="144" w:type="dxa"/>
              <w:right w:w="108" w:type="dxa"/>
            </w:tcMar>
            <w:hideMark/>
          </w:tcPr>
          <w:p w:rsidR="006A5F4D" w:rsidRPr="006A5F4D" w:rsidRDefault="006A5F4D" w:rsidP="006A5F4D">
            <w:pPr>
              <w:rPr>
                <w:u w:val="single"/>
              </w:rPr>
            </w:pPr>
            <w:r w:rsidRPr="006A5F4D">
              <w:rPr>
                <w:b/>
                <w:bCs/>
                <w:u w:val="single"/>
                <w:lang w:val="en"/>
              </w:rPr>
              <w:t>Examples</w:t>
            </w:r>
          </w:p>
        </w:tc>
      </w:tr>
      <w:tr w:rsidR="006A5F4D" w:rsidRPr="006A5F4D" w:rsidTr="006A5F4D">
        <w:trPr>
          <w:trHeight w:val="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u w:val="single"/>
              </w:rPr>
            </w:pPr>
            <w:r w:rsidRPr="00DE3161">
              <w:rPr>
                <w:b/>
                <w:bCs/>
                <w:sz w:val="20"/>
                <w:szCs w:val="21"/>
                <w:u w:val="single"/>
                <w:lang w:val="en"/>
              </w:rPr>
              <w:t>Authentic Reading and Writing</w:t>
            </w:r>
          </w:p>
          <w:p w:rsidR="006A5F4D" w:rsidRPr="00DE3161" w:rsidRDefault="006A5F4D" w:rsidP="006A5F4D">
            <w:pPr>
              <w:spacing w:after="0"/>
              <w:rPr>
                <w:sz w:val="20"/>
                <w:szCs w:val="21"/>
              </w:rPr>
            </w:pPr>
            <w:r w:rsidRPr="00DE3161">
              <w:rPr>
                <w:sz w:val="20"/>
                <w:szCs w:val="21"/>
                <w:lang w:val="en"/>
              </w:rPr>
              <w:t>Reading and writing a variety of text for “real-world” purposes.  Reading and writing that professionals in the field would use that is meaningful.</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rPr>
            </w:pPr>
            <w:r w:rsidRPr="00DE3161">
              <w:rPr>
                <w:sz w:val="20"/>
                <w:szCs w:val="21"/>
                <w:lang w:val="en"/>
              </w:rPr>
              <w:t xml:space="preserve">Reading industry media publications (magazines, websites, etc.). </w:t>
            </w:r>
            <w:r w:rsidRPr="00DE3161">
              <w:rPr>
                <w:sz w:val="20"/>
                <w:szCs w:val="21"/>
              </w:rPr>
              <w:t xml:space="preserve"> </w:t>
            </w:r>
            <w:r w:rsidRPr="00DE3161">
              <w:rPr>
                <w:sz w:val="20"/>
                <w:szCs w:val="21"/>
                <w:lang w:val="en"/>
              </w:rPr>
              <w:t>Preparing written industry documents (correspondence, sales invoices, repair order, etc.).</w:t>
            </w:r>
          </w:p>
        </w:tc>
      </w:tr>
      <w:tr w:rsidR="006A5F4D" w:rsidRPr="006A5F4D" w:rsidTr="006A5F4D">
        <w:trPr>
          <w:trHeight w:val="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u w:val="single"/>
              </w:rPr>
            </w:pPr>
            <w:r w:rsidRPr="00DE3161">
              <w:rPr>
                <w:b/>
                <w:bCs/>
                <w:sz w:val="20"/>
                <w:szCs w:val="21"/>
                <w:u w:val="single"/>
                <w:lang w:val="en"/>
              </w:rPr>
              <w:t>Technical Reading and Writing</w:t>
            </w:r>
          </w:p>
          <w:p w:rsidR="006A5F4D" w:rsidRPr="00DE3161" w:rsidRDefault="006A5F4D" w:rsidP="006A5F4D">
            <w:pPr>
              <w:rPr>
                <w:sz w:val="20"/>
                <w:szCs w:val="21"/>
              </w:rPr>
            </w:pPr>
            <w:r w:rsidRPr="00DE3161">
              <w:rPr>
                <w:sz w:val="20"/>
                <w:szCs w:val="21"/>
                <w:lang w:val="en"/>
              </w:rPr>
              <w:t>Reading and writing of related discipline technical/instruction manuals.</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rPr>
            </w:pPr>
            <w:r w:rsidRPr="00DE3161">
              <w:rPr>
                <w:sz w:val="20"/>
                <w:szCs w:val="21"/>
                <w:lang w:val="en"/>
              </w:rPr>
              <w:t xml:space="preserve">Reading cookbooks, repair manuals, diagrams, floor plans, instrument gauges, and specification documents. </w:t>
            </w:r>
            <w:r w:rsidRPr="00DE3161">
              <w:rPr>
                <w:sz w:val="20"/>
                <w:szCs w:val="21"/>
              </w:rPr>
              <w:t xml:space="preserve"> </w:t>
            </w:r>
            <w:r w:rsidRPr="00DE3161">
              <w:rPr>
                <w:sz w:val="20"/>
                <w:szCs w:val="21"/>
                <w:lang w:val="en"/>
              </w:rPr>
              <w:t>Writing recipes, instructions, product specifications, blueprints, financial statements or diagrams.</w:t>
            </w:r>
          </w:p>
        </w:tc>
      </w:tr>
      <w:tr w:rsidR="006A5F4D" w:rsidRPr="006A5F4D" w:rsidTr="006A5F4D">
        <w:trPr>
          <w:trHeight w:val="20"/>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u w:val="single"/>
              </w:rPr>
            </w:pPr>
            <w:r w:rsidRPr="00DE3161">
              <w:rPr>
                <w:b/>
                <w:bCs/>
                <w:sz w:val="20"/>
                <w:szCs w:val="21"/>
                <w:u w:val="single"/>
                <w:lang w:val="en"/>
              </w:rPr>
              <w:t>Learning of Specialized Vocabulary</w:t>
            </w:r>
          </w:p>
          <w:p w:rsidR="006A5F4D" w:rsidRPr="00DE3161" w:rsidRDefault="006A5F4D" w:rsidP="006A5F4D">
            <w:pPr>
              <w:rPr>
                <w:sz w:val="20"/>
                <w:szCs w:val="21"/>
              </w:rPr>
            </w:pPr>
            <w:r w:rsidRPr="00DE3161">
              <w:rPr>
                <w:sz w:val="20"/>
                <w:szCs w:val="21"/>
                <w:lang w:val="en"/>
              </w:rPr>
              <w:t>Learning new career/technical terms before reading or application.</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rPr>
            </w:pPr>
            <w:r w:rsidRPr="00DE3161">
              <w:rPr>
                <w:sz w:val="20"/>
                <w:szCs w:val="21"/>
                <w:lang w:val="en"/>
              </w:rPr>
              <w:t>Pointing out and defining new career/technical terms before reading the textbook, industry media publication or technical documents.</w:t>
            </w:r>
            <w:r w:rsidRPr="00DE3161">
              <w:rPr>
                <w:sz w:val="20"/>
                <w:szCs w:val="21"/>
              </w:rPr>
              <w:t xml:space="preserve"> </w:t>
            </w:r>
            <w:r w:rsidRPr="00DE3161">
              <w:rPr>
                <w:sz w:val="20"/>
                <w:szCs w:val="21"/>
                <w:lang w:val="en"/>
              </w:rPr>
              <w:t>Demonstration of the concrete meanings of the terms by showing students the objects or activities the words represent.</w:t>
            </w:r>
          </w:p>
        </w:tc>
      </w:tr>
      <w:tr w:rsidR="006A5F4D" w:rsidRPr="006A5F4D" w:rsidTr="006A5F4D">
        <w:trPr>
          <w:trHeight w:val="1639"/>
        </w:trPr>
        <w:tc>
          <w:tcPr>
            <w:tcW w:w="494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u w:val="single"/>
              </w:rPr>
            </w:pPr>
            <w:r w:rsidRPr="00DE3161">
              <w:rPr>
                <w:b/>
                <w:bCs/>
                <w:sz w:val="20"/>
                <w:szCs w:val="21"/>
                <w:u w:val="single"/>
                <w:lang w:val="en"/>
              </w:rPr>
              <w:t>Authentic Application</w:t>
            </w:r>
          </w:p>
          <w:p w:rsidR="006A5F4D" w:rsidRPr="00DE3161" w:rsidRDefault="006A5F4D" w:rsidP="006A5F4D">
            <w:pPr>
              <w:rPr>
                <w:sz w:val="20"/>
                <w:szCs w:val="21"/>
              </w:rPr>
            </w:pPr>
            <w:r w:rsidRPr="00DE3161">
              <w:rPr>
                <w:sz w:val="20"/>
                <w:szCs w:val="21"/>
                <w:lang w:val="en"/>
              </w:rPr>
              <w:t>Reading, writing and application of critical thinking skills in authentic situations.</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hideMark/>
          </w:tcPr>
          <w:p w:rsidR="006A5F4D" w:rsidRPr="00DE3161" w:rsidRDefault="006A5F4D" w:rsidP="006A5F4D">
            <w:pPr>
              <w:rPr>
                <w:sz w:val="20"/>
                <w:szCs w:val="21"/>
              </w:rPr>
            </w:pPr>
            <w:r w:rsidRPr="00DE3161">
              <w:rPr>
                <w:sz w:val="20"/>
                <w:szCs w:val="21"/>
                <w:lang w:val="en"/>
              </w:rPr>
              <w:t>Creation of a written business plan for a new business, application of safety procedures based on Occupational Safety Health Administration, completion of an automobile body repair estimate using a crash estimating guide, and design the layout of a digital desktop application for readability and attractiveness.</w:t>
            </w:r>
          </w:p>
        </w:tc>
      </w:tr>
    </w:tbl>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b/>
          <w:u w:val="single"/>
          <w:lang w:val="en"/>
        </w:rPr>
        <w:lastRenderedPageBreak/>
        <w:t>How</w:t>
      </w:r>
      <w:r w:rsidRPr="006A5F4D">
        <w:rPr>
          <w:b/>
          <w:lang w:val="en"/>
        </w:rPr>
        <w:t>?</w:t>
      </w:r>
      <w:r w:rsidRPr="006A5F4D">
        <w:rPr>
          <w:lang w:val="en"/>
        </w:rPr>
        <w:t xml:space="preserve"> Determining Disciplinary Literacy Strategies for Instructional Delivery</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Select disciplinary literacy strategies that support the specific outcomes of the lesson.  What do you want students to have learned and what strategy will support the learning outcome?</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Will your strategy be used to prompt student thinking, pre-assess student understanding, help organize information or help summarize the information.</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Will it be used at the prior, during or post instruction?</w:t>
      </w:r>
    </w:p>
    <w:p w:rsidR="006A5F4D" w:rsidRDefault="006A5F4D" w:rsidP="00DE3161">
      <w:pPr>
        <w:spacing w:after="0" w:line="240" w:lineRule="auto"/>
        <w:rPr>
          <w:u w:val="single"/>
          <w:lang w:val="en"/>
        </w:rPr>
      </w:pPr>
    </w:p>
    <w:p w:rsidR="006A5F4D" w:rsidRPr="006A5F4D" w:rsidRDefault="006A5F4D" w:rsidP="006A5F4D">
      <w:pPr>
        <w:pBdr>
          <w:top w:val="single" w:sz="4" w:space="1" w:color="auto"/>
          <w:left w:val="single" w:sz="4" w:space="4" w:color="auto"/>
          <w:bottom w:val="single" w:sz="4" w:space="1" w:color="auto"/>
          <w:right w:val="single" w:sz="4" w:space="4" w:color="auto"/>
        </w:pBdr>
      </w:pPr>
      <w:r w:rsidRPr="00DE3161">
        <w:rPr>
          <w:b/>
          <w:u w:val="single"/>
          <w:lang w:val="en"/>
        </w:rPr>
        <w:t>Prior to Instruction Strategy</w:t>
      </w:r>
      <w:r w:rsidRPr="00DE3161">
        <w:rPr>
          <w:b/>
          <w:lang w:val="en"/>
        </w:rPr>
        <w:t>:</w:t>
      </w:r>
      <w:r w:rsidRPr="006A5F4D">
        <w:rPr>
          <w:lang w:val="en"/>
        </w:rPr>
        <w:t xml:space="preserve"> I Think, We Think</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Provide students with a focus question quick write: Can you identify five important business leadership characteristics and why each is important?</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Ask students to respond to the question in writing independently. (I Think) Then have them collaborate with other students to generate a shared list of the five most important characteristics and why? (We Think)</w:t>
      </w:r>
    </w:p>
    <w:p w:rsidR="006A5F4D" w:rsidRPr="006A5F4D" w:rsidRDefault="006A5F4D" w:rsidP="006A5F4D">
      <w:pPr>
        <w:pBdr>
          <w:top w:val="single" w:sz="4" w:space="1" w:color="auto"/>
          <w:left w:val="single" w:sz="4" w:space="4" w:color="auto"/>
          <w:bottom w:val="single" w:sz="4" w:space="1" w:color="auto"/>
          <w:right w:val="single" w:sz="4" w:space="4" w:color="auto"/>
        </w:pBdr>
      </w:pPr>
      <w:r w:rsidRPr="006A5F4D">
        <w:rPr>
          <w:lang w:val="en"/>
        </w:rPr>
        <w:t xml:space="preserve">Following the lesson the teacher can follow-up with a “used to think, but now I know” summarizing activity where students compare their initial lists to those presented in the lesson. </w:t>
      </w:r>
    </w:p>
    <w:p w:rsidR="00DE3161" w:rsidRDefault="00DE3161" w:rsidP="00DE3161">
      <w:pPr>
        <w:spacing w:after="0" w:line="240" w:lineRule="auto"/>
        <w:rPr>
          <w:b/>
          <w:u w:val="single"/>
          <w:lang w:val="en"/>
        </w:rPr>
      </w:pPr>
    </w:p>
    <w:p w:rsidR="006A5F4D" w:rsidRPr="006A5F4D" w:rsidRDefault="006A5F4D" w:rsidP="00DE3161">
      <w:pPr>
        <w:pBdr>
          <w:top w:val="single" w:sz="4" w:space="1" w:color="auto"/>
          <w:left w:val="single" w:sz="4" w:space="4" w:color="auto"/>
          <w:bottom w:val="single" w:sz="4" w:space="1" w:color="auto"/>
          <w:right w:val="single" w:sz="4" w:space="4" w:color="auto"/>
        </w:pBdr>
      </w:pPr>
      <w:r w:rsidRPr="00DE3161">
        <w:rPr>
          <w:b/>
          <w:u w:val="single"/>
          <w:lang w:val="en"/>
        </w:rPr>
        <w:t>Prior to Instruction Strategy</w:t>
      </w:r>
      <w:r w:rsidRPr="00DE3161">
        <w:rPr>
          <w:b/>
          <w:lang w:val="en"/>
        </w:rPr>
        <w:t>:</w:t>
      </w:r>
      <w:r w:rsidRPr="006A5F4D">
        <w:rPr>
          <w:lang w:val="en"/>
        </w:rPr>
        <w:t xml:space="preserve"> Close Read - 3 Readings</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Have students read 2-3 paragraphs from their textbook.  Ask students to make notes of any words or phrases they have questions about.  Ask them to identify the main idea of each paragraph.  Have them turn and talk to a fellow student about their findings.</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Have students re-read the paragraphs from their textbook.  Ask students to dig a little deeper maybe providing them with some text dependent questions.</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Have students synthesize information from the text with a content related article or video.</w:t>
      </w:r>
    </w:p>
    <w:p w:rsidR="00DE3161" w:rsidRDefault="00DE3161" w:rsidP="00DE3161">
      <w:pPr>
        <w:spacing w:after="0"/>
        <w:rPr>
          <w:u w:val="single"/>
          <w:lang w:val="en"/>
        </w:rPr>
      </w:pPr>
    </w:p>
    <w:p w:rsidR="006A5F4D" w:rsidRPr="006A5F4D" w:rsidRDefault="006A5F4D" w:rsidP="00DE3161">
      <w:pPr>
        <w:pBdr>
          <w:top w:val="single" w:sz="4" w:space="1" w:color="auto"/>
          <w:left w:val="single" w:sz="4" w:space="4" w:color="auto"/>
          <w:bottom w:val="single" w:sz="4" w:space="1" w:color="auto"/>
          <w:right w:val="single" w:sz="4" w:space="4" w:color="auto"/>
        </w:pBdr>
      </w:pPr>
      <w:r w:rsidRPr="00DE3161">
        <w:rPr>
          <w:b/>
          <w:u w:val="single"/>
          <w:lang w:val="en"/>
        </w:rPr>
        <w:t>During Instruction Strategy</w:t>
      </w:r>
      <w:r w:rsidRPr="00DE3161">
        <w:rPr>
          <w:b/>
          <w:lang w:val="en"/>
        </w:rPr>
        <w:t>:</w:t>
      </w:r>
      <w:r w:rsidRPr="006A5F4D">
        <w:rPr>
          <w:lang w:val="en"/>
        </w:rPr>
        <w:t xml:space="preserve"> Two Points of View</w:t>
      </w:r>
    </w:p>
    <w:p w:rsidR="006A5F4D" w:rsidRPr="006A5F4D" w:rsidRDefault="006A5F4D" w:rsidP="00DE3161">
      <w:pPr>
        <w:pBdr>
          <w:top w:val="single" w:sz="4" w:space="1" w:color="auto"/>
          <w:left w:val="single" w:sz="4" w:space="4" w:color="auto"/>
          <w:bottom w:val="single" w:sz="4" w:space="1" w:color="auto"/>
          <w:right w:val="single" w:sz="4" w:space="4" w:color="auto"/>
        </w:pBdr>
      </w:pPr>
      <w:hyperlink r:id="rId7" w:history="1">
        <w:r w:rsidRPr="006A5F4D">
          <w:rPr>
            <w:rStyle w:val="Hyperlink"/>
            <w:lang w:val="en"/>
          </w:rPr>
          <w:t>http://agsci.psu.edu/magazine/articles/2015/spring-summer/the-science-of-gmos</w:t>
        </w:r>
      </w:hyperlink>
      <w:bookmarkStart w:id="0" w:name="_GoBack"/>
      <w:bookmarkEnd w:id="0"/>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Students read the article and generate the two opposing points of view.</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Then they are asked to determine if the benefits outweigh the risks and why?</w:t>
      </w:r>
    </w:p>
    <w:p w:rsidR="006A5F4D" w:rsidRPr="006A5F4D" w:rsidRDefault="006A5F4D" w:rsidP="00DE3161">
      <w:pPr>
        <w:spacing w:after="0"/>
      </w:pPr>
      <w:r w:rsidRPr="006A5F4D">
        <w:rPr>
          <w:lang w:val="en"/>
        </w:rPr>
        <w:t xml:space="preserve"> </w:t>
      </w:r>
    </w:p>
    <w:p w:rsidR="006A5F4D" w:rsidRPr="006A5F4D" w:rsidRDefault="006A5F4D" w:rsidP="00DE3161">
      <w:pPr>
        <w:pBdr>
          <w:top w:val="single" w:sz="4" w:space="1" w:color="auto"/>
          <w:left w:val="single" w:sz="4" w:space="1" w:color="auto"/>
          <w:bottom w:val="single" w:sz="4" w:space="1" w:color="auto"/>
          <w:right w:val="single" w:sz="4" w:space="1" w:color="auto"/>
        </w:pBdr>
      </w:pPr>
      <w:r w:rsidRPr="00DE3161">
        <w:rPr>
          <w:b/>
          <w:u w:val="single"/>
          <w:lang w:val="en"/>
        </w:rPr>
        <w:t>During Instruction Strategy</w:t>
      </w:r>
      <w:r w:rsidRPr="00DE3161">
        <w:rPr>
          <w:b/>
          <w:lang w:val="en"/>
        </w:rPr>
        <w:t>:</w:t>
      </w:r>
      <w:r w:rsidRPr="006A5F4D">
        <w:rPr>
          <w:lang w:val="en"/>
        </w:rPr>
        <w:t xml:space="preserve"> Collaboration Jigsaw with a CTE Authentic Document</w:t>
      </w:r>
    </w:p>
    <w:p w:rsidR="006A5F4D" w:rsidRPr="006A5F4D" w:rsidRDefault="006A5F4D" w:rsidP="00DE3161">
      <w:pPr>
        <w:pBdr>
          <w:top w:val="single" w:sz="4" w:space="1" w:color="auto"/>
          <w:left w:val="single" w:sz="4" w:space="1" w:color="auto"/>
          <w:bottom w:val="single" w:sz="4" w:space="1" w:color="auto"/>
          <w:right w:val="single" w:sz="4" w:space="1" w:color="auto"/>
        </w:pBdr>
      </w:pPr>
      <w:r w:rsidRPr="006A5F4D">
        <w:rPr>
          <w:lang w:val="en"/>
        </w:rPr>
        <w:t>Text dependent question cards in small (expert) groups:</w:t>
      </w:r>
    </w:p>
    <w:p w:rsidR="00000000" w:rsidRPr="006A5F4D" w:rsidRDefault="00F72E28" w:rsidP="00DE3161">
      <w:pPr>
        <w:numPr>
          <w:ilvl w:val="1"/>
          <w:numId w:val="1"/>
        </w:numPr>
        <w:pBdr>
          <w:top w:val="single" w:sz="4" w:space="1" w:color="auto"/>
          <w:left w:val="single" w:sz="4" w:space="1" w:color="auto"/>
          <w:bottom w:val="single" w:sz="4" w:space="1" w:color="auto"/>
          <w:right w:val="single" w:sz="4" w:space="1" w:color="auto"/>
        </w:pBdr>
        <w:spacing w:line="240" w:lineRule="auto"/>
      </w:pPr>
      <w:r w:rsidRPr="006A5F4D">
        <w:rPr>
          <w:lang w:val="en"/>
        </w:rPr>
        <w:t xml:space="preserve">What is the purpose or intent of this document?  </w:t>
      </w:r>
    </w:p>
    <w:p w:rsidR="00000000" w:rsidRPr="006A5F4D" w:rsidRDefault="00F72E28" w:rsidP="00DE3161">
      <w:pPr>
        <w:numPr>
          <w:ilvl w:val="1"/>
          <w:numId w:val="1"/>
        </w:numPr>
        <w:pBdr>
          <w:top w:val="single" w:sz="4" w:space="1" w:color="auto"/>
          <w:left w:val="single" w:sz="4" w:space="1" w:color="auto"/>
          <w:bottom w:val="single" w:sz="4" w:space="1" w:color="auto"/>
          <w:right w:val="single" w:sz="4" w:space="1" w:color="auto"/>
        </w:pBdr>
        <w:spacing w:line="240" w:lineRule="auto"/>
      </w:pPr>
      <w:r w:rsidRPr="006A5F4D">
        <w:rPr>
          <w:lang w:val="en"/>
        </w:rPr>
        <w:t>What content on this document is critical and why?</w:t>
      </w:r>
    </w:p>
    <w:p w:rsidR="00000000" w:rsidRPr="006A5F4D" w:rsidRDefault="00F72E28" w:rsidP="00DE3161">
      <w:pPr>
        <w:numPr>
          <w:ilvl w:val="1"/>
          <w:numId w:val="1"/>
        </w:numPr>
        <w:pBdr>
          <w:top w:val="single" w:sz="4" w:space="1" w:color="auto"/>
          <w:left w:val="single" w:sz="4" w:space="1" w:color="auto"/>
          <w:bottom w:val="single" w:sz="4" w:space="1" w:color="auto"/>
          <w:right w:val="single" w:sz="4" w:space="1" w:color="auto"/>
        </w:pBdr>
        <w:spacing w:line="240" w:lineRule="auto"/>
      </w:pPr>
      <w:r w:rsidRPr="006A5F4D">
        <w:rPr>
          <w:lang w:val="en"/>
        </w:rPr>
        <w:t>How do the embedded pre-tailored checklists benefit the user?</w:t>
      </w:r>
    </w:p>
    <w:p w:rsidR="00000000" w:rsidRPr="006A5F4D" w:rsidRDefault="00F72E28" w:rsidP="00DE3161">
      <w:pPr>
        <w:numPr>
          <w:ilvl w:val="1"/>
          <w:numId w:val="1"/>
        </w:numPr>
        <w:pBdr>
          <w:top w:val="single" w:sz="4" w:space="1" w:color="auto"/>
          <w:left w:val="single" w:sz="4" w:space="1" w:color="auto"/>
          <w:bottom w:val="single" w:sz="4" w:space="1" w:color="auto"/>
          <w:right w:val="single" w:sz="4" w:space="1" w:color="auto"/>
        </w:pBdr>
        <w:spacing w:line="240" w:lineRule="auto"/>
      </w:pPr>
      <w:r w:rsidRPr="006A5F4D">
        <w:rPr>
          <w:lang w:val="en"/>
        </w:rPr>
        <w:t xml:space="preserve">Should this document contain additional information? If so what and for what purpose? </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DE3161">
        <w:rPr>
          <w:b/>
          <w:u w:val="single"/>
          <w:lang w:val="en"/>
        </w:rPr>
        <w:lastRenderedPageBreak/>
        <w:t>During Instruction Strategy</w:t>
      </w:r>
      <w:r w:rsidRPr="006A5F4D">
        <w:rPr>
          <w:lang w:val="en"/>
        </w:rPr>
        <w:t>: Using Technology with a CTE Authentic Document</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Using Technology to explore a 3D Printer Manual.</w:t>
      </w:r>
    </w:p>
    <w:p w:rsidR="00000000" w:rsidRPr="006A5F4D" w:rsidRDefault="00F72E28" w:rsidP="00DE3161">
      <w:pPr>
        <w:numPr>
          <w:ilvl w:val="0"/>
          <w:numId w:val="2"/>
        </w:numPr>
        <w:pBdr>
          <w:top w:val="single" w:sz="4" w:space="1" w:color="auto"/>
          <w:left w:val="single" w:sz="4" w:space="4" w:color="auto"/>
          <w:bottom w:val="single" w:sz="4" w:space="1" w:color="auto"/>
          <w:right w:val="single" w:sz="4" w:space="4" w:color="auto"/>
        </w:pBdr>
        <w:spacing w:line="240" w:lineRule="auto"/>
      </w:pPr>
      <w:r w:rsidRPr="006A5F4D">
        <w:rPr>
          <w:lang w:val="en"/>
        </w:rPr>
        <w:t>Using Adobe Acrobat Reader, have students review a portion of the technical manual and create annotations.</w:t>
      </w:r>
    </w:p>
    <w:p w:rsidR="00000000" w:rsidRPr="006A5F4D" w:rsidRDefault="00F72E28" w:rsidP="00DE3161">
      <w:pPr>
        <w:numPr>
          <w:ilvl w:val="0"/>
          <w:numId w:val="2"/>
        </w:numPr>
        <w:pBdr>
          <w:top w:val="single" w:sz="4" w:space="1" w:color="auto"/>
          <w:left w:val="single" w:sz="4" w:space="4" w:color="auto"/>
          <w:bottom w:val="single" w:sz="4" w:space="1" w:color="auto"/>
          <w:right w:val="single" w:sz="4" w:space="4" w:color="auto"/>
        </w:pBdr>
        <w:spacing w:line="240" w:lineRule="auto"/>
      </w:pPr>
      <w:r w:rsidRPr="006A5F4D">
        <w:rPr>
          <w:lang w:val="en"/>
        </w:rPr>
        <w:t>Instruct students to underline words they don’t understand in the color green</w:t>
      </w:r>
      <w:r w:rsidRPr="006A5F4D">
        <w:rPr>
          <w:lang w:val="en"/>
        </w:rPr>
        <w:t>.</w:t>
      </w:r>
    </w:p>
    <w:p w:rsidR="00000000" w:rsidRPr="006A5F4D" w:rsidRDefault="00F72E28" w:rsidP="00DE3161">
      <w:pPr>
        <w:numPr>
          <w:ilvl w:val="0"/>
          <w:numId w:val="2"/>
        </w:numPr>
        <w:pBdr>
          <w:top w:val="single" w:sz="4" w:space="1" w:color="auto"/>
          <w:left w:val="single" w:sz="4" w:space="4" w:color="auto"/>
          <w:bottom w:val="single" w:sz="4" w:space="1" w:color="auto"/>
          <w:right w:val="single" w:sz="4" w:space="4" w:color="auto"/>
        </w:pBdr>
        <w:spacing w:line="240" w:lineRule="auto"/>
      </w:pPr>
      <w:r w:rsidRPr="006A5F4D">
        <w:rPr>
          <w:lang w:val="en"/>
        </w:rPr>
        <w:t>Instruct students to highlight text they have questions about in the color yellow.</w:t>
      </w:r>
    </w:p>
    <w:p w:rsidR="00000000" w:rsidRPr="006A5F4D" w:rsidRDefault="00F72E28" w:rsidP="00DE3161">
      <w:pPr>
        <w:numPr>
          <w:ilvl w:val="0"/>
          <w:numId w:val="2"/>
        </w:numPr>
        <w:pBdr>
          <w:top w:val="single" w:sz="4" w:space="1" w:color="auto"/>
          <w:left w:val="single" w:sz="4" w:space="4" w:color="auto"/>
          <w:bottom w:val="single" w:sz="4" w:space="1" w:color="auto"/>
          <w:right w:val="single" w:sz="4" w:space="4" w:color="auto"/>
        </w:pBdr>
        <w:spacing w:line="240" w:lineRule="auto"/>
      </w:pPr>
      <w:r w:rsidRPr="006A5F4D">
        <w:rPr>
          <w:lang w:val="en"/>
        </w:rPr>
        <w:t>Instruct students to add questions they have about the text using the comments tool.</w:t>
      </w:r>
    </w:p>
    <w:p w:rsidR="00DE3161" w:rsidRDefault="00DE3161" w:rsidP="006A5F4D">
      <w:pPr>
        <w:rPr>
          <w:u w:val="single"/>
          <w:lang w:val="en"/>
        </w:rPr>
      </w:pPr>
    </w:p>
    <w:p w:rsidR="006A5F4D" w:rsidRPr="006A5F4D" w:rsidRDefault="006A5F4D" w:rsidP="00DE3161">
      <w:pPr>
        <w:pBdr>
          <w:top w:val="single" w:sz="4" w:space="1" w:color="auto"/>
          <w:left w:val="single" w:sz="4" w:space="4" w:color="auto"/>
          <w:bottom w:val="single" w:sz="4" w:space="1" w:color="auto"/>
          <w:right w:val="single" w:sz="4" w:space="4" w:color="auto"/>
        </w:pBdr>
      </w:pPr>
      <w:r w:rsidRPr="00DE3161">
        <w:rPr>
          <w:b/>
          <w:u w:val="single"/>
          <w:lang w:val="en"/>
        </w:rPr>
        <w:t>Post Instruction Strategy</w:t>
      </w:r>
      <w:r w:rsidRPr="006A5F4D">
        <w:rPr>
          <w:lang w:val="en"/>
        </w:rPr>
        <w:t>: Concept Mapping</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Have students create a visual map of complex content - Economic Concepts</w:t>
      </w:r>
      <w:r w:rsidR="00DE3161" w:rsidRPr="00DE3161">
        <w:rPr>
          <w:noProof/>
        </w:rPr>
        <w:t xml:space="preserve"> </w:t>
      </w:r>
      <w:r w:rsidR="00DE3161" w:rsidRPr="00DE3161">
        <w:drawing>
          <wp:inline distT="0" distB="0" distL="0" distR="0" wp14:anchorId="13914B01" wp14:editId="47F71FA8">
            <wp:extent cx="2447925" cy="1809750"/>
            <wp:effectExtent l="0" t="0" r="9525" b="0"/>
            <wp:docPr id="134" name="Shape 134"/>
            <wp:cNvGraphicFramePr/>
            <a:graphic xmlns:a="http://schemas.openxmlformats.org/drawingml/2006/main">
              <a:graphicData uri="http://schemas.openxmlformats.org/drawingml/2006/picture">
                <pic:pic xmlns:pic="http://schemas.openxmlformats.org/drawingml/2006/picture">
                  <pic:nvPicPr>
                    <pic:cNvPr id="134" name="Shape 134"/>
                    <pic:cNvPicPr preferRelativeResize="0"/>
                  </pic:nvPicPr>
                  <pic:blipFill>
                    <a:blip r:embed="rId8">
                      <a:alphaModFix/>
                    </a:blip>
                    <a:stretch>
                      <a:fillRect/>
                    </a:stretch>
                  </pic:blipFill>
                  <pic:spPr>
                    <a:xfrm>
                      <a:off x="0" y="0"/>
                      <a:ext cx="2448229" cy="1809975"/>
                    </a:xfrm>
                    <a:prstGeom prst="rect">
                      <a:avLst/>
                    </a:prstGeom>
                    <a:noFill/>
                    <a:ln>
                      <a:noFill/>
                    </a:ln>
                  </pic:spPr>
                </pic:pic>
              </a:graphicData>
            </a:graphic>
          </wp:inline>
        </w:drawing>
      </w:r>
    </w:p>
    <w:p w:rsidR="00DE3161" w:rsidRDefault="00DE3161" w:rsidP="006A5F4D">
      <w:pPr>
        <w:rPr>
          <w:u w:val="single"/>
          <w:lang w:val="en"/>
        </w:rPr>
      </w:pPr>
    </w:p>
    <w:p w:rsidR="006A5F4D" w:rsidRPr="006A5F4D" w:rsidRDefault="006A5F4D" w:rsidP="00DE3161">
      <w:pPr>
        <w:pBdr>
          <w:top w:val="single" w:sz="4" w:space="1" w:color="auto"/>
          <w:left w:val="single" w:sz="4" w:space="4" w:color="auto"/>
          <w:bottom w:val="single" w:sz="4" w:space="1" w:color="auto"/>
          <w:right w:val="single" w:sz="4" w:space="4" w:color="auto"/>
        </w:pBdr>
      </w:pPr>
      <w:r w:rsidRPr="00DE3161">
        <w:rPr>
          <w:b/>
          <w:u w:val="single"/>
          <w:lang w:val="en"/>
        </w:rPr>
        <w:t>Post Instruction Strategy</w:t>
      </w:r>
      <w:r w:rsidRPr="00DE3161">
        <w:rPr>
          <w:b/>
          <w:lang w:val="en"/>
        </w:rPr>
        <w:t>:</w:t>
      </w:r>
      <w:r w:rsidRPr="006A5F4D">
        <w:rPr>
          <w:lang w:val="en"/>
        </w:rPr>
        <w:t xml:space="preserve"> Decoding an Authentic Industry Publication </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Ask students to read an article and have them do the following:</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Circle words that are unknown or vague.</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Underline repeating words/phrases.</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Highlight main ideas and important phrases.</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Place question marks by concepts you wonder about.</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Place an exclamation mark by concepts that surprise you.</w:t>
      </w:r>
    </w:p>
    <w:p w:rsidR="00000000" w:rsidRPr="006A5F4D" w:rsidRDefault="00F72E28" w:rsidP="00DE3161">
      <w:pPr>
        <w:numPr>
          <w:ilvl w:val="0"/>
          <w:numId w:val="3"/>
        </w:numPr>
        <w:pBdr>
          <w:top w:val="single" w:sz="4" w:space="1" w:color="auto"/>
          <w:left w:val="single" w:sz="4" w:space="4" w:color="auto"/>
          <w:bottom w:val="single" w:sz="4" w:space="1" w:color="auto"/>
          <w:right w:val="single" w:sz="4" w:space="4" w:color="auto"/>
        </w:pBdr>
      </w:pPr>
      <w:r w:rsidRPr="006A5F4D">
        <w:rPr>
          <w:lang w:val="en"/>
        </w:rPr>
        <w:t>With a partner, discuss who the intended audience might be for this article.  Is it</w:t>
      </w:r>
      <w:r w:rsidRPr="006A5F4D">
        <w:rPr>
          <w:lang w:val="en"/>
        </w:rPr>
        <w:t xml:space="preserve"> targeting the consumer or the advertising industry?  How do you know?</w:t>
      </w:r>
    </w:p>
    <w:p w:rsidR="00DE3161" w:rsidRDefault="00DE3161" w:rsidP="006A5F4D">
      <w:pPr>
        <w:rPr>
          <w:u w:val="single"/>
          <w:lang w:val="en"/>
        </w:rPr>
      </w:pPr>
    </w:p>
    <w:p w:rsidR="00DE3161" w:rsidRDefault="00DE3161" w:rsidP="006A5F4D">
      <w:pPr>
        <w:rPr>
          <w:u w:val="single"/>
          <w:lang w:val="en"/>
        </w:rPr>
      </w:pPr>
    </w:p>
    <w:p w:rsidR="00DE3161" w:rsidRDefault="00DE3161" w:rsidP="006A5F4D">
      <w:pPr>
        <w:rPr>
          <w:u w:val="single"/>
          <w:lang w:val="en"/>
        </w:rPr>
      </w:pPr>
    </w:p>
    <w:p w:rsidR="00DE3161" w:rsidRDefault="00DE3161" w:rsidP="006A5F4D">
      <w:pPr>
        <w:rPr>
          <w:u w:val="single"/>
          <w:lang w:val="en"/>
        </w:rPr>
      </w:pPr>
    </w:p>
    <w:p w:rsidR="00DE3161" w:rsidRPr="00DE3161" w:rsidRDefault="006A5F4D" w:rsidP="00DE3161">
      <w:pPr>
        <w:pBdr>
          <w:top w:val="single" w:sz="4" w:space="1" w:color="auto"/>
          <w:left w:val="single" w:sz="4" w:space="4" w:color="auto"/>
          <w:bottom w:val="single" w:sz="4" w:space="1" w:color="auto"/>
          <w:right w:val="single" w:sz="4" w:space="4" w:color="auto"/>
        </w:pBdr>
        <w:rPr>
          <w:b/>
        </w:rPr>
      </w:pPr>
      <w:r w:rsidRPr="00DE3161">
        <w:rPr>
          <w:b/>
          <w:lang w:val="en"/>
        </w:rPr>
        <w:lastRenderedPageBreak/>
        <w:t>More Literacy Ideas</w:t>
      </w:r>
      <w:r w:rsidR="00DE3161" w:rsidRPr="00DE3161">
        <w:rPr>
          <w:b/>
        </w:rPr>
        <w:t xml:space="preserve"> </w:t>
      </w:r>
    </w:p>
    <w:p w:rsidR="006A5F4D" w:rsidRPr="00DE3161" w:rsidRDefault="006A5F4D" w:rsidP="00DE3161">
      <w:pPr>
        <w:pBdr>
          <w:top w:val="single" w:sz="4" w:space="1" w:color="auto"/>
          <w:left w:val="single" w:sz="4" w:space="4" w:color="auto"/>
          <w:bottom w:val="single" w:sz="4" w:space="1" w:color="auto"/>
          <w:right w:val="single" w:sz="4" w:space="4" w:color="auto"/>
        </w:pBdr>
        <w:rPr>
          <w:u w:val="single"/>
        </w:rPr>
      </w:pPr>
      <w:r w:rsidRPr="00DE3161">
        <w:rPr>
          <w:u w:val="single"/>
          <w:lang w:val="en"/>
        </w:rPr>
        <w:t>Bellwork Bingo</w:t>
      </w:r>
    </w:p>
    <w:p w:rsidR="00000000" w:rsidRPr="006A5F4D" w:rsidRDefault="00F72E28" w:rsidP="00DE3161">
      <w:pPr>
        <w:pBdr>
          <w:top w:val="single" w:sz="4" w:space="1" w:color="auto"/>
          <w:left w:val="single" w:sz="4" w:space="4" w:color="auto"/>
          <w:bottom w:val="single" w:sz="4" w:space="1" w:color="auto"/>
          <w:right w:val="single" w:sz="4" w:space="4" w:color="auto"/>
        </w:pBdr>
      </w:pPr>
      <w:r w:rsidRPr="006A5F4D">
        <w:rPr>
          <w:lang w:val="en"/>
        </w:rPr>
        <w:t>Create a Bingo card with short literacy activities that students can do related to the unit content. For example one box may say to write a paragraph about a concept or to read a</w:t>
      </w:r>
      <w:r w:rsidR="00DE3161">
        <w:rPr>
          <w:lang w:val="en"/>
        </w:rPr>
        <w:t>n</w:t>
      </w:r>
      <w:r w:rsidRPr="006A5F4D">
        <w:rPr>
          <w:lang w:val="en"/>
        </w:rPr>
        <w:t xml:space="preserve"> article and write a </w:t>
      </w:r>
      <w:r w:rsidRPr="006A5F4D">
        <w:rPr>
          <w:lang w:val="en"/>
        </w:rPr>
        <w:t>letter in response.</w:t>
      </w:r>
      <w:r w:rsidR="00DE3161">
        <w:t xml:space="preserve"> </w:t>
      </w:r>
      <w:r w:rsidRPr="006A5F4D">
        <w:rPr>
          <w:lang w:val="en"/>
        </w:rPr>
        <w:t>Students must complete assignments in a row for Bingo.</w:t>
      </w:r>
    </w:p>
    <w:p w:rsidR="006A5F4D" w:rsidRPr="00DE3161" w:rsidRDefault="006A5F4D" w:rsidP="00DE3161">
      <w:pPr>
        <w:pBdr>
          <w:top w:val="single" w:sz="4" w:space="1" w:color="auto"/>
          <w:left w:val="single" w:sz="4" w:space="4" w:color="auto"/>
          <w:bottom w:val="single" w:sz="4" w:space="1" w:color="auto"/>
          <w:right w:val="single" w:sz="4" w:space="4" w:color="auto"/>
        </w:pBdr>
        <w:rPr>
          <w:u w:val="single"/>
        </w:rPr>
      </w:pPr>
      <w:r w:rsidRPr="00DE3161">
        <w:rPr>
          <w:u w:val="single"/>
          <w:lang w:val="en"/>
        </w:rPr>
        <w:t>Creative Writing - Poem</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Have students create a poem that summarizes a particular business/industry concept or skill.</w:t>
      </w:r>
    </w:p>
    <w:p w:rsidR="006A5F4D" w:rsidRPr="00DE3161" w:rsidRDefault="006A5F4D" w:rsidP="00DE3161">
      <w:pPr>
        <w:pBdr>
          <w:top w:val="single" w:sz="4" w:space="1" w:color="auto"/>
          <w:left w:val="single" w:sz="4" w:space="4" w:color="auto"/>
          <w:bottom w:val="single" w:sz="4" w:space="1" w:color="auto"/>
          <w:right w:val="single" w:sz="4" w:space="4" w:color="auto"/>
        </w:pBdr>
        <w:rPr>
          <w:u w:val="single"/>
        </w:rPr>
      </w:pPr>
      <w:r w:rsidRPr="00DE3161">
        <w:rPr>
          <w:u w:val="single"/>
          <w:lang w:val="en"/>
        </w:rPr>
        <w:t>Gallery Walk</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Write new vocabulary terms or new concepts on poster size paper around the room.  Have students do a gallery walk around the classroom having them write what they think it means with sticky notes.  Then visit each poster and read student notes to the class. Clarify any misconceptions about the vocabulary or concepts.</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u w:val="single"/>
          <w:lang w:val="en"/>
        </w:rPr>
        <w:t>Contextual Redefinition</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During a contextual redefinition activity, students are given a set of keywords from an upcoming unit of study. First, they predict the definition based on background knowledge and word parts. Then students are given sentences or passages and asked to use context clues to determine meanings. Finally, after instruction, meanings can be further clarified and/or extended.</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u w:val="single"/>
          <w:lang w:val="en"/>
        </w:rPr>
        <w:t>Response Journal</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Students are given a business ethics or other soft skills situation to respond to in 5-7 sentences.  This can be followed with a class discussion about their responses.</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 xml:space="preserve">Examples: </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What do you consider the three most important things you can do to prepare for a job interview? Discuss why each is important.</w:t>
      </w:r>
    </w:p>
    <w:p w:rsidR="006A5F4D" w:rsidRPr="006A5F4D" w:rsidRDefault="006A5F4D" w:rsidP="00DE3161">
      <w:pPr>
        <w:pBdr>
          <w:top w:val="single" w:sz="4" w:space="1" w:color="auto"/>
          <w:left w:val="single" w:sz="4" w:space="4" w:color="auto"/>
          <w:bottom w:val="single" w:sz="4" w:space="1" w:color="auto"/>
          <w:right w:val="single" w:sz="4" w:space="4" w:color="auto"/>
        </w:pBdr>
      </w:pPr>
      <w:r w:rsidRPr="006A5F4D">
        <w:rPr>
          <w:lang w:val="en"/>
        </w:rPr>
        <w:t>You work at a local restaurant.  Other employees give their friends who are customers free food.  You know that this is against the restaurant’s policy; however, lately several of your friends have come in a pressured you to give them free food.  What would you do and why?</w:t>
      </w:r>
    </w:p>
    <w:p w:rsidR="00A115FB" w:rsidRDefault="00A115FB"/>
    <w:sectPr w:rsidR="00A115FB" w:rsidSect="006A5F4D">
      <w:footerReference w:type="default" r:id="rId9"/>
      <w:pgSz w:w="12240" w:h="15840"/>
      <w:pgMar w:top="864" w:right="1440"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4D" w:rsidRDefault="006A5F4D" w:rsidP="006A5F4D">
      <w:pPr>
        <w:spacing w:after="0" w:line="240" w:lineRule="auto"/>
      </w:pPr>
      <w:r>
        <w:separator/>
      </w:r>
    </w:p>
  </w:endnote>
  <w:endnote w:type="continuationSeparator" w:id="0">
    <w:p w:rsidR="006A5F4D" w:rsidRDefault="006A5F4D" w:rsidP="006A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79976"/>
      <w:docPartObj>
        <w:docPartGallery w:val="Page Numbers (Bottom of Page)"/>
        <w:docPartUnique/>
      </w:docPartObj>
    </w:sdtPr>
    <w:sdtEndPr>
      <w:rPr>
        <w:noProof/>
      </w:rPr>
    </w:sdtEndPr>
    <w:sdtContent>
      <w:p w:rsidR="006A5F4D" w:rsidRDefault="006A5F4D">
        <w:pPr>
          <w:pStyle w:val="Footer"/>
          <w:jc w:val="center"/>
        </w:pPr>
        <w:r>
          <w:fldChar w:fldCharType="begin"/>
        </w:r>
        <w:r>
          <w:instrText xml:space="preserve"> PAGE   \* MERGEFORMAT </w:instrText>
        </w:r>
        <w:r>
          <w:fldChar w:fldCharType="separate"/>
        </w:r>
        <w:r w:rsidR="00F72E28">
          <w:rPr>
            <w:noProof/>
          </w:rPr>
          <w:t>1</w:t>
        </w:r>
        <w:r>
          <w:rPr>
            <w:noProof/>
          </w:rPr>
          <w:fldChar w:fldCharType="end"/>
        </w:r>
      </w:p>
    </w:sdtContent>
  </w:sdt>
  <w:p w:rsidR="006A5F4D" w:rsidRDefault="006A5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4D" w:rsidRDefault="006A5F4D" w:rsidP="006A5F4D">
      <w:pPr>
        <w:spacing w:after="0" w:line="240" w:lineRule="auto"/>
      </w:pPr>
      <w:r>
        <w:separator/>
      </w:r>
    </w:p>
  </w:footnote>
  <w:footnote w:type="continuationSeparator" w:id="0">
    <w:p w:rsidR="006A5F4D" w:rsidRDefault="006A5F4D" w:rsidP="006A5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9322E"/>
    <w:multiLevelType w:val="hybridMultilevel"/>
    <w:tmpl w:val="76FACE28"/>
    <w:lvl w:ilvl="0" w:tplc="59EC3880">
      <w:start w:val="1"/>
      <w:numFmt w:val="decimal"/>
      <w:lvlText w:val="%1."/>
      <w:lvlJc w:val="left"/>
      <w:pPr>
        <w:tabs>
          <w:tab w:val="num" w:pos="720"/>
        </w:tabs>
        <w:ind w:left="720" w:hanging="360"/>
      </w:pPr>
    </w:lvl>
    <w:lvl w:ilvl="1" w:tplc="050ACA8C" w:tentative="1">
      <w:start w:val="1"/>
      <w:numFmt w:val="decimal"/>
      <w:lvlText w:val="%2."/>
      <w:lvlJc w:val="left"/>
      <w:pPr>
        <w:tabs>
          <w:tab w:val="num" w:pos="1440"/>
        </w:tabs>
        <w:ind w:left="1440" w:hanging="360"/>
      </w:pPr>
    </w:lvl>
    <w:lvl w:ilvl="2" w:tplc="1236102E" w:tentative="1">
      <w:start w:val="1"/>
      <w:numFmt w:val="decimal"/>
      <w:lvlText w:val="%3."/>
      <w:lvlJc w:val="left"/>
      <w:pPr>
        <w:tabs>
          <w:tab w:val="num" w:pos="2160"/>
        </w:tabs>
        <w:ind w:left="2160" w:hanging="360"/>
      </w:pPr>
    </w:lvl>
    <w:lvl w:ilvl="3" w:tplc="F7EA7902" w:tentative="1">
      <w:start w:val="1"/>
      <w:numFmt w:val="decimal"/>
      <w:lvlText w:val="%4."/>
      <w:lvlJc w:val="left"/>
      <w:pPr>
        <w:tabs>
          <w:tab w:val="num" w:pos="2880"/>
        </w:tabs>
        <w:ind w:left="2880" w:hanging="360"/>
      </w:pPr>
    </w:lvl>
    <w:lvl w:ilvl="4" w:tplc="C9D47A88" w:tentative="1">
      <w:start w:val="1"/>
      <w:numFmt w:val="decimal"/>
      <w:lvlText w:val="%5."/>
      <w:lvlJc w:val="left"/>
      <w:pPr>
        <w:tabs>
          <w:tab w:val="num" w:pos="3600"/>
        </w:tabs>
        <w:ind w:left="3600" w:hanging="360"/>
      </w:pPr>
    </w:lvl>
    <w:lvl w:ilvl="5" w:tplc="3AFEA7B6" w:tentative="1">
      <w:start w:val="1"/>
      <w:numFmt w:val="decimal"/>
      <w:lvlText w:val="%6."/>
      <w:lvlJc w:val="left"/>
      <w:pPr>
        <w:tabs>
          <w:tab w:val="num" w:pos="4320"/>
        </w:tabs>
        <w:ind w:left="4320" w:hanging="360"/>
      </w:pPr>
    </w:lvl>
    <w:lvl w:ilvl="6" w:tplc="5CB02C6E" w:tentative="1">
      <w:start w:val="1"/>
      <w:numFmt w:val="decimal"/>
      <w:lvlText w:val="%7."/>
      <w:lvlJc w:val="left"/>
      <w:pPr>
        <w:tabs>
          <w:tab w:val="num" w:pos="5040"/>
        </w:tabs>
        <w:ind w:left="5040" w:hanging="360"/>
      </w:pPr>
    </w:lvl>
    <w:lvl w:ilvl="7" w:tplc="E38C1DA6" w:tentative="1">
      <w:start w:val="1"/>
      <w:numFmt w:val="decimal"/>
      <w:lvlText w:val="%8."/>
      <w:lvlJc w:val="left"/>
      <w:pPr>
        <w:tabs>
          <w:tab w:val="num" w:pos="5760"/>
        </w:tabs>
        <w:ind w:left="5760" w:hanging="360"/>
      </w:pPr>
    </w:lvl>
    <w:lvl w:ilvl="8" w:tplc="B688F4C6" w:tentative="1">
      <w:start w:val="1"/>
      <w:numFmt w:val="decimal"/>
      <w:lvlText w:val="%9."/>
      <w:lvlJc w:val="left"/>
      <w:pPr>
        <w:tabs>
          <w:tab w:val="num" w:pos="6480"/>
        </w:tabs>
        <w:ind w:left="6480" w:hanging="360"/>
      </w:pPr>
    </w:lvl>
  </w:abstractNum>
  <w:abstractNum w:abstractNumId="1" w15:restartNumberingAfterBreak="0">
    <w:nsid w:val="21B25768"/>
    <w:multiLevelType w:val="hybridMultilevel"/>
    <w:tmpl w:val="EAA2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3BE2"/>
    <w:multiLevelType w:val="hybridMultilevel"/>
    <w:tmpl w:val="065C4C4E"/>
    <w:lvl w:ilvl="0" w:tplc="A978CB7E">
      <w:start w:val="1"/>
      <w:numFmt w:val="decimal"/>
      <w:lvlText w:val="%1."/>
      <w:lvlJc w:val="left"/>
      <w:pPr>
        <w:tabs>
          <w:tab w:val="num" w:pos="720"/>
        </w:tabs>
        <w:ind w:left="720" w:hanging="360"/>
      </w:pPr>
    </w:lvl>
    <w:lvl w:ilvl="1" w:tplc="1F2C3462">
      <w:start w:val="1"/>
      <w:numFmt w:val="decimal"/>
      <w:lvlText w:val="%2."/>
      <w:lvlJc w:val="left"/>
      <w:pPr>
        <w:tabs>
          <w:tab w:val="num" w:pos="1440"/>
        </w:tabs>
        <w:ind w:left="1440" w:hanging="360"/>
      </w:pPr>
    </w:lvl>
    <w:lvl w:ilvl="2" w:tplc="099E58B0" w:tentative="1">
      <w:start w:val="1"/>
      <w:numFmt w:val="decimal"/>
      <w:lvlText w:val="%3."/>
      <w:lvlJc w:val="left"/>
      <w:pPr>
        <w:tabs>
          <w:tab w:val="num" w:pos="2160"/>
        </w:tabs>
        <w:ind w:left="2160" w:hanging="360"/>
      </w:pPr>
    </w:lvl>
    <w:lvl w:ilvl="3" w:tplc="F0B29584" w:tentative="1">
      <w:start w:val="1"/>
      <w:numFmt w:val="decimal"/>
      <w:lvlText w:val="%4."/>
      <w:lvlJc w:val="left"/>
      <w:pPr>
        <w:tabs>
          <w:tab w:val="num" w:pos="2880"/>
        </w:tabs>
        <w:ind w:left="2880" w:hanging="360"/>
      </w:pPr>
    </w:lvl>
    <w:lvl w:ilvl="4" w:tplc="530A37BA" w:tentative="1">
      <w:start w:val="1"/>
      <w:numFmt w:val="decimal"/>
      <w:lvlText w:val="%5."/>
      <w:lvlJc w:val="left"/>
      <w:pPr>
        <w:tabs>
          <w:tab w:val="num" w:pos="3600"/>
        </w:tabs>
        <w:ind w:left="3600" w:hanging="360"/>
      </w:pPr>
    </w:lvl>
    <w:lvl w:ilvl="5" w:tplc="27288AF0" w:tentative="1">
      <w:start w:val="1"/>
      <w:numFmt w:val="decimal"/>
      <w:lvlText w:val="%6."/>
      <w:lvlJc w:val="left"/>
      <w:pPr>
        <w:tabs>
          <w:tab w:val="num" w:pos="4320"/>
        </w:tabs>
        <w:ind w:left="4320" w:hanging="360"/>
      </w:pPr>
    </w:lvl>
    <w:lvl w:ilvl="6" w:tplc="C06092A6" w:tentative="1">
      <w:start w:val="1"/>
      <w:numFmt w:val="decimal"/>
      <w:lvlText w:val="%7."/>
      <w:lvlJc w:val="left"/>
      <w:pPr>
        <w:tabs>
          <w:tab w:val="num" w:pos="5040"/>
        </w:tabs>
        <w:ind w:left="5040" w:hanging="360"/>
      </w:pPr>
    </w:lvl>
    <w:lvl w:ilvl="7" w:tplc="9606FD96" w:tentative="1">
      <w:start w:val="1"/>
      <w:numFmt w:val="decimal"/>
      <w:lvlText w:val="%8."/>
      <w:lvlJc w:val="left"/>
      <w:pPr>
        <w:tabs>
          <w:tab w:val="num" w:pos="5760"/>
        </w:tabs>
        <w:ind w:left="5760" w:hanging="360"/>
      </w:pPr>
    </w:lvl>
    <w:lvl w:ilvl="8" w:tplc="FAF8B25E" w:tentative="1">
      <w:start w:val="1"/>
      <w:numFmt w:val="decimal"/>
      <w:lvlText w:val="%9."/>
      <w:lvlJc w:val="left"/>
      <w:pPr>
        <w:tabs>
          <w:tab w:val="num" w:pos="6480"/>
        </w:tabs>
        <w:ind w:left="6480" w:hanging="360"/>
      </w:pPr>
    </w:lvl>
  </w:abstractNum>
  <w:abstractNum w:abstractNumId="3" w15:restartNumberingAfterBreak="0">
    <w:nsid w:val="445D6157"/>
    <w:multiLevelType w:val="hybridMultilevel"/>
    <w:tmpl w:val="19C4B9C0"/>
    <w:lvl w:ilvl="0" w:tplc="92C05B9A">
      <w:start w:val="1"/>
      <w:numFmt w:val="decimal"/>
      <w:lvlText w:val="%1."/>
      <w:lvlJc w:val="left"/>
      <w:pPr>
        <w:tabs>
          <w:tab w:val="num" w:pos="720"/>
        </w:tabs>
        <w:ind w:left="720" w:hanging="360"/>
      </w:pPr>
    </w:lvl>
    <w:lvl w:ilvl="1" w:tplc="9B220524" w:tentative="1">
      <w:start w:val="1"/>
      <w:numFmt w:val="decimal"/>
      <w:lvlText w:val="%2."/>
      <w:lvlJc w:val="left"/>
      <w:pPr>
        <w:tabs>
          <w:tab w:val="num" w:pos="1440"/>
        </w:tabs>
        <w:ind w:left="1440" w:hanging="360"/>
      </w:pPr>
    </w:lvl>
    <w:lvl w:ilvl="2" w:tplc="8F8A1CDC" w:tentative="1">
      <w:start w:val="1"/>
      <w:numFmt w:val="decimal"/>
      <w:lvlText w:val="%3."/>
      <w:lvlJc w:val="left"/>
      <w:pPr>
        <w:tabs>
          <w:tab w:val="num" w:pos="2160"/>
        </w:tabs>
        <w:ind w:left="2160" w:hanging="360"/>
      </w:pPr>
    </w:lvl>
    <w:lvl w:ilvl="3" w:tplc="7252505E" w:tentative="1">
      <w:start w:val="1"/>
      <w:numFmt w:val="decimal"/>
      <w:lvlText w:val="%4."/>
      <w:lvlJc w:val="left"/>
      <w:pPr>
        <w:tabs>
          <w:tab w:val="num" w:pos="2880"/>
        </w:tabs>
        <w:ind w:left="2880" w:hanging="360"/>
      </w:pPr>
    </w:lvl>
    <w:lvl w:ilvl="4" w:tplc="A60EF902" w:tentative="1">
      <w:start w:val="1"/>
      <w:numFmt w:val="decimal"/>
      <w:lvlText w:val="%5."/>
      <w:lvlJc w:val="left"/>
      <w:pPr>
        <w:tabs>
          <w:tab w:val="num" w:pos="3600"/>
        </w:tabs>
        <w:ind w:left="3600" w:hanging="360"/>
      </w:pPr>
    </w:lvl>
    <w:lvl w:ilvl="5" w:tplc="5D0E4546" w:tentative="1">
      <w:start w:val="1"/>
      <w:numFmt w:val="decimal"/>
      <w:lvlText w:val="%6."/>
      <w:lvlJc w:val="left"/>
      <w:pPr>
        <w:tabs>
          <w:tab w:val="num" w:pos="4320"/>
        </w:tabs>
        <w:ind w:left="4320" w:hanging="360"/>
      </w:pPr>
    </w:lvl>
    <w:lvl w:ilvl="6" w:tplc="07DAAFC2" w:tentative="1">
      <w:start w:val="1"/>
      <w:numFmt w:val="decimal"/>
      <w:lvlText w:val="%7."/>
      <w:lvlJc w:val="left"/>
      <w:pPr>
        <w:tabs>
          <w:tab w:val="num" w:pos="5040"/>
        </w:tabs>
        <w:ind w:left="5040" w:hanging="360"/>
      </w:pPr>
    </w:lvl>
    <w:lvl w:ilvl="7" w:tplc="40BCD1C8" w:tentative="1">
      <w:start w:val="1"/>
      <w:numFmt w:val="decimal"/>
      <w:lvlText w:val="%8."/>
      <w:lvlJc w:val="left"/>
      <w:pPr>
        <w:tabs>
          <w:tab w:val="num" w:pos="5760"/>
        </w:tabs>
        <w:ind w:left="5760" w:hanging="360"/>
      </w:pPr>
    </w:lvl>
    <w:lvl w:ilvl="8" w:tplc="7A769C4A" w:tentative="1">
      <w:start w:val="1"/>
      <w:numFmt w:val="decimal"/>
      <w:lvlText w:val="%9."/>
      <w:lvlJc w:val="left"/>
      <w:pPr>
        <w:tabs>
          <w:tab w:val="num" w:pos="6480"/>
        </w:tabs>
        <w:ind w:left="6480" w:hanging="360"/>
      </w:pPr>
    </w:lvl>
  </w:abstractNum>
  <w:abstractNum w:abstractNumId="4" w15:restartNumberingAfterBreak="0">
    <w:nsid w:val="49FA3B7D"/>
    <w:multiLevelType w:val="hybridMultilevel"/>
    <w:tmpl w:val="E9BA10FA"/>
    <w:lvl w:ilvl="0" w:tplc="C730388E">
      <w:start w:val="1"/>
      <w:numFmt w:val="decimal"/>
      <w:lvlText w:val="%1."/>
      <w:lvlJc w:val="left"/>
      <w:pPr>
        <w:tabs>
          <w:tab w:val="num" w:pos="720"/>
        </w:tabs>
        <w:ind w:left="720" w:hanging="360"/>
      </w:pPr>
    </w:lvl>
    <w:lvl w:ilvl="1" w:tplc="EBACA9CC" w:tentative="1">
      <w:start w:val="1"/>
      <w:numFmt w:val="decimal"/>
      <w:lvlText w:val="%2."/>
      <w:lvlJc w:val="left"/>
      <w:pPr>
        <w:tabs>
          <w:tab w:val="num" w:pos="1440"/>
        </w:tabs>
        <w:ind w:left="1440" w:hanging="360"/>
      </w:pPr>
    </w:lvl>
    <w:lvl w:ilvl="2" w:tplc="ABFC7476" w:tentative="1">
      <w:start w:val="1"/>
      <w:numFmt w:val="decimal"/>
      <w:lvlText w:val="%3."/>
      <w:lvlJc w:val="left"/>
      <w:pPr>
        <w:tabs>
          <w:tab w:val="num" w:pos="2160"/>
        </w:tabs>
        <w:ind w:left="2160" w:hanging="360"/>
      </w:pPr>
    </w:lvl>
    <w:lvl w:ilvl="3" w:tplc="6E58870E" w:tentative="1">
      <w:start w:val="1"/>
      <w:numFmt w:val="decimal"/>
      <w:lvlText w:val="%4."/>
      <w:lvlJc w:val="left"/>
      <w:pPr>
        <w:tabs>
          <w:tab w:val="num" w:pos="2880"/>
        </w:tabs>
        <w:ind w:left="2880" w:hanging="360"/>
      </w:pPr>
    </w:lvl>
    <w:lvl w:ilvl="4" w:tplc="C41883A2" w:tentative="1">
      <w:start w:val="1"/>
      <w:numFmt w:val="decimal"/>
      <w:lvlText w:val="%5."/>
      <w:lvlJc w:val="left"/>
      <w:pPr>
        <w:tabs>
          <w:tab w:val="num" w:pos="3600"/>
        </w:tabs>
        <w:ind w:left="3600" w:hanging="360"/>
      </w:pPr>
    </w:lvl>
    <w:lvl w:ilvl="5" w:tplc="6A12BE3E" w:tentative="1">
      <w:start w:val="1"/>
      <w:numFmt w:val="decimal"/>
      <w:lvlText w:val="%6."/>
      <w:lvlJc w:val="left"/>
      <w:pPr>
        <w:tabs>
          <w:tab w:val="num" w:pos="4320"/>
        </w:tabs>
        <w:ind w:left="4320" w:hanging="360"/>
      </w:pPr>
    </w:lvl>
    <w:lvl w:ilvl="6" w:tplc="C6BCD07C" w:tentative="1">
      <w:start w:val="1"/>
      <w:numFmt w:val="decimal"/>
      <w:lvlText w:val="%7."/>
      <w:lvlJc w:val="left"/>
      <w:pPr>
        <w:tabs>
          <w:tab w:val="num" w:pos="5040"/>
        </w:tabs>
        <w:ind w:left="5040" w:hanging="360"/>
      </w:pPr>
    </w:lvl>
    <w:lvl w:ilvl="7" w:tplc="DEA0299E" w:tentative="1">
      <w:start w:val="1"/>
      <w:numFmt w:val="decimal"/>
      <w:lvlText w:val="%8."/>
      <w:lvlJc w:val="left"/>
      <w:pPr>
        <w:tabs>
          <w:tab w:val="num" w:pos="5760"/>
        </w:tabs>
        <w:ind w:left="5760" w:hanging="360"/>
      </w:pPr>
    </w:lvl>
    <w:lvl w:ilvl="8" w:tplc="D8BE6836"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4D"/>
    <w:rsid w:val="006A5F4D"/>
    <w:rsid w:val="00A115FB"/>
    <w:rsid w:val="00DE3161"/>
    <w:rsid w:val="00F7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30B44-2A7A-45A3-A5B6-04C5A99E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F4D"/>
    <w:rPr>
      <w:color w:val="0563C1" w:themeColor="hyperlink"/>
      <w:u w:val="single"/>
    </w:rPr>
  </w:style>
  <w:style w:type="paragraph" w:styleId="ListParagraph">
    <w:name w:val="List Paragraph"/>
    <w:basedOn w:val="Normal"/>
    <w:uiPriority w:val="34"/>
    <w:qFormat/>
    <w:rsid w:val="006A5F4D"/>
    <w:pPr>
      <w:ind w:left="720"/>
      <w:contextualSpacing/>
    </w:pPr>
  </w:style>
  <w:style w:type="paragraph" w:styleId="Header">
    <w:name w:val="header"/>
    <w:basedOn w:val="Normal"/>
    <w:link w:val="HeaderChar"/>
    <w:uiPriority w:val="99"/>
    <w:unhideWhenUsed/>
    <w:rsid w:val="006A5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4D"/>
  </w:style>
  <w:style w:type="paragraph" w:styleId="Footer">
    <w:name w:val="footer"/>
    <w:basedOn w:val="Normal"/>
    <w:link w:val="FooterChar"/>
    <w:uiPriority w:val="99"/>
    <w:unhideWhenUsed/>
    <w:rsid w:val="006A5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4D"/>
  </w:style>
  <w:style w:type="paragraph" w:styleId="BalloonText">
    <w:name w:val="Balloon Text"/>
    <w:basedOn w:val="Normal"/>
    <w:link w:val="BalloonTextChar"/>
    <w:uiPriority w:val="99"/>
    <w:semiHidden/>
    <w:unhideWhenUsed/>
    <w:rsid w:val="00DE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86278">
      <w:bodyDiv w:val="1"/>
      <w:marLeft w:val="0"/>
      <w:marRight w:val="0"/>
      <w:marTop w:val="0"/>
      <w:marBottom w:val="0"/>
      <w:divBdr>
        <w:top w:val="none" w:sz="0" w:space="0" w:color="auto"/>
        <w:left w:val="none" w:sz="0" w:space="0" w:color="auto"/>
        <w:bottom w:val="none" w:sz="0" w:space="0" w:color="auto"/>
        <w:right w:val="none" w:sz="0" w:space="0" w:color="auto"/>
      </w:divBdr>
    </w:div>
    <w:div w:id="1574200349">
      <w:bodyDiv w:val="1"/>
      <w:marLeft w:val="0"/>
      <w:marRight w:val="0"/>
      <w:marTop w:val="0"/>
      <w:marBottom w:val="0"/>
      <w:divBdr>
        <w:top w:val="none" w:sz="0" w:space="0" w:color="auto"/>
        <w:left w:val="none" w:sz="0" w:space="0" w:color="auto"/>
        <w:bottom w:val="none" w:sz="0" w:space="0" w:color="auto"/>
        <w:right w:val="none" w:sz="0" w:space="0" w:color="auto"/>
      </w:divBdr>
      <w:divsChild>
        <w:div w:id="1645117096">
          <w:marLeft w:val="1440"/>
          <w:marRight w:val="0"/>
          <w:marTop w:val="0"/>
          <w:marBottom w:val="0"/>
          <w:divBdr>
            <w:top w:val="none" w:sz="0" w:space="0" w:color="auto"/>
            <w:left w:val="none" w:sz="0" w:space="0" w:color="auto"/>
            <w:bottom w:val="none" w:sz="0" w:space="0" w:color="auto"/>
            <w:right w:val="none" w:sz="0" w:space="0" w:color="auto"/>
          </w:divBdr>
        </w:div>
        <w:div w:id="332489805">
          <w:marLeft w:val="1440"/>
          <w:marRight w:val="0"/>
          <w:marTop w:val="0"/>
          <w:marBottom w:val="0"/>
          <w:divBdr>
            <w:top w:val="none" w:sz="0" w:space="0" w:color="auto"/>
            <w:left w:val="none" w:sz="0" w:space="0" w:color="auto"/>
            <w:bottom w:val="none" w:sz="0" w:space="0" w:color="auto"/>
            <w:right w:val="none" w:sz="0" w:space="0" w:color="auto"/>
          </w:divBdr>
        </w:div>
        <w:div w:id="902909698">
          <w:marLeft w:val="1440"/>
          <w:marRight w:val="0"/>
          <w:marTop w:val="0"/>
          <w:marBottom w:val="0"/>
          <w:divBdr>
            <w:top w:val="none" w:sz="0" w:space="0" w:color="auto"/>
            <w:left w:val="none" w:sz="0" w:space="0" w:color="auto"/>
            <w:bottom w:val="none" w:sz="0" w:space="0" w:color="auto"/>
            <w:right w:val="none" w:sz="0" w:space="0" w:color="auto"/>
          </w:divBdr>
        </w:div>
        <w:div w:id="410004074">
          <w:marLeft w:val="1440"/>
          <w:marRight w:val="0"/>
          <w:marTop w:val="0"/>
          <w:marBottom w:val="0"/>
          <w:divBdr>
            <w:top w:val="none" w:sz="0" w:space="0" w:color="auto"/>
            <w:left w:val="none" w:sz="0" w:space="0" w:color="auto"/>
            <w:bottom w:val="none" w:sz="0" w:space="0" w:color="auto"/>
            <w:right w:val="none" w:sz="0" w:space="0" w:color="auto"/>
          </w:divBdr>
        </w:div>
        <w:div w:id="1700548228">
          <w:marLeft w:val="1440"/>
          <w:marRight w:val="0"/>
          <w:marTop w:val="0"/>
          <w:marBottom w:val="0"/>
          <w:divBdr>
            <w:top w:val="none" w:sz="0" w:space="0" w:color="auto"/>
            <w:left w:val="none" w:sz="0" w:space="0" w:color="auto"/>
            <w:bottom w:val="none" w:sz="0" w:space="0" w:color="auto"/>
            <w:right w:val="none" w:sz="0" w:space="0" w:color="auto"/>
          </w:divBdr>
        </w:div>
        <w:div w:id="1415669706">
          <w:marLeft w:val="1440"/>
          <w:marRight w:val="0"/>
          <w:marTop w:val="0"/>
          <w:marBottom w:val="0"/>
          <w:divBdr>
            <w:top w:val="none" w:sz="0" w:space="0" w:color="auto"/>
            <w:left w:val="none" w:sz="0" w:space="0" w:color="auto"/>
            <w:bottom w:val="none" w:sz="0" w:space="0" w:color="auto"/>
            <w:right w:val="none" w:sz="0" w:space="0" w:color="auto"/>
          </w:divBdr>
        </w:div>
        <w:div w:id="2087192208">
          <w:marLeft w:val="1440"/>
          <w:marRight w:val="0"/>
          <w:marTop w:val="0"/>
          <w:marBottom w:val="0"/>
          <w:divBdr>
            <w:top w:val="none" w:sz="0" w:space="0" w:color="auto"/>
            <w:left w:val="none" w:sz="0" w:space="0" w:color="auto"/>
            <w:bottom w:val="none" w:sz="0" w:space="0" w:color="auto"/>
            <w:right w:val="none" w:sz="0" w:space="0" w:color="auto"/>
          </w:divBdr>
        </w:div>
        <w:div w:id="1127049508">
          <w:marLeft w:val="1440"/>
          <w:marRight w:val="0"/>
          <w:marTop w:val="0"/>
          <w:marBottom w:val="0"/>
          <w:divBdr>
            <w:top w:val="none" w:sz="0" w:space="0" w:color="auto"/>
            <w:left w:val="none" w:sz="0" w:space="0" w:color="auto"/>
            <w:bottom w:val="none" w:sz="0" w:space="0" w:color="auto"/>
            <w:right w:val="none" w:sz="0" w:space="0" w:color="auto"/>
          </w:divBdr>
        </w:div>
        <w:div w:id="1490709873">
          <w:marLeft w:val="720"/>
          <w:marRight w:val="0"/>
          <w:marTop w:val="0"/>
          <w:marBottom w:val="0"/>
          <w:divBdr>
            <w:top w:val="none" w:sz="0" w:space="0" w:color="auto"/>
            <w:left w:val="none" w:sz="0" w:space="0" w:color="auto"/>
            <w:bottom w:val="none" w:sz="0" w:space="0" w:color="auto"/>
            <w:right w:val="none" w:sz="0" w:space="0" w:color="auto"/>
          </w:divBdr>
        </w:div>
        <w:div w:id="1374504888">
          <w:marLeft w:val="720"/>
          <w:marRight w:val="0"/>
          <w:marTop w:val="0"/>
          <w:marBottom w:val="0"/>
          <w:divBdr>
            <w:top w:val="none" w:sz="0" w:space="0" w:color="auto"/>
            <w:left w:val="none" w:sz="0" w:space="0" w:color="auto"/>
            <w:bottom w:val="none" w:sz="0" w:space="0" w:color="auto"/>
            <w:right w:val="none" w:sz="0" w:space="0" w:color="auto"/>
          </w:divBdr>
        </w:div>
        <w:div w:id="1090808500">
          <w:marLeft w:val="720"/>
          <w:marRight w:val="0"/>
          <w:marTop w:val="0"/>
          <w:marBottom w:val="0"/>
          <w:divBdr>
            <w:top w:val="none" w:sz="0" w:space="0" w:color="auto"/>
            <w:left w:val="none" w:sz="0" w:space="0" w:color="auto"/>
            <w:bottom w:val="none" w:sz="0" w:space="0" w:color="auto"/>
            <w:right w:val="none" w:sz="0" w:space="0" w:color="auto"/>
          </w:divBdr>
        </w:div>
        <w:div w:id="827671743">
          <w:marLeft w:val="720"/>
          <w:marRight w:val="0"/>
          <w:marTop w:val="0"/>
          <w:marBottom w:val="0"/>
          <w:divBdr>
            <w:top w:val="none" w:sz="0" w:space="0" w:color="auto"/>
            <w:left w:val="none" w:sz="0" w:space="0" w:color="auto"/>
            <w:bottom w:val="none" w:sz="0" w:space="0" w:color="auto"/>
            <w:right w:val="none" w:sz="0" w:space="0" w:color="auto"/>
          </w:divBdr>
        </w:div>
        <w:div w:id="1946620258">
          <w:marLeft w:val="720"/>
          <w:marRight w:val="0"/>
          <w:marTop w:val="0"/>
          <w:marBottom w:val="0"/>
          <w:divBdr>
            <w:top w:val="none" w:sz="0" w:space="0" w:color="auto"/>
            <w:left w:val="none" w:sz="0" w:space="0" w:color="auto"/>
            <w:bottom w:val="none" w:sz="0" w:space="0" w:color="auto"/>
            <w:right w:val="none" w:sz="0" w:space="0" w:color="auto"/>
          </w:divBdr>
        </w:div>
        <w:div w:id="948393190">
          <w:marLeft w:val="720"/>
          <w:marRight w:val="0"/>
          <w:marTop w:val="0"/>
          <w:marBottom w:val="0"/>
          <w:divBdr>
            <w:top w:val="none" w:sz="0" w:space="0" w:color="auto"/>
            <w:left w:val="none" w:sz="0" w:space="0" w:color="auto"/>
            <w:bottom w:val="none" w:sz="0" w:space="0" w:color="auto"/>
            <w:right w:val="none" w:sz="0" w:space="0" w:color="auto"/>
          </w:divBdr>
        </w:div>
        <w:div w:id="1659109975">
          <w:marLeft w:val="720"/>
          <w:marRight w:val="0"/>
          <w:marTop w:val="0"/>
          <w:marBottom w:val="320"/>
          <w:divBdr>
            <w:top w:val="none" w:sz="0" w:space="0" w:color="auto"/>
            <w:left w:val="none" w:sz="0" w:space="0" w:color="auto"/>
            <w:bottom w:val="none" w:sz="0" w:space="0" w:color="auto"/>
            <w:right w:val="none" w:sz="0" w:space="0" w:color="auto"/>
          </w:divBdr>
        </w:div>
        <w:div w:id="949118989">
          <w:marLeft w:val="720"/>
          <w:marRight w:val="0"/>
          <w:marTop w:val="0"/>
          <w:marBottom w:val="320"/>
          <w:divBdr>
            <w:top w:val="none" w:sz="0" w:space="0" w:color="auto"/>
            <w:left w:val="none" w:sz="0" w:space="0" w:color="auto"/>
            <w:bottom w:val="none" w:sz="0" w:space="0" w:color="auto"/>
            <w:right w:val="none" w:sz="0" w:space="0" w:color="auto"/>
          </w:divBdr>
        </w:div>
      </w:divsChild>
    </w:div>
    <w:div w:id="16194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gsci.psu.edu/magazine/articles/2015/spring-summer/the-science-of-g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Christine</dc:creator>
  <cp:keywords/>
  <dc:description/>
  <cp:lastModifiedBy>Thomas, Christine</cp:lastModifiedBy>
  <cp:revision>1</cp:revision>
  <cp:lastPrinted>2017-06-22T18:17:00Z</cp:lastPrinted>
  <dcterms:created xsi:type="dcterms:W3CDTF">2017-06-22T17:59:00Z</dcterms:created>
  <dcterms:modified xsi:type="dcterms:W3CDTF">2017-06-27T15:28:00Z</dcterms:modified>
</cp:coreProperties>
</file>