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1C" w:rsidRDefault="00B2762B" w:rsidP="000E3FDC">
      <w:pPr>
        <w:jc w:val="center"/>
      </w:pPr>
      <w:r>
        <w:rPr>
          <w:noProof/>
        </w:rPr>
        <w:drawing>
          <wp:inline distT="0" distB="0" distL="0" distR="0">
            <wp:extent cx="5962649" cy="2200275"/>
            <wp:effectExtent l="19050" t="0" r="1"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stretch>
                      <a:fillRect/>
                    </a:stretch>
                  </pic:blipFill>
                  <pic:spPr>
                    <a:xfrm>
                      <a:off x="0" y="0"/>
                      <a:ext cx="5963483" cy="2200583"/>
                    </a:xfrm>
                    <a:prstGeom prst="rect">
                      <a:avLst/>
                    </a:prstGeom>
                  </pic:spPr>
                </pic:pic>
              </a:graphicData>
            </a:graphic>
          </wp:inline>
        </w:drawing>
      </w:r>
    </w:p>
    <w:p w:rsidR="00B2762B" w:rsidRPr="005702B3" w:rsidRDefault="00B2762B" w:rsidP="005702B3">
      <w:pPr>
        <w:jc w:val="center"/>
        <w:rPr>
          <w:b/>
          <w:sz w:val="40"/>
          <w:szCs w:val="40"/>
        </w:rPr>
      </w:pPr>
      <w:r w:rsidRPr="005702B3">
        <w:rPr>
          <w:b/>
          <w:sz w:val="40"/>
          <w:szCs w:val="40"/>
        </w:rPr>
        <w:t>KFM A460 Interceptor Cylinder Head</w:t>
      </w:r>
    </w:p>
    <w:p w:rsidR="00B2762B" w:rsidRDefault="00B2762B" w:rsidP="00B2762B">
      <w:r>
        <w:t xml:space="preserve">The Interceptor is a high-flowing port option for the Trick Flow A460 racer. The enlarged intake runner has a unique angle to closely match the angle of the intake valve for optimized flow. The CNC programs for the intake port, exhaust port and combustion chamber are designed to achieve performance exceeding the normal limitations of the Trick Flow A460 without welding or valve relocation. </w:t>
      </w:r>
    </w:p>
    <w:p w:rsidR="00B2762B" w:rsidRDefault="00D71A6C" w:rsidP="00B2762B">
      <w:pPr>
        <w:rPr>
          <w:noProof/>
        </w:rPr>
      </w:pPr>
      <w:r>
        <w:rPr>
          <w:noProof/>
        </w:rPr>
        <w:drawing>
          <wp:inline distT="0" distB="0" distL="0" distR="0">
            <wp:extent cx="3388001" cy="1637059"/>
            <wp:effectExtent l="19050" t="0" r="2899" b="0"/>
            <wp:docPr id="6" name="Picture 5" descr="IMG_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5.jpg"/>
                    <pic:cNvPicPr/>
                  </pic:nvPicPr>
                  <pic:blipFill>
                    <a:blip r:embed="rId9" cstate="print"/>
                    <a:srcRect t="16318" b="18973"/>
                    <a:stretch>
                      <a:fillRect/>
                    </a:stretch>
                  </pic:blipFill>
                  <pic:spPr>
                    <a:xfrm>
                      <a:off x="0" y="0"/>
                      <a:ext cx="3391050" cy="1638532"/>
                    </a:xfrm>
                    <a:prstGeom prst="rect">
                      <a:avLst/>
                    </a:prstGeom>
                  </pic:spPr>
                </pic:pic>
              </a:graphicData>
            </a:graphic>
          </wp:inline>
        </w:drawing>
      </w:r>
      <w:r w:rsidR="005702B3">
        <w:rPr>
          <w:noProof/>
        </w:rPr>
        <w:t xml:space="preserve">        </w:t>
      </w:r>
      <w:r w:rsidR="005702B3">
        <w:rPr>
          <w:noProof/>
        </w:rPr>
        <w:drawing>
          <wp:inline distT="0" distB="0" distL="0" distR="0">
            <wp:extent cx="2943225" cy="1628775"/>
            <wp:effectExtent l="19050" t="0" r="9525" b="0"/>
            <wp:docPr id="8" name="Picture 7" descr="IMG_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6.jpg"/>
                    <pic:cNvPicPr/>
                  </pic:nvPicPr>
                  <pic:blipFill>
                    <a:blip r:embed="rId10" cstate="print"/>
                    <a:srcRect t="18615" b="7359"/>
                    <a:stretch>
                      <a:fillRect/>
                    </a:stretch>
                  </pic:blipFill>
                  <pic:spPr>
                    <a:xfrm>
                      <a:off x="0" y="0"/>
                      <a:ext cx="2943225" cy="1628775"/>
                    </a:xfrm>
                    <a:prstGeom prst="rect">
                      <a:avLst/>
                    </a:prstGeom>
                  </pic:spPr>
                </pic:pic>
              </a:graphicData>
            </a:graphic>
          </wp:inline>
        </w:drawing>
      </w:r>
    </w:p>
    <w:p w:rsidR="005702B3" w:rsidRDefault="005702B3" w:rsidP="00B2762B">
      <w:r>
        <w:rPr>
          <w:noProof/>
        </w:rPr>
        <w:drawing>
          <wp:inline distT="0" distB="0" distL="0" distR="0">
            <wp:extent cx="2157413" cy="2876550"/>
            <wp:effectExtent l="19050" t="0" r="0" b="0"/>
            <wp:docPr id="9" name="Picture 8" descr="IMG_8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30.jpg"/>
                    <pic:cNvPicPr/>
                  </pic:nvPicPr>
                  <pic:blipFill>
                    <a:blip r:embed="rId11" cstate="print"/>
                    <a:stretch>
                      <a:fillRect/>
                    </a:stretch>
                  </pic:blipFill>
                  <pic:spPr>
                    <a:xfrm>
                      <a:off x="0" y="0"/>
                      <a:ext cx="2157413" cy="2876550"/>
                    </a:xfrm>
                    <a:prstGeom prst="rect">
                      <a:avLst/>
                    </a:prstGeom>
                  </pic:spPr>
                </pic:pic>
              </a:graphicData>
            </a:graphic>
          </wp:inline>
        </w:drawing>
      </w:r>
      <w:r>
        <w:rPr>
          <w:noProof/>
        </w:rPr>
        <w:t xml:space="preserve">    </w:t>
      </w:r>
      <w:r>
        <w:rPr>
          <w:noProof/>
        </w:rPr>
        <w:drawing>
          <wp:inline distT="0" distB="0" distL="0" distR="0">
            <wp:extent cx="4293364" cy="2686050"/>
            <wp:effectExtent l="19050" t="0" r="0" b="0"/>
            <wp:docPr id="11" name="Picture 10" descr="IMG_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8.jpg"/>
                    <pic:cNvPicPr/>
                  </pic:nvPicPr>
                  <pic:blipFill>
                    <a:blip r:embed="rId12" cstate="print"/>
                    <a:srcRect t="26388" b="26679"/>
                    <a:stretch>
                      <a:fillRect/>
                    </a:stretch>
                  </pic:blipFill>
                  <pic:spPr>
                    <a:xfrm>
                      <a:off x="0" y="0"/>
                      <a:ext cx="4295740" cy="2687536"/>
                    </a:xfrm>
                    <a:prstGeom prst="rect">
                      <a:avLst/>
                    </a:prstGeom>
                  </pic:spPr>
                </pic:pic>
              </a:graphicData>
            </a:graphic>
          </wp:inline>
        </w:drawing>
      </w:r>
    </w:p>
    <w:p w:rsidR="00B2762B" w:rsidRDefault="00B2762B" w:rsidP="00B2762B"/>
    <w:p w:rsidR="006D3A52" w:rsidRDefault="006D3A52" w:rsidP="00B2762B"/>
    <w:p w:rsidR="006D3A52" w:rsidRDefault="006D3A52" w:rsidP="00B2762B"/>
    <w:p w:rsidR="00B2762B" w:rsidRDefault="00B2762B" w:rsidP="00B2762B">
      <w:r>
        <w:t>CNC machining is performed on Centroid 5-axis and Cincinnati Milacron 4-axis equipment.</w:t>
      </w:r>
    </w:p>
    <w:p w:rsidR="00B2762B" w:rsidRDefault="00B2762B" w:rsidP="00B2762B">
      <w:r>
        <w:t xml:space="preserve">Valve seat and guide installation and machining are performed, using Sunnen equipment. </w:t>
      </w:r>
    </w:p>
    <w:p w:rsidR="00B2762B" w:rsidRPr="005702B3" w:rsidRDefault="00B2762B" w:rsidP="00B2762B">
      <w:pPr>
        <w:rPr>
          <w:b/>
        </w:rPr>
      </w:pPr>
      <w:r w:rsidRPr="005702B3">
        <w:rPr>
          <w:b/>
        </w:rPr>
        <w:t>Basic Package</w:t>
      </w:r>
    </w:p>
    <w:p w:rsidR="00B2762B" w:rsidRDefault="00B2762B" w:rsidP="00B2762B">
      <w:pPr>
        <w:spacing w:after="120" w:line="240" w:lineRule="auto"/>
      </w:pPr>
      <w:r>
        <w:t>Trick Flow 18-bolt castings</w:t>
      </w:r>
    </w:p>
    <w:p w:rsidR="00B2762B" w:rsidRDefault="00B2762B" w:rsidP="00B2762B">
      <w:pPr>
        <w:spacing w:after="120" w:line="240" w:lineRule="auto"/>
      </w:pPr>
      <w:r>
        <w:t>KFM Interceptor CNC machining of intake and exhaust ports</w:t>
      </w:r>
    </w:p>
    <w:p w:rsidR="00B2762B" w:rsidRDefault="00B2762B" w:rsidP="00B2762B">
      <w:pPr>
        <w:spacing w:after="120" w:line="240" w:lineRule="auto"/>
      </w:pPr>
      <w:r>
        <w:t>Installation of stainless steel tubing in any head bolt holes exposed to exhaust port</w:t>
      </w:r>
    </w:p>
    <w:p w:rsidR="00B2762B" w:rsidRDefault="00B2762B" w:rsidP="00B2762B">
      <w:pPr>
        <w:spacing w:after="120" w:line="240" w:lineRule="auto"/>
      </w:pPr>
      <w:r>
        <w:t>Optimization of oil drain back channels</w:t>
      </w:r>
    </w:p>
    <w:p w:rsidR="00B2762B" w:rsidRDefault="00B2762B" w:rsidP="00B2762B">
      <w:pPr>
        <w:spacing w:after="120" w:line="240" w:lineRule="auto"/>
      </w:pPr>
      <w:r>
        <w:t>Installation of valve guides</w:t>
      </w:r>
    </w:p>
    <w:p w:rsidR="00B2762B" w:rsidRDefault="00B2762B" w:rsidP="00B2762B">
      <w:pPr>
        <w:spacing w:after="120" w:line="240" w:lineRule="auto"/>
      </w:pPr>
      <w:r>
        <w:t>Installation of beryllium/copper intake and exhaust valve seats for 2.50” intake and 1.82” exhaust valves</w:t>
      </w:r>
    </w:p>
    <w:p w:rsidR="00B2762B" w:rsidRDefault="00B2762B" w:rsidP="00B2762B">
      <w:pPr>
        <w:spacing w:after="120" w:line="240" w:lineRule="auto"/>
      </w:pPr>
      <w:r>
        <w:t>Machining of seats and hand blending to port and chamber</w:t>
      </w:r>
    </w:p>
    <w:p w:rsidR="00B2762B" w:rsidRDefault="00B2762B" w:rsidP="00B2762B">
      <w:pPr>
        <w:spacing w:after="120" w:line="240" w:lineRule="auto"/>
      </w:pPr>
      <w:r>
        <w:t>Hand finishing of port entrance as required</w:t>
      </w:r>
    </w:p>
    <w:p w:rsidR="00B2762B" w:rsidRDefault="00B2762B" w:rsidP="00B2762B">
      <w:pPr>
        <w:spacing w:after="120" w:line="240" w:lineRule="auto"/>
      </w:pPr>
      <w:r>
        <w:t>Valve job and additional blending as required</w:t>
      </w:r>
    </w:p>
    <w:p w:rsidR="00B2762B" w:rsidRDefault="00B2762B" w:rsidP="00B2762B">
      <w:pPr>
        <w:spacing w:after="120" w:line="240" w:lineRule="auto"/>
      </w:pPr>
      <w:r>
        <w:t>Flow bench validation of ports and chamber</w:t>
      </w:r>
    </w:p>
    <w:p w:rsidR="00B2762B" w:rsidRDefault="00B2762B" w:rsidP="00B2762B">
      <w:pPr>
        <w:spacing w:after="120" w:line="240" w:lineRule="auto"/>
      </w:pPr>
      <w:r>
        <w:t>Combustion chamber volume test and deck surface machining</w:t>
      </w:r>
    </w:p>
    <w:p w:rsidR="00B2762B" w:rsidRDefault="00B2762B" w:rsidP="00B2762B">
      <w:pPr>
        <w:spacing w:after="120" w:line="240" w:lineRule="auto"/>
      </w:pPr>
      <w:r>
        <w:t>Price – $5488.00</w:t>
      </w:r>
    </w:p>
    <w:p w:rsidR="00B2762B" w:rsidRDefault="006D3A52" w:rsidP="00B2762B">
      <w:pPr>
        <w:spacing w:after="120" w:line="240" w:lineRule="auto"/>
      </w:pPr>
      <w:r>
        <w:rPr>
          <w:noProof/>
          <w:lang w:eastAsia="zh-TW"/>
        </w:rPr>
        <w:pict>
          <v:shapetype id="_x0000_t202" coordsize="21600,21600" o:spt="202" path="m,l,21600r21600,l21600,xe">
            <v:stroke joinstyle="miter"/>
            <v:path gradientshapeok="t" o:connecttype="rect"/>
          </v:shapetype>
          <v:shape id="_x0000_s1044" type="#_x0000_t202" style="position:absolute;margin-left:283.6pt;margin-top:9.35pt;width:231.65pt;height:208.85pt;z-index:251660288;mso-width-relative:margin;mso-height-relative:margin">
            <v:textbox>
              <w:txbxContent>
                <w:p w:rsidR="001F65A2" w:rsidRDefault="001F65A2" w:rsidP="00C10627">
                  <w:pPr>
                    <w:spacing w:after="0"/>
                  </w:pPr>
                  <w:r>
                    <w:t>Flow</w:t>
                  </w:r>
                  <w:r w:rsidR="007E04ED">
                    <w:t xml:space="preserve"> Result s @ 28” on 4.650 bore and exhaust with 2 ¼” pipe</w:t>
                  </w:r>
                </w:p>
                <w:p w:rsidR="00C10627" w:rsidRDefault="00C10627" w:rsidP="00C10627">
                  <w:pPr>
                    <w:spacing w:after="0"/>
                  </w:pPr>
                  <w:r>
                    <w:tab/>
                    <w:t>Intake</w:t>
                  </w:r>
                  <w:r w:rsidR="007E04ED">
                    <w:t xml:space="preserve"> CFM</w:t>
                  </w:r>
                  <w:r>
                    <w:tab/>
                    <w:t>Exhaust</w:t>
                  </w:r>
                  <w:r w:rsidR="007E04ED">
                    <w:t xml:space="preserve"> CFM</w:t>
                  </w:r>
                </w:p>
                <w:p w:rsidR="00C10627" w:rsidRDefault="00C10627" w:rsidP="00C10627">
                  <w:pPr>
                    <w:spacing w:after="0"/>
                  </w:pPr>
                  <w:r>
                    <w:t>.200”</w:t>
                  </w:r>
                  <w:r>
                    <w:tab/>
                    <w:t>151</w:t>
                  </w:r>
                  <w:r w:rsidR="007E04ED">
                    <w:tab/>
                  </w:r>
                  <w:r w:rsidR="007E04ED">
                    <w:tab/>
                    <w:t>113</w:t>
                  </w:r>
                  <w:r w:rsidR="007E04ED">
                    <w:tab/>
                  </w:r>
                </w:p>
                <w:p w:rsidR="00C10627" w:rsidRDefault="00C10627" w:rsidP="00C10627">
                  <w:pPr>
                    <w:spacing w:after="0"/>
                  </w:pPr>
                  <w:r>
                    <w:t>.300”</w:t>
                  </w:r>
                  <w:r>
                    <w:tab/>
                    <w:t>235</w:t>
                  </w:r>
                  <w:r w:rsidR="007E04ED">
                    <w:tab/>
                  </w:r>
                  <w:r w:rsidR="007E04ED">
                    <w:tab/>
                    <w:t>164</w:t>
                  </w:r>
                </w:p>
                <w:p w:rsidR="00C10627" w:rsidRDefault="00C10627" w:rsidP="00C10627">
                  <w:pPr>
                    <w:spacing w:after="0"/>
                  </w:pPr>
                  <w:r>
                    <w:t>.400”</w:t>
                  </w:r>
                  <w:r>
                    <w:tab/>
                  </w:r>
                  <w:r w:rsidR="007E04ED">
                    <w:t>319</w:t>
                  </w:r>
                  <w:r w:rsidR="007E04ED">
                    <w:tab/>
                  </w:r>
                  <w:r w:rsidR="007E04ED">
                    <w:tab/>
                    <w:t>221</w:t>
                  </w:r>
                </w:p>
                <w:p w:rsidR="00C10627" w:rsidRDefault="00C10627" w:rsidP="00C10627">
                  <w:pPr>
                    <w:spacing w:after="0"/>
                  </w:pPr>
                  <w:r>
                    <w:t>.500”</w:t>
                  </w:r>
                  <w:r w:rsidR="007E04ED">
                    <w:tab/>
                    <w:t>393</w:t>
                  </w:r>
                  <w:r w:rsidR="007E04ED">
                    <w:tab/>
                  </w:r>
                  <w:r w:rsidR="007E04ED">
                    <w:tab/>
                    <w:t>278</w:t>
                  </w:r>
                </w:p>
                <w:p w:rsidR="00C10627" w:rsidRDefault="00C10627" w:rsidP="00C10627">
                  <w:pPr>
                    <w:spacing w:after="0"/>
                  </w:pPr>
                  <w:r>
                    <w:t>.600”</w:t>
                  </w:r>
                  <w:r w:rsidR="007E04ED">
                    <w:tab/>
                    <w:t>435</w:t>
                  </w:r>
                  <w:r w:rsidR="007E04ED">
                    <w:tab/>
                  </w:r>
                  <w:r w:rsidR="007E04ED">
                    <w:tab/>
                    <w:t>314</w:t>
                  </w:r>
                </w:p>
                <w:p w:rsidR="00C10627" w:rsidRDefault="00C10627" w:rsidP="00C10627">
                  <w:pPr>
                    <w:spacing w:after="0"/>
                  </w:pPr>
                  <w:r>
                    <w:t>.700”</w:t>
                  </w:r>
                  <w:r w:rsidR="007E04ED">
                    <w:tab/>
                    <w:t>462</w:t>
                  </w:r>
                  <w:r w:rsidR="007E04ED">
                    <w:tab/>
                  </w:r>
                  <w:r w:rsidR="007E04ED">
                    <w:tab/>
                    <w:t>342</w:t>
                  </w:r>
                  <w:r w:rsidR="007E04ED">
                    <w:tab/>
                  </w:r>
                </w:p>
                <w:p w:rsidR="00C10627" w:rsidRDefault="00C10627" w:rsidP="00C10627">
                  <w:pPr>
                    <w:spacing w:after="0"/>
                  </w:pPr>
                  <w:r>
                    <w:t>.800”</w:t>
                  </w:r>
                  <w:r w:rsidR="007E04ED">
                    <w:tab/>
                    <w:t>490</w:t>
                  </w:r>
                  <w:r w:rsidR="007E04ED">
                    <w:tab/>
                  </w:r>
                  <w:r w:rsidR="007E04ED">
                    <w:tab/>
                    <w:t>358</w:t>
                  </w:r>
                </w:p>
                <w:p w:rsidR="00C10627" w:rsidRDefault="00C10627" w:rsidP="00C10627">
                  <w:pPr>
                    <w:spacing w:after="0"/>
                  </w:pPr>
                  <w:r>
                    <w:t>.900”</w:t>
                  </w:r>
                  <w:r w:rsidR="007E04ED">
                    <w:tab/>
                    <w:t>510</w:t>
                  </w:r>
                  <w:r w:rsidR="007E04ED">
                    <w:tab/>
                  </w:r>
                  <w:r w:rsidR="007E04ED">
                    <w:tab/>
                    <w:t>365</w:t>
                  </w:r>
                </w:p>
                <w:p w:rsidR="00C10627" w:rsidRDefault="00C10627" w:rsidP="00C10627">
                  <w:pPr>
                    <w:spacing w:after="0"/>
                  </w:pPr>
                  <w:r>
                    <w:t>1.00”</w:t>
                  </w:r>
                  <w:r w:rsidR="007E04ED">
                    <w:tab/>
                    <w:t>528</w:t>
                  </w:r>
                  <w:r w:rsidR="007E04ED">
                    <w:tab/>
                  </w:r>
                  <w:r w:rsidR="007E04ED">
                    <w:tab/>
                    <w:t>366</w:t>
                  </w:r>
                </w:p>
                <w:p w:rsidR="00C10627" w:rsidRDefault="00C10627" w:rsidP="00C10627">
                  <w:pPr>
                    <w:spacing w:after="0"/>
                  </w:pPr>
                  <w:r>
                    <w:t>1.100”</w:t>
                  </w:r>
                  <w:r w:rsidR="007E04ED">
                    <w:tab/>
                    <w:t>535</w:t>
                  </w:r>
                  <w:r w:rsidR="007E04ED">
                    <w:tab/>
                  </w:r>
                  <w:r w:rsidR="007E04ED">
                    <w:tab/>
                    <w:t>368</w:t>
                  </w:r>
                </w:p>
                <w:p w:rsidR="00C10627" w:rsidRDefault="00C10627" w:rsidP="00C10627">
                  <w:pPr>
                    <w:spacing w:after="0"/>
                  </w:pPr>
                </w:p>
                <w:p w:rsidR="00C10627" w:rsidRDefault="00C10627"/>
              </w:txbxContent>
            </v:textbox>
          </v:shape>
        </w:pict>
      </w:r>
    </w:p>
    <w:p w:rsidR="00B2762B" w:rsidRPr="005702B3" w:rsidRDefault="00B2762B" w:rsidP="00B2762B">
      <w:pPr>
        <w:rPr>
          <w:b/>
        </w:rPr>
      </w:pPr>
      <w:r w:rsidRPr="005702B3">
        <w:rPr>
          <w:b/>
        </w:rPr>
        <w:t>Assembled Package</w:t>
      </w:r>
    </w:p>
    <w:p w:rsidR="00B2762B" w:rsidRDefault="00B2762B" w:rsidP="00B2762B">
      <w:pPr>
        <w:spacing w:after="120" w:line="240" w:lineRule="auto"/>
      </w:pPr>
      <w:r>
        <w:t>The entire Basic Package plus:</w:t>
      </w:r>
    </w:p>
    <w:p w:rsidR="00B2762B" w:rsidRDefault="00B2762B" w:rsidP="00B2762B">
      <w:pPr>
        <w:spacing w:after="120" w:line="240" w:lineRule="auto"/>
      </w:pPr>
      <w:r>
        <w:t>Ferrea or Victory titanium intake and exhaust valves</w:t>
      </w:r>
    </w:p>
    <w:p w:rsidR="00B2762B" w:rsidRDefault="00B2762B" w:rsidP="00B2762B">
      <w:pPr>
        <w:spacing w:after="120" w:line="240" w:lineRule="auto"/>
      </w:pPr>
      <w:r>
        <w:t>Valve spring seats – ID locators</w:t>
      </w:r>
    </w:p>
    <w:p w:rsidR="00B2762B" w:rsidRDefault="00B2762B" w:rsidP="00B2762B">
      <w:pPr>
        <w:spacing w:after="120" w:line="240" w:lineRule="auto"/>
      </w:pPr>
      <w:r>
        <w:t xml:space="preserve">Manley titanium retainers </w:t>
      </w:r>
    </w:p>
    <w:p w:rsidR="00B2762B" w:rsidRDefault="00B2762B" w:rsidP="00B2762B">
      <w:pPr>
        <w:spacing w:after="120" w:line="240" w:lineRule="auto"/>
      </w:pPr>
      <w:r>
        <w:t>Manley 10 degree bead type valve locks</w:t>
      </w:r>
    </w:p>
    <w:p w:rsidR="00B2762B" w:rsidRDefault="00B2762B" w:rsidP="00B2762B">
      <w:pPr>
        <w:spacing w:after="120" w:line="240" w:lineRule="auto"/>
      </w:pPr>
      <w:r>
        <w:t>Viton positive type valve seals</w:t>
      </w:r>
    </w:p>
    <w:p w:rsidR="00B2762B" w:rsidRDefault="00B2762B" w:rsidP="00B2762B">
      <w:pPr>
        <w:spacing w:after="120" w:line="240" w:lineRule="auto"/>
      </w:pPr>
      <w:r>
        <w:t>PSI 1249 valve springs</w:t>
      </w:r>
    </w:p>
    <w:p w:rsidR="00B2762B" w:rsidRDefault="00B2762B" w:rsidP="00B2762B">
      <w:pPr>
        <w:spacing w:after="120" w:line="240" w:lineRule="auto"/>
      </w:pPr>
      <w:r>
        <w:t>Final assembly</w:t>
      </w:r>
    </w:p>
    <w:p w:rsidR="00B2762B" w:rsidRDefault="00B2762B" w:rsidP="00B2762B">
      <w:pPr>
        <w:spacing w:after="120" w:line="240" w:lineRule="auto"/>
      </w:pPr>
      <w:r>
        <w:t>Total Assembled Price - $8690.00</w:t>
      </w:r>
    </w:p>
    <w:p w:rsidR="00C53F1C" w:rsidRDefault="00C53F1C" w:rsidP="000E3FDC">
      <w:pPr>
        <w:jc w:val="center"/>
      </w:pPr>
    </w:p>
    <w:p w:rsidR="007E04ED" w:rsidRDefault="007E04ED" w:rsidP="000E3FDC">
      <w:pPr>
        <w:jc w:val="center"/>
        <w:rPr>
          <w:sz w:val="28"/>
          <w:szCs w:val="28"/>
        </w:rPr>
      </w:pPr>
      <w:r w:rsidRPr="007E04ED">
        <w:rPr>
          <w:sz w:val="28"/>
          <w:szCs w:val="28"/>
        </w:rPr>
        <w:t xml:space="preserve">Interceptor heads are available at Engine Systems Racing Engines. </w:t>
      </w:r>
    </w:p>
    <w:p w:rsidR="00C53F1C" w:rsidRPr="007E04ED" w:rsidRDefault="007E04ED" w:rsidP="000E3FDC">
      <w:pPr>
        <w:jc w:val="center"/>
        <w:rPr>
          <w:sz w:val="28"/>
          <w:szCs w:val="28"/>
        </w:rPr>
      </w:pPr>
      <w:r w:rsidRPr="007E04ED">
        <w:rPr>
          <w:sz w:val="28"/>
          <w:szCs w:val="28"/>
        </w:rPr>
        <w:t>Call Ted Fischer at 770-49</w:t>
      </w:r>
      <w:r w:rsidR="009D393D">
        <w:rPr>
          <w:sz w:val="28"/>
          <w:szCs w:val="28"/>
        </w:rPr>
        <w:t>1</w:t>
      </w:r>
      <w:r w:rsidRPr="007E04ED">
        <w:rPr>
          <w:sz w:val="28"/>
          <w:szCs w:val="28"/>
        </w:rPr>
        <w:t>-0583 for details.</w:t>
      </w:r>
    </w:p>
    <w:p w:rsidR="00C53F1C" w:rsidRDefault="006D3A52" w:rsidP="000E3FDC">
      <w:pPr>
        <w:jc w:val="center"/>
      </w:pPr>
      <w:r w:rsidRPr="006D3A52">
        <w:drawing>
          <wp:inline distT="0" distB="0" distL="0" distR="0">
            <wp:extent cx="4048125" cy="936129"/>
            <wp:effectExtent l="19050" t="0" r="9525" b="0"/>
            <wp:docPr id="13" name="Picture 11" descr="IMG_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87.png"/>
                    <pic:cNvPicPr/>
                  </pic:nvPicPr>
                  <pic:blipFill>
                    <a:blip r:embed="rId13"/>
                    <a:stretch>
                      <a:fillRect/>
                    </a:stretch>
                  </pic:blipFill>
                  <pic:spPr>
                    <a:xfrm>
                      <a:off x="0" y="0"/>
                      <a:ext cx="4053353" cy="937338"/>
                    </a:xfrm>
                    <a:prstGeom prst="rect">
                      <a:avLst/>
                    </a:prstGeom>
                  </pic:spPr>
                </pic:pic>
              </a:graphicData>
            </a:graphic>
          </wp:inline>
        </w:drawing>
      </w:r>
    </w:p>
    <w:sectPr w:rsidR="00C53F1C" w:rsidSect="008A7554">
      <w:footerReference w:type="default" r:id="rId14"/>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28" w:rsidRDefault="00260828" w:rsidP="005D0F32">
      <w:pPr>
        <w:spacing w:after="0" w:line="240" w:lineRule="auto"/>
      </w:pPr>
      <w:r>
        <w:separator/>
      </w:r>
    </w:p>
  </w:endnote>
  <w:endnote w:type="continuationSeparator" w:id="0">
    <w:p w:rsidR="00260828" w:rsidRDefault="00260828" w:rsidP="005D0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50" w:rsidRPr="005D0F32" w:rsidRDefault="00DD1C50">
    <w:pPr>
      <w:pStyle w:val="Footer"/>
      <w:rPr>
        <w:b/>
        <w:sz w:val="24"/>
        <w:szCs w:val="24"/>
      </w:rPr>
    </w:pPr>
    <w:r>
      <w:t xml:space="preserve">                         </w:t>
    </w:r>
    <w:r w:rsidRPr="005D0F32">
      <w:rPr>
        <w:b/>
        <w:sz w:val="24"/>
        <w:szCs w:val="24"/>
      </w:rPr>
      <w:t xml:space="preserve">Email - </w:t>
    </w:r>
    <w:hyperlink r:id="rId1" w:history="1">
      <w:r w:rsidRPr="005D0F32">
        <w:rPr>
          <w:rStyle w:val="Hyperlink"/>
          <w:b/>
          <w:sz w:val="24"/>
          <w:szCs w:val="24"/>
        </w:rPr>
        <w:t>KFMotorsports@aol.com</w:t>
      </w:r>
    </w:hyperlink>
    <w:r w:rsidRPr="005D0F32">
      <w:rPr>
        <w:b/>
        <w:sz w:val="24"/>
        <w:szCs w:val="24"/>
      </w:rPr>
      <w:t xml:space="preserve">                                                 Call Keith at 678-458-2033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28" w:rsidRDefault="00260828" w:rsidP="005D0F32">
      <w:pPr>
        <w:spacing w:after="0" w:line="240" w:lineRule="auto"/>
      </w:pPr>
      <w:r>
        <w:separator/>
      </w:r>
    </w:p>
  </w:footnote>
  <w:footnote w:type="continuationSeparator" w:id="0">
    <w:p w:rsidR="00260828" w:rsidRDefault="00260828" w:rsidP="005D0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90CE6"/>
    <w:multiLevelType w:val="hybridMultilevel"/>
    <w:tmpl w:val="1B6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3888"/>
    <w:rsid w:val="000E3FDC"/>
    <w:rsid w:val="001020F0"/>
    <w:rsid w:val="00157397"/>
    <w:rsid w:val="00161DCD"/>
    <w:rsid w:val="001B4D61"/>
    <w:rsid w:val="001F65A2"/>
    <w:rsid w:val="00212401"/>
    <w:rsid w:val="00240AE1"/>
    <w:rsid w:val="0025349D"/>
    <w:rsid w:val="00260828"/>
    <w:rsid w:val="00274A8D"/>
    <w:rsid w:val="002777C0"/>
    <w:rsid w:val="00323701"/>
    <w:rsid w:val="00346FEA"/>
    <w:rsid w:val="00391217"/>
    <w:rsid w:val="00391FF2"/>
    <w:rsid w:val="004251AB"/>
    <w:rsid w:val="004F78E0"/>
    <w:rsid w:val="005203AE"/>
    <w:rsid w:val="005404FA"/>
    <w:rsid w:val="005702B3"/>
    <w:rsid w:val="00597D7E"/>
    <w:rsid w:val="005D0F32"/>
    <w:rsid w:val="006A2A91"/>
    <w:rsid w:val="006D3A52"/>
    <w:rsid w:val="006F3568"/>
    <w:rsid w:val="00725144"/>
    <w:rsid w:val="007E04ED"/>
    <w:rsid w:val="0086438C"/>
    <w:rsid w:val="00886E72"/>
    <w:rsid w:val="008A7554"/>
    <w:rsid w:val="00953888"/>
    <w:rsid w:val="009724FB"/>
    <w:rsid w:val="009D393D"/>
    <w:rsid w:val="00A220BB"/>
    <w:rsid w:val="00A83C9D"/>
    <w:rsid w:val="00AD34E2"/>
    <w:rsid w:val="00AE4030"/>
    <w:rsid w:val="00AF7C91"/>
    <w:rsid w:val="00B02DBD"/>
    <w:rsid w:val="00B2762B"/>
    <w:rsid w:val="00B84FD2"/>
    <w:rsid w:val="00BE79A8"/>
    <w:rsid w:val="00BF6C09"/>
    <w:rsid w:val="00C10627"/>
    <w:rsid w:val="00C53F1C"/>
    <w:rsid w:val="00D71A6C"/>
    <w:rsid w:val="00D96E82"/>
    <w:rsid w:val="00DB6ECC"/>
    <w:rsid w:val="00DD1C50"/>
    <w:rsid w:val="00DE2400"/>
    <w:rsid w:val="00EE66B5"/>
    <w:rsid w:val="00F338DB"/>
    <w:rsid w:val="00F45871"/>
    <w:rsid w:val="00FC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88"/>
    <w:rPr>
      <w:rFonts w:ascii="Tahoma" w:hAnsi="Tahoma" w:cs="Tahoma"/>
      <w:sz w:val="16"/>
      <w:szCs w:val="16"/>
    </w:rPr>
  </w:style>
  <w:style w:type="paragraph" w:styleId="Header">
    <w:name w:val="header"/>
    <w:basedOn w:val="Normal"/>
    <w:link w:val="HeaderChar"/>
    <w:uiPriority w:val="99"/>
    <w:semiHidden/>
    <w:unhideWhenUsed/>
    <w:rsid w:val="005D0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F32"/>
  </w:style>
  <w:style w:type="paragraph" w:styleId="Footer">
    <w:name w:val="footer"/>
    <w:basedOn w:val="Normal"/>
    <w:link w:val="FooterChar"/>
    <w:uiPriority w:val="99"/>
    <w:semiHidden/>
    <w:unhideWhenUsed/>
    <w:rsid w:val="005D0F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F32"/>
  </w:style>
  <w:style w:type="character" w:styleId="Hyperlink">
    <w:name w:val="Hyperlink"/>
    <w:basedOn w:val="DefaultParagraphFont"/>
    <w:uiPriority w:val="99"/>
    <w:unhideWhenUsed/>
    <w:rsid w:val="005D0F32"/>
    <w:rPr>
      <w:color w:val="0000FF" w:themeColor="hyperlink"/>
      <w:u w:val="single"/>
    </w:rPr>
  </w:style>
  <w:style w:type="paragraph" w:styleId="ListParagraph">
    <w:name w:val="List Paragraph"/>
    <w:basedOn w:val="Normal"/>
    <w:uiPriority w:val="34"/>
    <w:qFormat/>
    <w:rsid w:val="00EE6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FMotorsport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580A-8988-4895-B6AE-8FD777E1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Keith Fulp</cp:lastModifiedBy>
  <cp:revision>4</cp:revision>
  <cp:lastPrinted>2015-12-07T14:52:00Z</cp:lastPrinted>
  <dcterms:created xsi:type="dcterms:W3CDTF">2015-12-07T12:04:00Z</dcterms:created>
  <dcterms:modified xsi:type="dcterms:W3CDTF">2015-12-07T14:52:00Z</dcterms:modified>
</cp:coreProperties>
</file>