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B2" w:rsidRDefault="0042034F" w:rsidP="003F5BB2">
      <w:pPr>
        <w:spacing w:after="120"/>
        <w:jc w:val="center"/>
        <w:rPr>
          <w:rFonts w:ascii="Times New Roman" w:hAnsi="Times New Roman" w:cs="Times New Roman"/>
          <w:b/>
          <w:sz w:val="24"/>
          <w:szCs w:val="24"/>
        </w:rPr>
      </w:pPr>
      <w:bookmarkStart w:id="0" w:name="_GoBack"/>
      <w:bookmarkEnd w:id="0"/>
      <w:r w:rsidRPr="00A945E8">
        <w:rPr>
          <w:rFonts w:ascii="Times New Roman" w:hAnsi="Times New Roman" w:cs="Times New Roman"/>
          <w:b/>
          <w:sz w:val="24"/>
          <w:szCs w:val="24"/>
        </w:rPr>
        <w:t>DRAFT</w:t>
      </w:r>
    </w:p>
    <w:p w:rsidR="003F5BB2" w:rsidRDefault="003F5BB2" w:rsidP="003F5BB2">
      <w:pPr>
        <w:pStyle w:val="Normal1"/>
        <w:jc w:val="center"/>
      </w:pPr>
      <w:r>
        <w:rPr>
          <w:rFonts w:ascii="Times New Roman" w:eastAsia="Times New Roman" w:hAnsi="Times New Roman" w:cs="Times New Roman"/>
          <w:b/>
          <w:sz w:val="24"/>
        </w:rPr>
        <w:t>Regulation of the Lenox Board of Health Restricting the use of Polystyrene Disposable Food Containers in Food Establishments</w:t>
      </w:r>
    </w:p>
    <w:p w:rsidR="003F5BB2" w:rsidRDefault="0042034F" w:rsidP="003F5BB2">
      <w:pPr>
        <w:spacing w:after="120"/>
        <w:jc w:val="center"/>
        <w:rPr>
          <w:rFonts w:ascii="Times New Roman" w:hAnsi="Times New Roman" w:cs="Times New Roman"/>
          <w:b/>
          <w:sz w:val="24"/>
          <w:szCs w:val="24"/>
        </w:rPr>
      </w:pPr>
      <w:r w:rsidRPr="00A945E8">
        <w:rPr>
          <w:rFonts w:ascii="Times New Roman" w:hAnsi="Times New Roman" w:cs="Times New Roman"/>
          <w:b/>
          <w:sz w:val="24"/>
          <w:szCs w:val="24"/>
        </w:rPr>
        <w:t xml:space="preserve"> </w:t>
      </w:r>
    </w:p>
    <w:p w:rsidR="0042034F" w:rsidRPr="003F5BB2" w:rsidRDefault="0042034F" w:rsidP="003F5BB2">
      <w:pPr>
        <w:pStyle w:val="ListParagraph"/>
        <w:numPr>
          <w:ilvl w:val="0"/>
          <w:numId w:val="23"/>
        </w:numPr>
        <w:spacing w:after="120"/>
        <w:rPr>
          <w:rFonts w:ascii="Times New Roman" w:hAnsi="Times New Roman" w:cs="Times New Roman"/>
          <w:b/>
          <w:sz w:val="24"/>
          <w:szCs w:val="24"/>
        </w:rPr>
      </w:pPr>
      <w:r w:rsidRPr="003F5BB2">
        <w:rPr>
          <w:rFonts w:ascii="Times New Roman" w:hAnsi="Times New Roman" w:cs="Times New Roman"/>
          <w:b/>
          <w:sz w:val="24"/>
          <w:szCs w:val="24"/>
        </w:rPr>
        <w:t>Findings and Intent</w:t>
      </w:r>
    </w:p>
    <w:p w:rsidR="0042034F" w:rsidRPr="00A945E8" w:rsidRDefault="0042034F" w:rsidP="00F5196C">
      <w:pPr>
        <w:spacing w:after="120"/>
        <w:rPr>
          <w:rFonts w:ascii="Times New Roman" w:hAnsi="Times New Roman" w:cs="Times New Roman"/>
          <w:sz w:val="24"/>
          <w:szCs w:val="24"/>
        </w:rPr>
      </w:pPr>
      <w:r w:rsidRPr="00A945E8">
        <w:rPr>
          <w:rFonts w:ascii="Times New Roman" w:hAnsi="Times New Roman" w:cs="Times New Roman"/>
          <w:sz w:val="24"/>
          <w:szCs w:val="24"/>
        </w:rPr>
        <w:t xml:space="preserve">WHEREAS, the </w:t>
      </w:r>
      <w:r w:rsidR="003F5BB2">
        <w:rPr>
          <w:rFonts w:ascii="Times New Roman" w:hAnsi="Times New Roman" w:cs="Times New Roman"/>
          <w:sz w:val="24"/>
          <w:szCs w:val="24"/>
        </w:rPr>
        <w:t xml:space="preserve">Board of Health </w:t>
      </w:r>
      <w:r w:rsidRPr="00A945E8">
        <w:rPr>
          <w:rFonts w:ascii="Times New Roman" w:hAnsi="Times New Roman" w:cs="Times New Roman"/>
          <w:sz w:val="24"/>
          <w:szCs w:val="24"/>
        </w:rPr>
        <w:t>has a duty to protect the natural environment, the economy, and</w:t>
      </w:r>
      <w:r w:rsidR="00BE15CA" w:rsidRPr="00A945E8">
        <w:rPr>
          <w:rFonts w:ascii="Times New Roman" w:hAnsi="Times New Roman" w:cs="Times New Roman"/>
          <w:sz w:val="24"/>
          <w:szCs w:val="24"/>
        </w:rPr>
        <w:t xml:space="preserve"> </w:t>
      </w:r>
      <w:r w:rsidRPr="00A945E8">
        <w:rPr>
          <w:rFonts w:ascii="Times New Roman" w:hAnsi="Times New Roman" w:cs="Times New Roman"/>
          <w:sz w:val="24"/>
          <w:szCs w:val="24"/>
        </w:rPr>
        <w:t>the health of its citizens</w:t>
      </w:r>
      <w:r w:rsidR="00866D51" w:rsidRPr="00A945E8">
        <w:rPr>
          <w:rFonts w:ascii="Times New Roman" w:hAnsi="Times New Roman" w:cs="Times New Roman"/>
          <w:sz w:val="24"/>
          <w:szCs w:val="24"/>
        </w:rPr>
        <w:t>; and</w:t>
      </w:r>
    </w:p>
    <w:p w:rsidR="0042034F" w:rsidRPr="00A945E8" w:rsidRDefault="0042034F" w:rsidP="00F5196C">
      <w:pPr>
        <w:spacing w:after="120"/>
        <w:rPr>
          <w:rFonts w:ascii="Times New Roman" w:hAnsi="Times New Roman" w:cs="Times New Roman"/>
          <w:sz w:val="24"/>
          <w:szCs w:val="24"/>
        </w:rPr>
      </w:pPr>
      <w:r w:rsidRPr="00A945E8">
        <w:rPr>
          <w:rFonts w:ascii="Times New Roman" w:hAnsi="Times New Roman" w:cs="Times New Roman"/>
          <w:sz w:val="24"/>
          <w:szCs w:val="24"/>
        </w:rPr>
        <w:t xml:space="preserve">WHEREAS, styrene, a component of </w:t>
      </w:r>
      <w:r w:rsidR="00F42AB2">
        <w:rPr>
          <w:rFonts w:ascii="Times New Roman" w:hAnsi="Times New Roman" w:cs="Times New Roman"/>
          <w:sz w:val="24"/>
          <w:szCs w:val="24"/>
        </w:rPr>
        <w:t>P</w:t>
      </w:r>
      <w:r w:rsidRPr="00A945E8">
        <w:rPr>
          <w:rFonts w:ascii="Times New Roman" w:hAnsi="Times New Roman" w:cs="Times New Roman"/>
          <w:sz w:val="24"/>
          <w:szCs w:val="24"/>
        </w:rPr>
        <w:t>olystyrene, is classified by the National Toxicology Program (NTP) as “reasonably anticipated to be a</w:t>
      </w:r>
      <w:r w:rsidR="00BE15CA" w:rsidRPr="00A945E8">
        <w:rPr>
          <w:rFonts w:ascii="Times New Roman" w:hAnsi="Times New Roman" w:cs="Times New Roman"/>
          <w:sz w:val="24"/>
          <w:szCs w:val="24"/>
        </w:rPr>
        <w:t xml:space="preserve"> </w:t>
      </w:r>
      <w:r w:rsidRPr="00A945E8">
        <w:rPr>
          <w:rFonts w:ascii="Times New Roman" w:hAnsi="Times New Roman" w:cs="Times New Roman"/>
          <w:sz w:val="24"/>
          <w:szCs w:val="24"/>
        </w:rPr>
        <w:t>human carcinogen” and also recognized by the NTP as a potential food and beverage</w:t>
      </w:r>
      <w:r w:rsidR="00BE15CA" w:rsidRPr="00A945E8">
        <w:rPr>
          <w:rFonts w:ascii="Times New Roman" w:hAnsi="Times New Roman" w:cs="Times New Roman"/>
          <w:sz w:val="24"/>
          <w:szCs w:val="24"/>
        </w:rPr>
        <w:t xml:space="preserve"> </w:t>
      </w:r>
      <w:r w:rsidRPr="00A945E8">
        <w:rPr>
          <w:rFonts w:ascii="Times New Roman" w:hAnsi="Times New Roman" w:cs="Times New Roman"/>
          <w:sz w:val="24"/>
          <w:szCs w:val="24"/>
        </w:rPr>
        <w:t xml:space="preserve">contaminant that may “leach from </w:t>
      </w:r>
      <w:r w:rsidR="00F42AB2">
        <w:rPr>
          <w:rFonts w:ascii="Times New Roman" w:hAnsi="Times New Roman" w:cs="Times New Roman"/>
          <w:sz w:val="24"/>
          <w:szCs w:val="24"/>
        </w:rPr>
        <w:t>P</w:t>
      </w:r>
      <w:r w:rsidRPr="00A945E8">
        <w:rPr>
          <w:rFonts w:ascii="Times New Roman" w:hAnsi="Times New Roman" w:cs="Times New Roman"/>
          <w:sz w:val="24"/>
          <w:szCs w:val="24"/>
        </w:rPr>
        <w:t>olystyrene containers used for food products”</w:t>
      </w:r>
      <w:r w:rsidR="00284CC0">
        <w:rPr>
          <w:rStyle w:val="EndnoteReference"/>
          <w:rFonts w:ascii="Times New Roman" w:hAnsi="Times New Roman" w:cs="Times New Roman"/>
          <w:sz w:val="24"/>
          <w:szCs w:val="24"/>
        </w:rPr>
        <w:endnoteReference w:id="1"/>
      </w:r>
      <w:r w:rsidR="00A13C03">
        <w:rPr>
          <w:rFonts w:ascii="Times New Roman" w:hAnsi="Times New Roman" w:cs="Times New Roman"/>
          <w:sz w:val="24"/>
          <w:szCs w:val="24"/>
        </w:rPr>
        <w:t>;</w:t>
      </w:r>
      <w:r w:rsidR="00866D51" w:rsidRPr="00A945E8">
        <w:rPr>
          <w:rFonts w:ascii="Times New Roman" w:hAnsi="Times New Roman" w:cs="Times New Roman"/>
          <w:sz w:val="24"/>
          <w:szCs w:val="24"/>
        </w:rPr>
        <w:t xml:space="preserve"> and</w:t>
      </w:r>
      <w:r w:rsidR="00BE15CA" w:rsidRPr="00A945E8">
        <w:rPr>
          <w:rFonts w:ascii="Times New Roman" w:hAnsi="Times New Roman" w:cs="Times New Roman"/>
          <w:sz w:val="24"/>
          <w:szCs w:val="24"/>
        </w:rPr>
        <w:t xml:space="preserve"> </w:t>
      </w:r>
    </w:p>
    <w:p w:rsidR="00BE15CA" w:rsidRPr="00A945E8" w:rsidRDefault="00BE15CA" w:rsidP="00F5196C">
      <w:pPr>
        <w:spacing w:after="120"/>
        <w:rPr>
          <w:rFonts w:ascii="Times New Roman" w:hAnsi="Times New Roman" w:cs="Times New Roman"/>
          <w:sz w:val="24"/>
          <w:szCs w:val="24"/>
        </w:rPr>
      </w:pPr>
      <w:r w:rsidRPr="00A945E8">
        <w:rPr>
          <w:rFonts w:ascii="Times New Roman" w:hAnsi="Times New Roman" w:cs="Times New Roman"/>
          <w:sz w:val="24"/>
          <w:szCs w:val="24"/>
        </w:rPr>
        <w:t xml:space="preserve">WHEREAS, the </w:t>
      </w:r>
      <w:r w:rsidR="00F42AB2">
        <w:rPr>
          <w:rFonts w:ascii="Times New Roman" w:hAnsi="Times New Roman" w:cs="Times New Roman"/>
          <w:sz w:val="24"/>
          <w:szCs w:val="24"/>
        </w:rPr>
        <w:t>US Environmental Protection Agency (</w:t>
      </w:r>
      <w:r w:rsidRPr="00A945E8">
        <w:rPr>
          <w:rFonts w:ascii="Times New Roman" w:hAnsi="Times New Roman" w:cs="Times New Roman"/>
          <w:sz w:val="24"/>
          <w:szCs w:val="24"/>
        </w:rPr>
        <w:t>EPA</w:t>
      </w:r>
      <w:r w:rsidR="00F42AB2">
        <w:rPr>
          <w:rFonts w:ascii="Times New Roman" w:hAnsi="Times New Roman" w:cs="Times New Roman"/>
          <w:sz w:val="24"/>
          <w:szCs w:val="24"/>
        </w:rPr>
        <w:t>)</w:t>
      </w:r>
      <w:r w:rsidRPr="00A945E8">
        <w:rPr>
          <w:rFonts w:ascii="Times New Roman" w:hAnsi="Times New Roman" w:cs="Times New Roman"/>
          <w:sz w:val="24"/>
          <w:szCs w:val="24"/>
        </w:rPr>
        <w:t xml:space="preserve"> states "that such materials can also have serious impacts on human health, wildlife, the aquatic environment</w:t>
      </w:r>
      <w:r w:rsidR="005F5535" w:rsidRPr="00A945E8">
        <w:rPr>
          <w:rFonts w:ascii="Times New Roman" w:hAnsi="Times New Roman" w:cs="Times New Roman"/>
          <w:sz w:val="24"/>
          <w:szCs w:val="24"/>
        </w:rPr>
        <w:t>,</w:t>
      </w:r>
      <w:r w:rsidRPr="00A945E8">
        <w:rPr>
          <w:rFonts w:ascii="Times New Roman" w:hAnsi="Times New Roman" w:cs="Times New Roman"/>
          <w:sz w:val="24"/>
          <w:szCs w:val="24"/>
        </w:rPr>
        <w:t xml:space="preserve"> and the economy"</w:t>
      </w:r>
      <w:r w:rsidR="00A13C03">
        <w:rPr>
          <w:rStyle w:val="EndnoteReference"/>
          <w:rFonts w:ascii="Times New Roman" w:hAnsi="Times New Roman" w:cs="Times New Roman"/>
          <w:sz w:val="24"/>
          <w:szCs w:val="24"/>
        </w:rPr>
        <w:endnoteReference w:id="2"/>
      </w:r>
      <w:r w:rsidR="00E57617">
        <w:rPr>
          <w:rFonts w:ascii="Times New Roman" w:hAnsi="Times New Roman" w:cs="Times New Roman"/>
          <w:sz w:val="24"/>
          <w:szCs w:val="24"/>
        </w:rPr>
        <w:t>;</w:t>
      </w:r>
      <w:r w:rsidR="00866D51" w:rsidRPr="00A945E8">
        <w:rPr>
          <w:rFonts w:ascii="Times New Roman" w:hAnsi="Times New Roman" w:cs="Times New Roman"/>
          <w:sz w:val="24"/>
          <w:szCs w:val="24"/>
        </w:rPr>
        <w:t xml:space="preserve"> and</w:t>
      </w:r>
    </w:p>
    <w:p w:rsidR="0042034F" w:rsidRPr="00A945E8" w:rsidRDefault="0042034F" w:rsidP="00F5196C">
      <w:pPr>
        <w:spacing w:after="120"/>
        <w:rPr>
          <w:rFonts w:ascii="Times New Roman" w:hAnsi="Times New Roman" w:cs="Times New Roman"/>
          <w:sz w:val="24"/>
          <w:szCs w:val="24"/>
        </w:rPr>
      </w:pPr>
      <w:r w:rsidRPr="00A945E8">
        <w:rPr>
          <w:rFonts w:ascii="Times New Roman" w:hAnsi="Times New Roman" w:cs="Times New Roman"/>
          <w:sz w:val="24"/>
          <w:szCs w:val="24"/>
        </w:rPr>
        <w:t xml:space="preserve">WHEREAS, </w:t>
      </w:r>
      <w:r w:rsidR="00F42AB2">
        <w:rPr>
          <w:rFonts w:ascii="Times New Roman" w:hAnsi="Times New Roman" w:cs="Times New Roman"/>
          <w:sz w:val="24"/>
          <w:szCs w:val="24"/>
        </w:rPr>
        <w:t>P</w:t>
      </w:r>
      <w:r w:rsidRPr="00A945E8">
        <w:rPr>
          <w:rFonts w:ascii="Times New Roman" w:hAnsi="Times New Roman" w:cs="Times New Roman"/>
          <w:sz w:val="24"/>
          <w:szCs w:val="24"/>
        </w:rPr>
        <w:t xml:space="preserve">olystyrene is made from </w:t>
      </w:r>
      <w:r w:rsidR="00866D51" w:rsidRPr="00A945E8">
        <w:rPr>
          <w:rFonts w:ascii="Times New Roman" w:hAnsi="Times New Roman" w:cs="Times New Roman"/>
          <w:sz w:val="24"/>
          <w:szCs w:val="24"/>
        </w:rPr>
        <w:t xml:space="preserve">non-renewable </w:t>
      </w:r>
      <w:r w:rsidRPr="00A945E8">
        <w:rPr>
          <w:rFonts w:ascii="Times New Roman" w:hAnsi="Times New Roman" w:cs="Times New Roman"/>
          <w:sz w:val="24"/>
          <w:szCs w:val="24"/>
        </w:rPr>
        <w:t xml:space="preserve">fossil fuels, </w:t>
      </w:r>
      <w:r w:rsidR="005F5535" w:rsidRPr="00A945E8">
        <w:rPr>
          <w:rFonts w:ascii="Times New Roman" w:hAnsi="Times New Roman" w:cs="Times New Roman"/>
          <w:sz w:val="24"/>
          <w:szCs w:val="24"/>
        </w:rPr>
        <w:t xml:space="preserve">and </w:t>
      </w:r>
      <w:r w:rsidR="00F42AB2">
        <w:rPr>
          <w:rFonts w:ascii="Times New Roman" w:hAnsi="Times New Roman" w:cs="Times New Roman"/>
          <w:sz w:val="24"/>
          <w:szCs w:val="24"/>
        </w:rPr>
        <w:t>P</w:t>
      </w:r>
      <w:r w:rsidRPr="00A945E8">
        <w:rPr>
          <w:rFonts w:ascii="Times New Roman" w:hAnsi="Times New Roman" w:cs="Times New Roman"/>
          <w:sz w:val="24"/>
          <w:szCs w:val="24"/>
        </w:rPr>
        <w:t>olystyrene manufacture, use, and disposal requires substantial energy</w:t>
      </w:r>
      <w:r w:rsidR="00BE15CA" w:rsidRPr="00A945E8">
        <w:rPr>
          <w:rFonts w:ascii="Times New Roman" w:hAnsi="Times New Roman" w:cs="Times New Roman"/>
          <w:sz w:val="24"/>
          <w:szCs w:val="24"/>
        </w:rPr>
        <w:t xml:space="preserve"> </w:t>
      </w:r>
      <w:r w:rsidRPr="00A945E8">
        <w:rPr>
          <w:rFonts w:ascii="Times New Roman" w:hAnsi="Times New Roman" w:cs="Times New Roman"/>
          <w:sz w:val="24"/>
          <w:szCs w:val="24"/>
        </w:rPr>
        <w:t>consumption and contributes to greenhouse gases and other adverse environmental</w:t>
      </w:r>
      <w:r w:rsidR="00BE15CA" w:rsidRPr="00A945E8">
        <w:rPr>
          <w:rFonts w:ascii="Times New Roman" w:hAnsi="Times New Roman" w:cs="Times New Roman"/>
          <w:sz w:val="24"/>
          <w:szCs w:val="24"/>
        </w:rPr>
        <w:t xml:space="preserve"> </w:t>
      </w:r>
      <w:r w:rsidRPr="00A945E8">
        <w:rPr>
          <w:rFonts w:ascii="Times New Roman" w:hAnsi="Times New Roman" w:cs="Times New Roman"/>
          <w:sz w:val="24"/>
          <w:szCs w:val="24"/>
        </w:rPr>
        <w:t>effects</w:t>
      </w:r>
      <w:r w:rsidR="00A13C03">
        <w:rPr>
          <w:rStyle w:val="EndnoteReference"/>
          <w:rFonts w:ascii="Times New Roman" w:hAnsi="Times New Roman" w:cs="Times New Roman"/>
          <w:sz w:val="24"/>
          <w:szCs w:val="24"/>
        </w:rPr>
        <w:endnoteReference w:id="3"/>
      </w:r>
      <w:r w:rsidR="00866D51" w:rsidRPr="00A945E8">
        <w:rPr>
          <w:rFonts w:ascii="Times New Roman" w:hAnsi="Times New Roman" w:cs="Times New Roman"/>
          <w:sz w:val="24"/>
          <w:szCs w:val="24"/>
        </w:rPr>
        <w:t>; and</w:t>
      </w:r>
    </w:p>
    <w:p w:rsidR="0042034F" w:rsidRPr="00A945E8" w:rsidRDefault="0042034F" w:rsidP="00F5196C">
      <w:pPr>
        <w:spacing w:after="120"/>
        <w:rPr>
          <w:rFonts w:ascii="Times New Roman" w:hAnsi="Times New Roman" w:cs="Times New Roman"/>
          <w:sz w:val="24"/>
          <w:szCs w:val="24"/>
        </w:rPr>
      </w:pPr>
      <w:r w:rsidRPr="00A945E8">
        <w:rPr>
          <w:rFonts w:ascii="Times New Roman" w:hAnsi="Times New Roman" w:cs="Times New Roman"/>
          <w:sz w:val="24"/>
          <w:szCs w:val="24"/>
        </w:rPr>
        <w:t xml:space="preserve">WHEREAS, </w:t>
      </w:r>
      <w:r w:rsidR="00F42AB2">
        <w:rPr>
          <w:rFonts w:ascii="Times New Roman" w:hAnsi="Times New Roman" w:cs="Times New Roman"/>
          <w:sz w:val="24"/>
          <w:szCs w:val="24"/>
        </w:rPr>
        <w:t>P</w:t>
      </w:r>
      <w:r w:rsidRPr="00A945E8">
        <w:rPr>
          <w:rFonts w:ascii="Times New Roman" w:hAnsi="Times New Roman" w:cs="Times New Roman"/>
          <w:sz w:val="24"/>
          <w:szCs w:val="24"/>
        </w:rPr>
        <w:t>olystyrene is not biodegradable or compostable</w:t>
      </w:r>
      <w:r w:rsidR="005F5535" w:rsidRPr="00A945E8">
        <w:rPr>
          <w:rFonts w:ascii="Times New Roman" w:hAnsi="Times New Roman" w:cs="Times New Roman"/>
          <w:sz w:val="24"/>
          <w:szCs w:val="24"/>
        </w:rPr>
        <w:t xml:space="preserve">, </w:t>
      </w:r>
      <w:r w:rsidRPr="00A945E8">
        <w:rPr>
          <w:rFonts w:ascii="Times New Roman" w:hAnsi="Times New Roman" w:cs="Times New Roman"/>
          <w:sz w:val="24"/>
          <w:szCs w:val="24"/>
        </w:rPr>
        <w:t xml:space="preserve">and </w:t>
      </w:r>
      <w:r w:rsidR="00BE15CA" w:rsidRPr="00A945E8">
        <w:rPr>
          <w:rFonts w:ascii="Times New Roman" w:hAnsi="Times New Roman" w:cs="Times New Roman"/>
          <w:sz w:val="24"/>
          <w:szCs w:val="24"/>
        </w:rPr>
        <w:t>can</w:t>
      </w:r>
      <w:r w:rsidRPr="00A945E8">
        <w:rPr>
          <w:rFonts w:ascii="Times New Roman" w:hAnsi="Times New Roman" w:cs="Times New Roman"/>
          <w:sz w:val="24"/>
          <w:szCs w:val="24"/>
        </w:rPr>
        <w:t>not</w:t>
      </w:r>
      <w:r w:rsidR="00BE15CA" w:rsidRPr="00A945E8">
        <w:rPr>
          <w:rFonts w:ascii="Times New Roman" w:hAnsi="Times New Roman" w:cs="Times New Roman"/>
          <w:sz w:val="24"/>
          <w:szCs w:val="24"/>
        </w:rPr>
        <w:t xml:space="preserve"> be practically </w:t>
      </w:r>
      <w:r w:rsidRPr="00A945E8">
        <w:rPr>
          <w:rFonts w:ascii="Times New Roman" w:hAnsi="Times New Roman" w:cs="Times New Roman"/>
          <w:sz w:val="24"/>
          <w:szCs w:val="24"/>
        </w:rPr>
        <w:t>recycl</w:t>
      </w:r>
      <w:r w:rsidR="00BE15CA" w:rsidRPr="00A945E8">
        <w:rPr>
          <w:rFonts w:ascii="Times New Roman" w:hAnsi="Times New Roman" w:cs="Times New Roman"/>
          <w:sz w:val="24"/>
          <w:szCs w:val="24"/>
        </w:rPr>
        <w:t>ed</w:t>
      </w:r>
      <w:r w:rsidR="00A13C03">
        <w:rPr>
          <w:rStyle w:val="EndnoteReference"/>
          <w:rFonts w:ascii="Times New Roman" w:hAnsi="Times New Roman" w:cs="Times New Roman"/>
          <w:sz w:val="24"/>
          <w:szCs w:val="24"/>
        </w:rPr>
        <w:endnoteReference w:id="4"/>
      </w:r>
      <w:r w:rsidR="00866D51" w:rsidRPr="00A945E8">
        <w:rPr>
          <w:rFonts w:ascii="Times New Roman" w:hAnsi="Times New Roman" w:cs="Times New Roman"/>
          <w:sz w:val="24"/>
          <w:szCs w:val="24"/>
        </w:rPr>
        <w:t xml:space="preserve">; and </w:t>
      </w:r>
    </w:p>
    <w:p w:rsidR="005F5535" w:rsidRPr="00A945E8" w:rsidRDefault="005F5535" w:rsidP="00F5196C">
      <w:pPr>
        <w:spacing w:after="120"/>
        <w:rPr>
          <w:rFonts w:ascii="Times New Roman" w:hAnsi="Times New Roman" w:cs="Times New Roman"/>
          <w:sz w:val="24"/>
          <w:szCs w:val="24"/>
        </w:rPr>
      </w:pPr>
      <w:r w:rsidRPr="00A945E8">
        <w:rPr>
          <w:rFonts w:ascii="Times New Roman" w:hAnsi="Times New Roman" w:cs="Times New Roman"/>
          <w:sz w:val="24"/>
          <w:szCs w:val="24"/>
        </w:rPr>
        <w:t xml:space="preserve">WHEREAS, some of the waste generated in </w:t>
      </w:r>
      <w:r w:rsidR="003F5BB2">
        <w:rPr>
          <w:rFonts w:ascii="Times New Roman" w:hAnsi="Times New Roman" w:cs="Times New Roman"/>
          <w:sz w:val="24"/>
          <w:szCs w:val="24"/>
        </w:rPr>
        <w:t>Lenox</w:t>
      </w:r>
      <w:r w:rsidRPr="00A945E8">
        <w:rPr>
          <w:rFonts w:ascii="Times New Roman" w:hAnsi="Times New Roman" w:cs="Times New Roman"/>
          <w:sz w:val="24"/>
          <w:szCs w:val="24"/>
        </w:rPr>
        <w:t xml:space="preserve"> ends up in landfills in other communities, with the potential for </w:t>
      </w:r>
      <w:r w:rsidR="00F42AB2">
        <w:rPr>
          <w:rFonts w:ascii="Times New Roman" w:hAnsi="Times New Roman" w:cs="Times New Roman"/>
          <w:sz w:val="24"/>
          <w:szCs w:val="24"/>
        </w:rPr>
        <w:t>P</w:t>
      </w:r>
      <w:r w:rsidR="000D760C" w:rsidRPr="00A945E8">
        <w:rPr>
          <w:rFonts w:ascii="Times New Roman" w:hAnsi="Times New Roman" w:cs="Times New Roman"/>
          <w:sz w:val="24"/>
          <w:szCs w:val="24"/>
        </w:rPr>
        <w:t xml:space="preserve">olystyrene to </w:t>
      </w:r>
      <w:r w:rsidRPr="00A945E8">
        <w:rPr>
          <w:rFonts w:ascii="Times New Roman" w:hAnsi="Times New Roman" w:cs="Times New Roman"/>
          <w:sz w:val="24"/>
          <w:szCs w:val="24"/>
        </w:rPr>
        <w:t>litter</w:t>
      </w:r>
      <w:r w:rsidR="000D760C" w:rsidRPr="00A945E8">
        <w:rPr>
          <w:rFonts w:ascii="Times New Roman" w:hAnsi="Times New Roman" w:cs="Times New Roman"/>
          <w:sz w:val="24"/>
          <w:szCs w:val="24"/>
        </w:rPr>
        <w:t xml:space="preserve"> the </w:t>
      </w:r>
      <w:r w:rsidRPr="00A945E8">
        <w:rPr>
          <w:rFonts w:ascii="Times New Roman" w:hAnsi="Times New Roman" w:cs="Times New Roman"/>
          <w:sz w:val="24"/>
          <w:szCs w:val="24"/>
        </w:rPr>
        <w:t>surrounding areas</w:t>
      </w:r>
      <w:r w:rsidR="00866D51" w:rsidRPr="00A945E8">
        <w:rPr>
          <w:rFonts w:ascii="Times New Roman" w:hAnsi="Times New Roman" w:cs="Times New Roman"/>
          <w:sz w:val="24"/>
          <w:szCs w:val="24"/>
        </w:rPr>
        <w:t>; and</w:t>
      </w:r>
      <w:r w:rsidRPr="00A945E8">
        <w:rPr>
          <w:rFonts w:ascii="Times New Roman" w:hAnsi="Times New Roman" w:cs="Times New Roman"/>
          <w:sz w:val="24"/>
          <w:szCs w:val="24"/>
        </w:rPr>
        <w:t xml:space="preserve"> </w:t>
      </w:r>
    </w:p>
    <w:p w:rsidR="0042034F" w:rsidRPr="00A945E8" w:rsidRDefault="0042034F" w:rsidP="00F5196C">
      <w:pPr>
        <w:spacing w:after="120"/>
        <w:rPr>
          <w:rFonts w:ascii="Times New Roman" w:hAnsi="Times New Roman" w:cs="Times New Roman"/>
          <w:sz w:val="24"/>
          <w:szCs w:val="24"/>
        </w:rPr>
      </w:pPr>
      <w:r w:rsidRPr="00A945E8">
        <w:rPr>
          <w:rFonts w:ascii="Times New Roman" w:hAnsi="Times New Roman" w:cs="Times New Roman"/>
          <w:sz w:val="24"/>
          <w:szCs w:val="24"/>
        </w:rPr>
        <w:t xml:space="preserve">WHEREAS, affordable and effective ways </w:t>
      </w:r>
      <w:r w:rsidR="00BE15CA" w:rsidRPr="00A945E8">
        <w:rPr>
          <w:rFonts w:ascii="Times New Roman" w:hAnsi="Times New Roman" w:cs="Times New Roman"/>
          <w:sz w:val="24"/>
          <w:szCs w:val="24"/>
        </w:rPr>
        <w:t xml:space="preserve">exist </w:t>
      </w:r>
      <w:r w:rsidRPr="00A945E8">
        <w:rPr>
          <w:rFonts w:ascii="Times New Roman" w:hAnsi="Times New Roman" w:cs="Times New Roman"/>
          <w:sz w:val="24"/>
          <w:szCs w:val="24"/>
        </w:rPr>
        <w:t>to reduce the negative impacts</w:t>
      </w:r>
      <w:r w:rsidR="00BE15CA" w:rsidRPr="00A945E8">
        <w:rPr>
          <w:rFonts w:ascii="Times New Roman" w:hAnsi="Times New Roman" w:cs="Times New Roman"/>
          <w:sz w:val="24"/>
          <w:szCs w:val="24"/>
        </w:rPr>
        <w:t xml:space="preserve"> </w:t>
      </w:r>
      <w:r w:rsidRPr="00A945E8">
        <w:rPr>
          <w:rFonts w:ascii="Times New Roman" w:hAnsi="Times New Roman" w:cs="Times New Roman"/>
          <w:sz w:val="24"/>
          <w:szCs w:val="24"/>
        </w:rPr>
        <w:t xml:space="preserve">of </w:t>
      </w:r>
      <w:r w:rsidR="00F42AB2">
        <w:rPr>
          <w:rFonts w:ascii="Times New Roman" w:hAnsi="Times New Roman" w:cs="Times New Roman"/>
          <w:sz w:val="24"/>
          <w:szCs w:val="24"/>
        </w:rPr>
        <w:t>P</w:t>
      </w:r>
      <w:r w:rsidRPr="00A945E8">
        <w:rPr>
          <w:rFonts w:ascii="Times New Roman" w:hAnsi="Times New Roman" w:cs="Times New Roman"/>
          <w:sz w:val="24"/>
          <w:szCs w:val="24"/>
        </w:rPr>
        <w:t xml:space="preserve">olystyrene products through the use of </w:t>
      </w:r>
      <w:r w:rsidR="00BE15CA" w:rsidRPr="00A945E8">
        <w:rPr>
          <w:rFonts w:ascii="Times New Roman" w:hAnsi="Times New Roman" w:cs="Times New Roman"/>
          <w:sz w:val="24"/>
          <w:szCs w:val="24"/>
        </w:rPr>
        <w:t>safer, more sustainable, and environmentally friendly materials</w:t>
      </w:r>
      <w:r w:rsidR="00866D51" w:rsidRPr="00A945E8">
        <w:rPr>
          <w:rFonts w:ascii="Times New Roman" w:hAnsi="Times New Roman" w:cs="Times New Roman"/>
          <w:sz w:val="24"/>
          <w:szCs w:val="24"/>
        </w:rPr>
        <w:t>; and</w:t>
      </w:r>
      <w:r w:rsidRPr="00A945E8">
        <w:rPr>
          <w:rFonts w:ascii="Times New Roman" w:hAnsi="Times New Roman" w:cs="Times New Roman"/>
          <w:sz w:val="24"/>
          <w:szCs w:val="24"/>
        </w:rPr>
        <w:t xml:space="preserve"> </w:t>
      </w:r>
    </w:p>
    <w:p w:rsidR="005C280C" w:rsidRPr="00A945E8" w:rsidRDefault="005C280C" w:rsidP="005C280C">
      <w:pPr>
        <w:spacing w:after="120"/>
        <w:rPr>
          <w:rFonts w:ascii="Times New Roman" w:hAnsi="Times New Roman" w:cs="Times New Roman"/>
          <w:sz w:val="24"/>
          <w:szCs w:val="24"/>
        </w:rPr>
      </w:pPr>
      <w:r w:rsidRPr="00A945E8">
        <w:rPr>
          <w:rFonts w:ascii="Times New Roman" w:hAnsi="Times New Roman" w:cs="Times New Roman"/>
          <w:sz w:val="24"/>
          <w:szCs w:val="24"/>
        </w:rPr>
        <w:t xml:space="preserve">WHEREAS, </w:t>
      </w:r>
      <w:r>
        <w:rPr>
          <w:rFonts w:ascii="Times New Roman" w:hAnsi="Times New Roman" w:cs="Times New Roman"/>
          <w:sz w:val="24"/>
          <w:szCs w:val="24"/>
        </w:rPr>
        <w:t>D</w:t>
      </w:r>
      <w:r w:rsidRPr="00A945E8">
        <w:rPr>
          <w:rFonts w:ascii="Times New Roman" w:hAnsi="Times New Roman" w:cs="Times New Roman"/>
          <w:sz w:val="24"/>
          <w:szCs w:val="24"/>
        </w:rPr>
        <w:t xml:space="preserve">isposable </w:t>
      </w:r>
      <w:r>
        <w:rPr>
          <w:rFonts w:ascii="Times New Roman" w:hAnsi="Times New Roman" w:cs="Times New Roman"/>
          <w:sz w:val="24"/>
          <w:szCs w:val="24"/>
        </w:rPr>
        <w:t>F</w:t>
      </w:r>
      <w:r w:rsidRPr="00A945E8">
        <w:rPr>
          <w:rFonts w:ascii="Times New Roman" w:hAnsi="Times New Roman" w:cs="Times New Roman"/>
          <w:sz w:val="24"/>
          <w:szCs w:val="24"/>
        </w:rPr>
        <w:t xml:space="preserve">ood </w:t>
      </w:r>
      <w:r>
        <w:rPr>
          <w:rFonts w:ascii="Times New Roman" w:hAnsi="Times New Roman" w:cs="Times New Roman"/>
          <w:sz w:val="24"/>
          <w:szCs w:val="24"/>
        </w:rPr>
        <w:t>C</w:t>
      </w:r>
      <w:r w:rsidRPr="00A945E8">
        <w:rPr>
          <w:rFonts w:ascii="Times New Roman" w:hAnsi="Times New Roman" w:cs="Times New Roman"/>
          <w:sz w:val="24"/>
          <w:szCs w:val="24"/>
        </w:rPr>
        <w:t xml:space="preserve">ontainers constitute a portion of the litter in </w:t>
      </w:r>
      <w:r w:rsidR="003F5BB2">
        <w:rPr>
          <w:rFonts w:ascii="Times New Roman" w:hAnsi="Times New Roman" w:cs="Times New Roman"/>
          <w:sz w:val="24"/>
          <w:szCs w:val="24"/>
        </w:rPr>
        <w:t>Lenox</w:t>
      </w:r>
      <w:r w:rsidRPr="00A945E8">
        <w:rPr>
          <w:rFonts w:ascii="Times New Roman" w:hAnsi="Times New Roman" w:cs="Times New Roman"/>
          <w:sz w:val="24"/>
          <w:szCs w:val="24"/>
        </w:rPr>
        <w:t xml:space="preserve">’s streets, parks, and public places, thereby adversely affecting the attractiveness of the town and the enjoyment of residents and visitors, and requires time, effort, and expense to clean up; and </w:t>
      </w:r>
    </w:p>
    <w:p w:rsidR="0052039E" w:rsidRPr="00A945E8" w:rsidRDefault="0042034F" w:rsidP="00F5196C">
      <w:pPr>
        <w:spacing w:after="120"/>
        <w:rPr>
          <w:rFonts w:ascii="Times New Roman" w:hAnsi="Times New Roman" w:cs="Times New Roman"/>
          <w:sz w:val="24"/>
          <w:szCs w:val="24"/>
        </w:rPr>
      </w:pPr>
      <w:r w:rsidRPr="00A945E8">
        <w:rPr>
          <w:rFonts w:ascii="Times New Roman" w:hAnsi="Times New Roman" w:cs="Times New Roman"/>
          <w:sz w:val="24"/>
          <w:szCs w:val="24"/>
        </w:rPr>
        <w:t xml:space="preserve">WHEREAS, </w:t>
      </w:r>
      <w:r w:rsidR="00BE15CA" w:rsidRPr="00A945E8">
        <w:rPr>
          <w:rFonts w:ascii="Times New Roman" w:hAnsi="Times New Roman" w:cs="Times New Roman"/>
          <w:sz w:val="24"/>
          <w:szCs w:val="24"/>
        </w:rPr>
        <w:t xml:space="preserve">tourism is vital to </w:t>
      </w:r>
      <w:r w:rsidR="003F5BB2">
        <w:rPr>
          <w:rFonts w:ascii="Times New Roman" w:hAnsi="Times New Roman" w:cs="Times New Roman"/>
          <w:sz w:val="24"/>
          <w:szCs w:val="24"/>
        </w:rPr>
        <w:t>Lenox</w:t>
      </w:r>
      <w:r w:rsidR="005F5535" w:rsidRPr="00A945E8">
        <w:rPr>
          <w:rFonts w:ascii="Times New Roman" w:hAnsi="Times New Roman" w:cs="Times New Roman"/>
          <w:sz w:val="24"/>
          <w:szCs w:val="24"/>
        </w:rPr>
        <w:t>’</w:t>
      </w:r>
      <w:r w:rsidR="00BE15CA" w:rsidRPr="00A945E8">
        <w:rPr>
          <w:rFonts w:ascii="Times New Roman" w:hAnsi="Times New Roman" w:cs="Times New Roman"/>
          <w:sz w:val="24"/>
          <w:szCs w:val="24"/>
        </w:rPr>
        <w:t xml:space="preserve">s economy and an increasing number of municipalities whose residents recreate in the Berkshires </w:t>
      </w:r>
      <w:r w:rsidR="0052039E" w:rsidRPr="00A945E8">
        <w:rPr>
          <w:rFonts w:ascii="Times New Roman" w:hAnsi="Times New Roman" w:cs="Times New Roman"/>
          <w:sz w:val="24"/>
          <w:szCs w:val="24"/>
        </w:rPr>
        <w:t>because of its natural beauty</w:t>
      </w:r>
      <w:r w:rsidR="005F5535" w:rsidRPr="00A945E8">
        <w:rPr>
          <w:rFonts w:ascii="Times New Roman" w:hAnsi="Times New Roman" w:cs="Times New Roman"/>
          <w:sz w:val="24"/>
          <w:szCs w:val="24"/>
        </w:rPr>
        <w:t xml:space="preserve"> and pristine </w:t>
      </w:r>
      <w:r w:rsidR="0052039E" w:rsidRPr="00A945E8">
        <w:rPr>
          <w:rFonts w:ascii="Times New Roman" w:hAnsi="Times New Roman" w:cs="Times New Roman"/>
          <w:sz w:val="24"/>
          <w:szCs w:val="24"/>
        </w:rPr>
        <w:t xml:space="preserve">environmental image </w:t>
      </w:r>
      <w:r w:rsidR="00BE15CA" w:rsidRPr="00A945E8">
        <w:rPr>
          <w:rFonts w:ascii="Times New Roman" w:hAnsi="Times New Roman" w:cs="Times New Roman"/>
          <w:sz w:val="24"/>
          <w:szCs w:val="24"/>
        </w:rPr>
        <w:t>have a</w:t>
      </w:r>
      <w:r w:rsidR="0052039E" w:rsidRPr="00A945E8">
        <w:rPr>
          <w:rFonts w:ascii="Times New Roman" w:hAnsi="Times New Roman" w:cs="Times New Roman"/>
          <w:sz w:val="24"/>
          <w:szCs w:val="24"/>
        </w:rPr>
        <w:t xml:space="preserve">cted to </w:t>
      </w:r>
      <w:r w:rsidR="00BE15CA" w:rsidRPr="00A945E8">
        <w:rPr>
          <w:rFonts w:ascii="Times New Roman" w:hAnsi="Times New Roman" w:cs="Times New Roman"/>
          <w:sz w:val="24"/>
          <w:szCs w:val="24"/>
        </w:rPr>
        <w:t>re</w:t>
      </w:r>
      <w:r w:rsidR="0052039E" w:rsidRPr="00A945E8">
        <w:rPr>
          <w:rFonts w:ascii="Times New Roman" w:hAnsi="Times New Roman" w:cs="Times New Roman"/>
          <w:sz w:val="24"/>
          <w:szCs w:val="24"/>
        </w:rPr>
        <w:t xml:space="preserve">duce the use of </w:t>
      </w:r>
      <w:r w:rsidR="00F42AB2">
        <w:rPr>
          <w:rFonts w:ascii="Times New Roman" w:hAnsi="Times New Roman" w:cs="Times New Roman"/>
          <w:sz w:val="24"/>
          <w:szCs w:val="24"/>
        </w:rPr>
        <w:t>P</w:t>
      </w:r>
      <w:r w:rsidR="0052039E" w:rsidRPr="00A945E8">
        <w:rPr>
          <w:rFonts w:ascii="Times New Roman" w:hAnsi="Times New Roman" w:cs="Times New Roman"/>
          <w:sz w:val="24"/>
          <w:szCs w:val="24"/>
        </w:rPr>
        <w:t xml:space="preserve">olystyrene in </w:t>
      </w:r>
      <w:r w:rsidR="00F42AB2">
        <w:rPr>
          <w:rFonts w:ascii="Times New Roman" w:hAnsi="Times New Roman" w:cs="Times New Roman"/>
          <w:sz w:val="24"/>
          <w:szCs w:val="24"/>
        </w:rPr>
        <w:t>D</w:t>
      </w:r>
      <w:r w:rsidR="0052039E" w:rsidRPr="00A945E8">
        <w:rPr>
          <w:rFonts w:ascii="Times New Roman" w:hAnsi="Times New Roman" w:cs="Times New Roman"/>
          <w:sz w:val="24"/>
          <w:szCs w:val="24"/>
        </w:rPr>
        <w:t xml:space="preserve">isposable </w:t>
      </w:r>
      <w:r w:rsidR="00F42AB2">
        <w:rPr>
          <w:rFonts w:ascii="Times New Roman" w:hAnsi="Times New Roman" w:cs="Times New Roman"/>
          <w:sz w:val="24"/>
          <w:szCs w:val="24"/>
        </w:rPr>
        <w:t>F</w:t>
      </w:r>
      <w:r w:rsidR="0052039E" w:rsidRPr="00A945E8">
        <w:rPr>
          <w:rFonts w:ascii="Times New Roman" w:hAnsi="Times New Roman" w:cs="Times New Roman"/>
          <w:sz w:val="24"/>
          <w:szCs w:val="24"/>
        </w:rPr>
        <w:t xml:space="preserve">ood </w:t>
      </w:r>
      <w:r w:rsidR="00F42AB2">
        <w:rPr>
          <w:rFonts w:ascii="Times New Roman" w:hAnsi="Times New Roman" w:cs="Times New Roman"/>
          <w:sz w:val="24"/>
          <w:szCs w:val="24"/>
        </w:rPr>
        <w:t>C</w:t>
      </w:r>
      <w:r w:rsidR="0052039E" w:rsidRPr="00A945E8">
        <w:rPr>
          <w:rFonts w:ascii="Times New Roman" w:hAnsi="Times New Roman" w:cs="Times New Roman"/>
          <w:sz w:val="24"/>
          <w:szCs w:val="24"/>
        </w:rPr>
        <w:t>ontainers</w:t>
      </w:r>
      <w:r w:rsidR="00866D51" w:rsidRPr="00A945E8">
        <w:rPr>
          <w:rFonts w:ascii="Times New Roman" w:hAnsi="Times New Roman" w:cs="Times New Roman"/>
          <w:sz w:val="24"/>
          <w:szCs w:val="24"/>
        </w:rPr>
        <w:t>; and</w:t>
      </w:r>
      <w:r w:rsidR="0052039E" w:rsidRPr="00A945E8">
        <w:rPr>
          <w:rFonts w:ascii="Times New Roman" w:hAnsi="Times New Roman" w:cs="Times New Roman"/>
          <w:sz w:val="24"/>
          <w:szCs w:val="24"/>
        </w:rPr>
        <w:t xml:space="preserve"> </w:t>
      </w:r>
    </w:p>
    <w:p w:rsidR="0042034F" w:rsidRPr="00A945E8" w:rsidRDefault="0052039E" w:rsidP="00F5196C">
      <w:pPr>
        <w:spacing w:after="120"/>
        <w:rPr>
          <w:rFonts w:ascii="Times New Roman" w:hAnsi="Times New Roman" w:cs="Times New Roman"/>
          <w:sz w:val="24"/>
          <w:szCs w:val="24"/>
        </w:rPr>
      </w:pPr>
      <w:r w:rsidRPr="00A945E8">
        <w:rPr>
          <w:rFonts w:ascii="Times New Roman" w:hAnsi="Times New Roman" w:cs="Times New Roman"/>
          <w:sz w:val="24"/>
          <w:szCs w:val="24"/>
        </w:rPr>
        <w:t xml:space="preserve">WHEREAS, numerous neighboring communities and others in our region have acted or are in the process of acting to reduce the use of </w:t>
      </w:r>
      <w:r w:rsidR="00F42AB2">
        <w:rPr>
          <w:rFonts w:ascii="Times New Roman" w:hAnsi="Times New Roman" w:cs="Times New Roman"/>
          <w:sz w:val="24"/>
          <w:szCs w:val="24"/>
        </w:rPr>
        <w:t>P</w:t>
      </w:r>
      <w:r w:rsidRPr="00A945E8">
        <w:rPr>
          <w:rFonts w:ascii="Times New Roman" w:hAnsi="Times New Roman" w:cs="Times New Roman"/>
          <w:sz w:val="24"/>
          <w:szCs w:val="24"/>
        </w:rPr>
        <w:t xml:space="preserve">olystyrene in </w:t>
      </w:r>
      <w:r w:rsidR="00F42AB2">
        <w:rPr>
          <w:rFonts w:ascii="Times New Roman" w:hAnsi="Times New Roman" w:cs="Times New Roman"/>
          <w:sz w:val="24"/>
          <w:szCs w:val="24"/>
        </w:rPr>
        <w:t>D</w:t>
      </w:r>
      <w:r w:rsidRPr="00A945E8">
        <w:rPr>
          <w:rFonts w:ascii="Times New Roman" w:hAnsi="Times New Roman" w:cs="Times New Roman"/>
          <w:sz w:val="24"/>
          <w:szCs w:val="24"/>
        </w:rPr>
        <w:t xml:space="preserve">isposable </w:t>
      </w:r>
      <w:r w:rsidR="00F42AB2">
        <w:rPr>
          <w:rFonts w:ascii="Times New Roman" w:hAnsi="Times New Roman" w:cs="Times New Roman"/>
          <w:sz w:val="24"/>
          <w:szCs w:val="24"/>
        </w:rPr>
        <w:t>F</w:t>
      </w:r>
      <w:r w:rsidRPr="00A945E8">
        <w:rPr>
          <w:rFonts w:ascii="Times New Roman" w:hAnsi="Times New Roman" w:cs="Times New Roman"/>
          <w:sz w:val="24"/>
          <w:szCs w:val="24"/>
        </w:rPr>
        <w:t xml:space="preserve">ood </w:t>
      </w:r>
      <w:r w:rsidR="00F42AB2">
        <w:rPr>
          <w:rFonts w:ascii="Times New Roman" w:hAnsi="Times New Roman" w:cs="Times New Roman"/>
          <w:sz w:val="24"/>
          <w:szCs w:val="24"/>
        </w:rPr>
        <w:t>C</w:t>
      </w:r>
      <w:r w:rsidRPr="00A945E8">
        <w:rPr>
          <w:rFonts w:ascii="Times New Roman" w:hAnsi="Times New Roman" w:cs="Times New Roman"/>
          <w:sz w:val="24"/>
          <w:szCs w:val="24"/>
        </w:rPr>
        <w:t>ontainers</w:t>
      </w:r>
      <w:r w:rsidR="00DF7F4D">
        <w:rPr>
          <w:rFonts w:ascii="Times New Roman" w:hAnsi="Times New Roman" w:cs="Times New Roman"/>
          <w:sz w:val="24"/>
          <w:szCs w:val="24"/>
        </w:rPr>
        <w:t xml:space="preserve">; and </w:t>
      </w:r>
    </w:p>
    <w:p w:rsidR="00D35A0C" w:rsidRDefault="00DF7F4D" w:rsidP="00DF7F4D">
      <w:pPr>
        <w:spacing w:after="120"/>
        <w:rPr>
          <w:rFonts w:ascii="Times New Roman" w:hAnsi="Times New Roman" w:cs="Times New Roman"/>
          <w:sz w:val="24"/>
          <w:szCs w:val="24"/>
        </w:rPr>
      </w:pPr>
      <w:r>
        <w:rPr>
          <w:rFonts w:ascii="Times New Roman" w:hAnsi="Times New Roman" w:cs="Times New Roman"/>
          <w:sz w:val="24"/>
          <w:szCs w:val="24"/>
        </w:rPr>
        <w:t xml:space="preserve">WHEREAS, one-size-fits-all bills regulating </w:t>
      </w:r>
      <w:r w:rsidR="00D35A0C">
        <w:rPr>
          <w:rFonts w:ascii="Times New Roman" w:hAnsi="Times New Roman" w:cs="Times New Roman"/>
          <w:sz w:val="24"/>
          <w:szCs w:val="24"/>
        </w:rPr>
        <w:t xml:space="preserve">Polystyrene </w:t>
      </w:r>
      <w:r>
        <w:rPr>
          <w:rFonts w:ascii="Times New Roman" w:hAnsi="Times New Roman" w:cs="Times New Roman"/>
          <w:sz w:val="24"/>
          <w:szCs w:val="24"/>
        </w:rPr>
        <w:t xml:space="preserve">have been introduced in the state legislature, and </w:t>
      </w:r>
      <w:r w:rsidR="003F5BB2">
        <w:rPr>
          <w:rFonts w:ascii="Times New Roman" w:hAnsi="Times New Roman" w:cs="Times New Roman"/>
          <w:sz w:val="24"/>
          <w:szCs w:val="24"/>
        </w:rPr>
        <w:t>Lenox</w:t>
      </w:r>
      <w:r>
        <w:rPr>
          <w:rFonts w:ascii="Times New Roman" w:hAnsi="Times New Roman" w:cs="Times New Roman"/>
          <w:sz w:val="24"/>
          <w:szCs w:val="24"/>
        </w:rPr>
        <w:t xml:space="preserve"> still has the opportunity to tailor a </w:t>
      </w:r>
      <w:r w:rsidR="00FD0EF2">
        <w:rPr>
          <w:rFonts w:ascii="Times New Roman" w:hAnsi="Times New Roman" w:cs="Times New Roman"/>
          <w:sz w:val="24"/>
          <w:szCs w:val="24"/>
        </w:rPr>
        <w:t xml:space="preserve">regulation </w:t>
      </w:r>
      <w:r>
        <w:rPr>
          <w:rFonts w:ascii="Times New Roman" w:hAnsi="Times New Roman" w:cs="Times New Roman"/>
          <w:sz w:val="24"/>
          <w:szCs w:val="24"/>
        </w:rPr>
        <w:t>to its needs and desires</w:t>
      </w:r>
      <w:r w:rsidR="00D35A0C">
        <w:rPr>
          <w:rFonts w:ascii="Times New Roman" w:hAnsi="Times New Roman" w:cs="Times New Roman"/>
          <w:sz w:val="24"/>
          <w:szCs w:val="24"/>
        </w:rPr>
        <w:t xml:space="preserve">; and </w:t>
      </w:r>
    </w:p>
    <w:p w:rsidR="00DF7F4D" w:rsidRDefault="00D35A0C" w:rsidP="00DF7F4D">
      <w:pPr>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WHEREAS, </w:t>
      </w:r>
      <w:r w:rsidR="00465A2F">
        <w:rPr>
          <w:rFonts w:ascii="Times New Roman" w:hAnsi="Times New Roman" w:cs="Times New Roman"/>
          <w:sz w:val="24"/>
          <w:szCs w:val="24"/>
        </w:rPr>
        <w:t>some</w:t>
      </w:r>
      <w:r>
        <w:rPr>
          <w:rFonts w:ascii="Times New Roman" w:hAnsi="Times New Roman" w:cs="Times New Roman"/>
          <w:sz w:val="24"/>
          <w:szCs w:val="24"/>
        </w:rPr>
        <w:t xml:space="preserve"> Food Establishments in </w:t>
      </w:r>
      <w:r w:rsidR="003F5BB2">
        <w:rPr>
          <w:rFonts w:ascii="Times New Roman" w:hAnsi="Times New Roman" w:cs="Times New Roman"/>
          <w:sz w:val="24"/>
          <w:szCs w:val="24"/>
        </w:rPr>
        <w:t>Lenox</w:t>
      </w:r>
      <w:r>
        <w:rPr>
          <w:rFonts w:ascii="Times New Roman" w:hAnsi="Times New Roman" w:cs="Times New Roman"/>
          <w:sz w:val="24"/>
          <w:szCs w:val="24"/>
        </w:rPr>
        <w:t xml:space="preserve"> </w:t>
      </w:r>
      <w:r w:rsidR="003F5BB2">
        <w:rPr>
          <w:rFonts w:ascii="Times New Roman" w:hAnsi="Times New Roman" w:cs="Times New Roman"/>
          <w:sz w:val="24"/>
          <w:szCs w:val="24"/>
        </w:rPr>
        <w:t>do not use</w:t>
      </w:r>
      <w:r>
        <w:rPr>
          <w:rFonts w:ascii="Times New Roman" w:hAnsi="Times New Roman" w:cs="Times New Roman"/>
          <w:sz w:val="24"/>
          <w:szCs w:val="24"/>
        </w:rPr>
        <w:t xml:space="preserve"> Polystyrene Disposable Food Containers</w:t>
      </w:r>
      <w:r w:rsidR="00DF7F4D">
        <w:rPr>
          <w:rFonts w:ascii="Times New Roman" w:hAnsi="Times New Roman" w:cs="Times New Roman"/>
          <w:sz w:val="24"/>
          <w:szCs w:val="24"/>
        </w:rPr>
        <w:t>.</w:t>
      </w:r>
    </w:p>
    <w:p w:rsidR="0042034F" w:rsidRDefault="0042034F" w:rsidP="003F5BB2">
      <w:pPr>
        <w:pStyle w:val="Normal1"/>
        <w:rPr>
          <w:rFonts w:ascii="Times New Roman" w:hAnsi="Times New Roman" w:cs="Times New Roman"/>
          <w:sz w:val="24"/>
          <w:szCs w:val="24"/>
        </w:rPr>
      </w:pPr>
      <w:r w:rsidRPr="00A945E8">
        <w:rPr>
          <w:rFonts w:ascii="Times New Roman" w:hAnsi="Times New Roman" w:cs="Times New Roman"/>
          <w:sz w:val="24"/>
          <w:szCs w:val="24"/>
        </w:rPr>
        <w:t xml:space="preserve">NOW THEREFORE, </w:t>
      </w:r>
      <w:r w:rsidR="003F5BB2" w:rsidRPr="003F5BB2">
        <w:rPr>
          <w:rFonts w:ascii="Times New Roman" w:eastAsia="Times New Roman" w:hAnsi="Times New Roman" w:cs="Times New Roman"/>
          <w:sz w:val="24"/>
        </w:rPr>
        <w:t xml:space="preserve">the </w:t>
      </w:r>
      <w:r w:rsidR="003F5BB2">
        <w:rPr>
          <w:rFonts w:ascii="Times New Roman" w:eastAsia="Times New Roman" w:hAnsi="Times New Roman" w:cs="Times New Roman"/>
          <w:sz w:val="24"/>
        </w:rPr>
        <w:t>Lenox</w:t>
      </w:r>
      <w:r w:rsidR="003F5BB2" w:rsidRPr="003F5BB2">
        <w:rPr>
          <w:rFonts w:ascii="Times New Roman" w:eastAsia="Times New Roman" w:hAnsi="Times New Roman" w:cs="Times New Roman"/>
          <w:sz w:val="24"/>
        </w:rPr>
        <w:t xml:space="preserve"> Board of Health </w:t>
      </w:r>
      <w:r w:rsidR="003F5BB2">
        <w:rPr>
          <w:rFonts w:ascii="Times New Roman" w:eastAsia="Times New Roman" w:hAnsi="Times New Roman" w:cs="Times New Roman"/>
          <w:sz w:val="24"/>
        </w:rPr>
        <w:t xml:space="preserve">intends </w:t>
      </w:r>
      <w:r w:rsidR="003F5BB2" w:rsidRPr="003F5BB2">
        <w:rPr>
          <w:rFonts w:ascii="Times New Roman" w:eastAsia="Times New Roman" w:hAnsi="Times New Roman" w:cs="Times New Roman"/>
          <w:sz w:val="24"/>
        </w:rPr>
        <w:t>to prohibit the purchase, sale, distribution</w:t>
      </w:r>
      <w:r w:rsidR="003F5BB2">
        <w:rPr>
          <w:rFonts w:ascii="Times New Roman" w:eastAsia="Times New Roman" w:hAnsi="Times New Roman" w:cs="Times New Roman"/>
          <w:sz w:val="24"/>
        </w:rPr>
        <w:t>,</w:t>
      </w:r>
      <w:r w:rsidR="003F5BB2" w:rsidRPr="003F5BB2">
        <w:rPr>
          <w:rFonts w:ascii="Times New Roman" w:eastAsia="Times New Roman" w:hAnsi="Times New Roman" w:cs="Times New Roman"/>
          <w:sz w:val="24"/>
        </w:rPr>
        <w:t xml:space="preserve"> and use of </w:t>
      </w:r>
      <w:r w:rsidR="003F5BB2">
        <w:rPr>
          <w:rFonts w:ascii="Times New Roman" w:eastAsia="Times New Roman" w:hAnsi="Times New Roman" w:cs="Times New Roman"/>
          <w:sz w:val="24"/>
        </w:rPr>
        <w:t>foam and rigid P</w:t>
      </w:r>
      <w:r w:rsidR="003F5BB2" w:rsidRPr="003F5BB2">
        <w:rPr>
          <w:rFonts w:ascii="Times New Roman" w:eastAsia="Times New Roman" w:hAnsi="Times New Roman" w:cs="Times New Roman"/>
          <w:sz w:val="24"/>
        </w:rPr>
        <w:t xml:space="preserve">olystyrene </w:t>
      </w:r>
      <w:r w:rsidR="003F5BB2">
        <w:rPr>
          <w:rFonts w:ascii="Times New Roman" w:eastAsia="Times New Roman" w:hAnsi="Times New Roman" w:cs="Times New Roman"/>
          <w:sz w:val="24"/>
        </w:rPr>
        <w:t>D</w:t>
      </w:r>
      <w:r w:rsidR="003F5BB2" w:rsidRPr="003F5BB2">
        <w:rPr>
          <w:rFonts w:ascii="Times New Roman" w:eastAsia="Times New Roman" w:hAnsi="Times New Roman" w:cs="Times New Roman"/>
          <w:sz w:val="24"/>
        </w:rPr>
        <w:t xml:space="preserve">isposable </w:t>
      </w:r>
      <w:r w:rsidR="003F5BB2">
        <w:rPr>
          <w:rFonts w:ascii="Times New Roman" w:eastAsia="Times New Roman" w:hAnsi="Times New Roman" w:cs="Times New Roman"/>
          <w:sz w:val="24"/>
        </w:rPr>
        <w:t>F</w:t>
      </w:r>
      <w:r w:rsidR="003F5BB2" w:rsidRPr="003F5BB2">
        <w:rPr>
          <w:rFonts w:ascii="Times New Roman" w:eastAsia="Times New Roman" w:hAnsi="Times New Roman" w:cs="Times New Roman"/>
          <w:sz w:val="24"/>
        </w:rPr>
        <w:t xml:space="preserve">ood </w:t>
      </w:r>
      <w:r w:rsidR="003F5BB2">
        <w:rPr>
          <w:rFonts w:ascii="Times New Roman" w:eastAsia="Times New Roman" w:hAnsi="Times New Roman" w:cs="Times New Roman"/>
          <w:sz w:val="24"/>
        </w:rPr>
        <w:t>C</w:t>
      </w:r>
      <w:r w:rsidR="003F5BB2" w:rsidRPr="003F5BB2">
        <w:rPr>
          <w:rFonts w:ascii="Times New Roman" w:eastAsia="Times New Roman" w:hAnsi="Times New Roman" w:cs="Times New Roman"/>
          <w:sz w:val="24"/>
        </w:rPr>
        <w:t>ontainer</w:t>
      </w:r>
      <w:r w:rsidR="003F5BB2">
        <w:rPr>
          <w:rFonts w:ascii="Times New Roman" w:eastAsia="Times New Roman" w:hAnsi="Times New Roman" w:cs="Times New Roman"/>
          <w:sz w:val="24"/>
        </w:rPr>
        <w:t>s</w:t>
      </w:r>
      <w:r w:rsidR="003F5BB2" w:rsidRPr="003F5BB2">
        <w:rPr>
          <w:rFonts w:ascii="Times New Roman" w:eastAsia="Times New Roman" w:hAnsi="Times New Roman" w:cs="Times New Roman"/>
          <w:sz w:val="24"/>
        </w:rPr>
        <w:t xml:space="preserve"> </w:t>
      </w:r>
      <w:r w:rsidR="003F5BB2">
        <w:rPr>
          <w:rFonts w:ascii="Times New Roman" w:eastAsia="Times New Roman" w:hAnsi="Times New Roman" w:cs="Times New Roman"/>
          <w:sz w:val="24"/>
        </w:rPr>
        <w:t xml:space="preserve">by Food Establishments to prepare or </w:t>
      </w:r>
      <w:r w:rsidR="003F5BB2" w:rsidRPr="003F5BB2">
        <w:rPr>
          <w:rFonts w:ascii="Times New Roman" w:eastAsia="Times New Roman" w:hAnsi="Times New Roman" w:cs="Times New Roman"/>
          <w:sz w:val="24"/>
        </w:rPr>
        <w:t xml:space="preserve">serve </w:t>
      </w:r>
      <w:r w:rsidR="003F5BB2">
        <w:rPr>
          <w:rFonts w:ascii="Times New Roman" w:eastAsia="Times New Roman" w:hAnsi="Times New Roman" w:cs="Times New Roman"/>
          <w:sz w:val="24"/>
        </w:rPr>
        <w:t>food or drinks and to r</w:t>
      </w:r>
      <w:r w:rsidRPr="00A945E8">
        <w:rPr>
          <w:rFonts w:ascii="Times New Roman" w:hAnsi="Times New Roman" w:cs="Times New Roman"/>
          <w:sz w:val="24"/>
          <w:szCs w:val="24"/>
        </w:rPr>
        <w:t xml:space="preserve">equire the use and distribution of </w:t>
      </w:r>
      <w:r w:rsidR="005075B1">
        <w:rPr>
          <w:rFonts w:ascii="Times New Roman" w:hAnsi="Times New Roman" w:cs="Times New Roman"/>
          <w:sz w:val="24"/>
          <w:szCs w:val="24"/>
        </w:rPr>
        <w:t>Disposable F</w:t>
      </w:r>
      <w:r w:rsidR="005F5535" w:rsidRPr="00A945E8">
        <w:rPr>
          <w:rFonts w:ascii="Times New Roman" w:hAnsi="Times New Roman" w:cs="Times New Roman"/>
          <w:sz w:val="24"/>
          <w:szCs w:val="24"/>
        </w:rPr>
        <w:t xml:space="preserve">ood </w:t>
      </w:r>
      <w:r w:rsidR="005075B1">
        <w:rPr>
          <w:rFonts w:ascii="Times New Roman" w:hAnsi="Times New Roman" w:cs="Times New Roman"/>
          <w:sz w:val="24"/>
          <w:szCs w:val="24"/>
        </w:rPr>
        <w:t>C</w:t>
      </w:r>
      <w:r w:rsidR="005F5535" w:rsidRPr="00A945E8">
        <w:rPr>
          <w:rFonts w:ascii="Times New Roman" w:hAnsi="Times New Roman" w:cs="Times New Roman"/>
          <w:sz w:val="24"/>
          <w:szCs w:val="24"/>
        </w:rPr>
        <w:t>ontainers made of safer, more sustainable, and environmentally friendly materials</w:t>
      </w:r>
      <w:r w:rsidRPr="00A945E8">
        <w:rPr>
          <w:rFonts w:ascii="Times New Roman" w:hAnsi="Times New Roman" w:cs="Times New Roman"/>
          <w:sz w:val="24"/>
          <w:szCs w:val="24"/>
        </w:rPr>
        <w:t>.</w:t>
      </w:r>
    </w:p>
    <w:p w:rsidR="00F42AB2" w:rsidRPr="00A945E8" w:rsidRDefault="00F42AB2" w:rsidP="00F42AB2">
      <w:pPr>
        <w:spacing w:after="0"/>
        <w:rPr>
          <w:rFonts w:ascii="Times New Roman" w:hAnsi="Times New Roman" w:cs="Times New Roman"/>
          <w:sz w:val="24"/>
          <w:szCs w:val="24"/>
        </w:rPr>
      </w:pPr>
    </w:p>
    <w:p w:rsidR="00726876" w:rsidRPr="00E9238E" w:rsidRDefault="00726876" w:rsidP="00726876">
      <w:pPr>
        <w:pStyle w:val="ListParagraph"/>
        <w:numPr>
          <w:ilvl w:val="0"/>
          <w:numId w:val="23"/>
        </w:numPr>
        <w:spacing w:after="120"/>
        <w:contextualSpacing w:val="0"/>
        <w:rPr>
          <w:rFonts w:ascii="Times New Roman" w:hAnsi="Times New Roman" w:cs="Times New Roman"/>
          <w:b/>
          <w:sz w:val="24"/>
          <w:szCs w:val="24"/>
        </w:rPr>
      </w:pPr>
      <w:r>
        <w:rPr>
          <w:rFonts w:ascii="Times New Roman" w:hAnsi="Times New Roman" w:cs="Times New Roman"/>
          <w:b/>
          <w:sz w:val="24"/>
          <w:szCs w:val="24"/>
        </w:rPr>
        <w:t>Authority</w:t>
      </w:r>
    </w:p>
    <w:p w:rsidR="00726876" w:rsidRDefault="00726876" w:rsidP="00726876">
      <w:pPr>
        <w:spacing w:after="0"/>
        <w:rPr>
          <w:rFonts w:ascii="Times New Roman" w:hAnsi="Times New Roman" w:cs="Times New Roman"/>
          <w:sz w:val="24"/>
          <w:szCs w:val="24"/>
        </w:rPr>
      </w:pPr>
      <w:r w:rsidRPr="00E9238E">
        <w:rPr>
          <w:rFonts w:ascii="Times New Roman" w:hAnsi="Times New Roman" w:cs="Times New Roman"/>
          <w:sz w:val="24"/>
          <w:szCs w:val="24"/>
        </w:rPr>
        <w:t xml:space="preserve">This regulation is promulgated to the authority granted to the </w:t>
      </w:r>
      <w:r>
        <w:rPr>
          <w:rFonts w:ascii="Times New Roman" w:hAnsi="Times New Roman" w:cs="Times New Roman"/>
          <w:sz w:val="24"/>
          <w:szCs w:val="24"/>
        </w:rPr>
        <w:t>Lenox</w:t>
      </w:r>
      <w:r w:rsidRPr="00E9238E">
        <w:rPr>
          <w:rFonts w:ascii="Times New Roman" w:hAnsi="Times New Roman" w:cs="Times New Roman"/>
          <w:sz w:val="24"/>
          <w:szCs w:val="24"/>
        </w:rPr>
        <w:t xml:space="preserve"> Board of Health by Massachusetts General Laws Chapter 111, Section 31 that “Boards of Health may make reasonable health regulations</w:t>
      </w:r>
      <w:r>
        <w:rPr>
          <w:rFonts w:ascii="Times New Roman" w:hAnsi="Times New Roman" w:cs="Times New Roman"/>
          <w:sz w:val="24"/>
          <w:szCs w:val="24"/>
        </w:rPr>
        <w:t>.</w:t>
      </w:r>
      <w:r w:rsidRPr="00E9238E">
        <w:rPr>
          <w:rFonts w:ascii="Times New Roman" w:hAnsi="Times New Roman" w:cs="Times New Roman"/>
          <w:sz w:val="24"/>
          <w:szCs w:val="24"/>
        </w:rPr>
        <w:t>”</w:t>
      </w:r>
    </w:p>
    <w:p w:rsidR="00726876" w:rsidRDefault="00726876" w:rsidP="00726876">
      <w:pPr>
        <w:spacing w:after="0"/>
        <w:rPr>
          <w:rFonts w:ascii="Times New Roman" w:hAnsi="Times New Roman" w:cs="Times New Roman"/>
          <w:sz w:val="24"/>
          <w:szCs w:val="24"/>
        </w:rPr>
      </w:pPr>
    </w:p>
    <w:p w:rsidR="0042034F" w:rsidRPr="00A945E8" w:rsidRDefault="00DF21EC" w:rsidP="00726876">
      <w:pPr>
        <w:pStyle w:val="ListParagraph"/>
        <w:numPr>
          <w:ilvl w:val="0"/>
          <w:numId w:val="23"/>
        </w:numPr>
        <w:spacing w:after="120"/>
        <w:contextualSpacing w:val="0"/>
        <w:rPr>
          <w:rFonts w:ascii="Times New Roman" w:hAnsi="Times New Roman" w:cs="Times New Roman"/>
          <w:b/>
          <w:sz w:val="24"/>
          <w:szCs w:val="24"/>
        </w:rPr>
      </w:pPr>
      <w:r w:rsidRPr="00A945E8">
        <w:rPr>
          <w:rFonts w:ascii="Times New Roman" w:hAnsi="Times New Roman" w:cs="Times New Roman"/>
          <w:b/>
          <w:sz w:val="24"/>
          <w:szCs w:val="24"/>
        </w:rPr>
        <w:t>Definitions</w:t>
      </w:r>
    </w:p>
    <w:p w:rsidR="00DF21EC" w:rsidRPr="00A945E8" w:rsidRDefault="00DF21EC" w:rsidP="00F5196C">
      <w:pPr>
        <w:spacing w:after="120"/>
        <w:rPr>
          <w:rFonts w:ascii="Times New Roman" w:hAnsi="Times New Roman" w:cs="Times New Roman"/>
          <w:sz w:val="24"/>
          <w:szCs w:val="24"/>
        </w:rPr>
      </w:pPr>
      <w:r w:rsidRPr="00A945E8">
        <w:rPr>
          <w:rFonts w:ascii="Times New Roman" w:hAnsi="Times New Roman" w:cs="Times New Roman"/>
          <w:sz w:val="24"/>
          <w:szCs w:val="24"/>
        </w:rPr>
        <w:t>The following words and phrases shall, unless context clearly indicates otherwise, have the following meanings:</w:t>
      </w:r>
    </w:p>
    <w:p w:rsidR="000D760C" w:rsidRPr="00A945E8" w:rsidRDefault="000D760C" w:rsidP="00F5196C">
      <w:pPr>
        <w:spacing w:after="120"/>
        <w:rPr>
          <w:rFonts w:ascii="Times New Roman" w:hAnsi="Times New Roman" w:cs="Times New Roman"/>
          <w:sz w:val="24"/>
          <w:szCs w:val="24"/>
        </w:rPr>
      </w:pPr>
      <w:r w:rsidRPr="00A945E8">
        <w:rPr>
          <w:rFonts w:ascii="Times New Roman" w:eastAsia="Times New Roman" w:hAnsi="Times New Roman" w:cs="Times New Roman"/>
          <w:sz w:val="24"/>
          <w:szCs w:val="24"/>
        </w:rPr>
        <w:t xml:space="preserve">Disposable Food Container: </w:t>
      </w:r>
      <w:r w:rsidRPr="00A945E8">
        <w:rPr>
          <w:rFonts w:ascii="Times New Roman" w:hAnsi="Times New Roman" w:cs="Times New Roman"/>
          <w:sz w:val="24"/>
          <w:szCs w:val="24"/>
        </w:rPr>
        <w:t xml:space="preserve">All containers – bowls, plates, trays, cartons, cups, lids, and hinged or lidded containers – </w:t>
      </w:r>
      <w:r w:rsidR="008E2C64" w:rsidRPr="00A945E8">
        <w:rPr>
          <w:rFonts w:ascii="Times New Roman" w:hAnsi="Times New Roman" w:cs="Times New Roman"/>
          <w:sz w:val="24"/>
          <w:szCs w:val="24"/>
        </w:rPr>
        <w:t>designed for one-time or non-durable use that are used by food establishments fo</w:t>
      </w:r>
      <w:r w:rsidRPr="00A945E8">
        <w:rPr>
          <w:rFonts w:ascii="Times New Roman" w:hAnsi="Times New Roman" w:cs="Times New Roman"/>
          <w:sz w:val="24"/>
          <w:szCs w:val="24"/>
        </w:rPr>
        <w:t xml:space="preserve">r </w:t>
      </w:r>
      <w:r w:rsidR="008E2C64" w:rsidRPr="00A945E8">
        <w:rPr>
          <w:rFonts w:ascii="Times New Roman" w:hAnsi="Times New Roman" w:cs="Times New Roman"/>
          <w:sz w:val="24"/>
          <w:szCs w:val="24"/>
        </w:rPr>
        <w:t xml:space="preserve">heating, storing, packaging, serving, or transporting prepared or ready-to-consume food or beverages. This includes any containers used by </w:t>
      </w:r>
      <w:r w:rsidR="008975B9" w:rsidRPr="00A945E8">
        <w:rPr>
          <w:rFonts w:ascii="Times New Roman" w:hAnsi="Times New Roman" w:cs="Times New Roman"/>
          <w:sz w:val="24"/>
          <w:szCs w:val="24"/>
        </w:rPr>
        <w:t>F</w:t>
      </w:r>
      <w:r w:rsidR="008E2C64" w:rsidRPr="00A945E8">
        <w:rPr>
          <w:rFonts w:ascii="Times New Roman" w:hAnsi="Times New Roman" w:cs="Times New Roman"/>
          <w:sz w:val="24"/>
          <w:szCs w:val="24"/>
        </w:rPr>
        <w:t xml:space="preserve">ood </w:t>
      </w:r>
      <w:r w:rsidR="008975B9" w:rsidRPr="00A945E8">
        <w:rPr>
          <w:rFonts w:ascii="Times New Roman" w:hAnsi="Times New Roman" w:cs="Times New Roman"/>
          <w:sz w:val="24"/>
          <w:szCs w:val="24"/>
        </w:rPr>
        <w:t>E</w:t>
      </w:r>
      <w:r w:rsidR="008E2C64" w:rsidRPr="00A945E8">
        <w:rPr>
          <w:rFonts w:ascii="Times New Roman" w:hAnsi="Times New Roman" w:cs="Times New Roman"/>
          <w:sz w:val="24"/>
          <w:szCs w:val="24"/>
        </w:rPr>
        <w:t xml:space="preserve">stablishments to heat, cook, or store food or beverages prior to serving, regardless of whether such containers </w:t>
      </w:r>
      <w:r w:rsidR="008975B9" w:rsidRPr="00A945E8">
        <w:rPr>
          <w:rFonts w:ascii="Times New Roman" w:hAnsi="Times New Roman" w:cs="Times New Roman"/>
          <w:sz w:val="24"/>
          <w:szCs w:val="24"/>
        </w:rPr>
        <w:t xml:space="preserve">are </w:t>
      </w:r>
      <w:r w:rsidR="001F5462" w:rsidRPr="00A945E8">
        <w:rPr>
          <w:rFonts w:ascii="Times New Roman" w:hAnsi="Times New Roman" w:cs="Times New Roman"/>
          <w:sz w:val="24"/>
          <w:szCs w:val="24"/>
        </w:rPr>
        <w:t>used</w:t>
      </w:r>
      <w:r w:rsidR="008975B9" w:rsidRPr="00A945E8">
        <w:rPr>
          <w:rFonts w:ascii="Times New Roman" w:hAnsi="Times New Roman" w:cs="Times New Roman"/>
          <w:sz w:val="24"/>
          <w:szCs w:val="24"/>
        </w:rPr>
        <w:t xml:space="preserve"> to serve such food or beverages.</w:t>
      </w:r>
      <w:r w:rsidR="008E2C64" w:rsidRPr="00A945E8">
        <w:rPr>
          <w:rFonts w:ascii="Times New Roman" w:hAnsi="Times New Roman" w:cs="Times New Roman"/>
          <w:sz w:val="24"/>
          <w:szCs w:val="24"/>
        </w:rPr>
        <w:t xml:space="preserve"> </w:t>
      </w:r>
    </w:p>
    <w:p w:rsidR="008E2C64" w:rsidRPr="00A945E8" w:rsidRDefault="008E2C64" w:rsidP="00F5196C">
      <w:pPr>
        <w:pStyle w:val="Normal1"/>
        <w:spacing w:after="120"/>
        <w:rPr>
          <w:sz w:val="24"/>
          <w:szCs w:val="24"/>
        </w:rPr>
      </w:pPr>
      <w:r w:rsidRPr="00A945E8">
        <w:rPr>
          <w:rFonts w:ascii="Times New Roman" w:eastAsia="Times New Roman" w:hAnsi="Times New Roman" w:cs="Times New Roman"/>
          <w:sz w:val="24"/>
          <w:szCs w:val="24"/>
        </w:rPr>
        <w:t>Food Establishment:</w:t>
      </w:r>
      <w:r w:rsidR="00B76F5C" w:rsidRPr="00A945E8">
        <w:rPr>
          <w:rFonts w:ascii="Times New Roman" w:eastAsia="Times New Roman" w:hAnsi="Times New Roman" w:cs="Times New Roman"/>
          <w:sz w:val="24"/>
          <w:szCs w:val="24"/>
        </w:rPr>
        <w:t xml:space="preserve"> An operation </w:t>
      </w:r>
      <w:r w:rsidRPr="00A945E8">
        <w:rPr>
          <w:rFonts w:ascii="Times New Roman" w:eastAsia="Times New Roman" w:hAnsi="Times New Roman" w:cs="Times New Roman"/>
          <w:sz w:val="24"/>
          <w:szCs w:val="24"/>
        </w:rPr>
        <w:t>that</w:t>
      </w:r>
      <w:r w:rsidR="00B76F5C" w:rsidRPr="00A945E8">
        <w:rPr>
          <w:rFonts w:ascii="Times New Roman" w:eastAsia="Times New Roman" w:hAnsi="Times New Roman" w:cs="Times New Roman"/>
          <w:sz w:val="24"/>
          <w:szCs w:val="24"/>
        </w:rPr>
        <w:t>, with or without charge,</w:t>
      </w:r>
      <w:r w:rsidRPr="00A945E8">
        <w:rPr>
          <w:rFonts w:ascii="Times New Roman" w:eastAsia="Times New Roman" w:hAnsi="Times New Roman" w:cs="Times New Roman"/>
          <w:sz w:val="24"/>
          <w:szCs w:val="24"/>
        </w:rPr>
        <w:t xml:space="preserve"> stores, prepares, packages, serves, vends</w:t>
      </w:r>
      <w:r w:rsidR="00B76F5C" w:rsidRPr="00A945E8">
        <w:rPr>
          <w:rFonts w:ascii="Times New Roman" w:eastAsia="Times New Roman" w:hAnsi="Times New Roman" w:cs="Times New Roman"/>
          <w:sz w:val="24"/>
          <w:szCs w:val="24"/>
        </w:rPr>
        <w:t>,</w:t>
      </w:r>
      <w:r w:rsidRPr="00A945E8">
        <w:rPr>
          <w:rFonts w:ascii="Times New Roman" w:eastAsia="Times New Roman" w:hAnsi="Times New Roman" w:cs="Times New Roman"/>
          <w:sz w:val="24"/>
          <w:szCs w:val="24"/>
        </w:rPr>
        <w:t xml:space="preserve"> or otherwise provides food </w:t>
      </w:r>
      <w:r w:rsidR="00B76F5C" w:rsidRPr="00A945E8">
        <w:rPr>
          <w:rFonts w:ascii="Times New Roman" w:eastAsia="Times New Roman" w:hAnsi="Times New Roman" w:cs="Times New Roman"/>
          <w:sz w:val="24"/>
          <w:szCs w:val="24"/>
        </w:rPr>
        <w:t xml:space="preserve">or beverages </w:t>
      </w:r>
      <w:r w:rsidRPr="00A945E8">
        <w:rPr>
          <w:rFonts w:ascii="Times New Roman" w:eastAsia="Times New Roman" w:hAnsi="Times New Roman" w:cs="Times New Roman"/>
          <w:sz w:val="24"/>
          <w:szCs w:val="24"/>
        </w:rPr>
        <w:t>for human consumption</w:t>
      </w:r>
      <w:r w:rsidR="00E70453">
        <w:rPr>
          <w:rFonts w:ascii="Times New Roman" w:eastAsia="Times New Roman" w:hAnsi="Times New Roman" w:cs="Times New Roman"/>
          <w:sz w:val="24"/>
          <w:szCs w:val="24"/>
        </w:rPr>
        <w:t xml:space="preserve">, </w:t>
      </w:r>
      <w:r w:rsidRPr="00A945E8">
        <w:rPr>
          <w:rFonts w:ascii="Times New Roman" w:eastAsia="Times New Roman" w:hAnsi="Times New Roman" w:cs="Times New Roman"/>
          <w:sz w:val="24"/>
          <w:szCs w:val="24"/>
        </w:rPr>
        <w:t>as fur</w:t>
      </w:r>
      <w:r w:rsidR="00B76F5C" w:rsidRPr="00A945E8">
        <w:rPr>
          <w:rFonts w:ascii="Times New Roman" w:eastAsia="Times New Roman" w:hAnsi="Times New Roman" w:cs="Times New Roman"/>
          <w:sz w:val="24"/>
          <w:szCs w:val="24"/>
        </w:rPr>
        <w:t>ther defined in 105 CMR 590.00</w:t>
      </w:r>
      <w:r w:rsidR="00E70453">
        <w:rPr>
          <w:rFonts w:ascii="Times New Roman" w:eastAsia="Times New Roman" w:hAnsi="Times New Roman" w:cs="Times New Roman"/>
          <w:sz w:val="24"/>
          <w:szCs w:val="24"/>
        </w:rPr>
        <w:t xml:space="preserve">0 </w:t>
      </w:r>
      <w:r w:rsidR="00E70453" w:rsidRPr="00A945E8">
        <w:rPr>
          <w:rFonts w:ascii="Times New Roman" w:eastAsia="Times New Roman" w:hAnsi="Times New Roman" w:cs="Times New Roman"/>
          <w:sz w:val="24"/>
          <w:szCs w:val="24"/>
        </w:rPr>
        <w:t xml:space="preserve">et. seq., </w:t>
      </w:r>
      <w:r w:rsidR="00E70453">
        <w:rPr>
          <w:rFonts w:ascii="Times New Roman" w:eastAsia="Times New Roman" w:hAnsi="Times New Roman" w:cs="Times New Roman"/>
          <w:sz w:val="24"/>
          <w:szCs w:val="24"/>
        </w:rPr>
        <w:t>Massachusetts State Food Code or any other local board of health rules and regulations</w:t>
      </w:r>
      <w:r w:rsidRPr="00A945E8">
        <w:rPr>
          <w:rFonts w:ascii="Times New Roman" w:eastAsia="Times New Roman" w:hAnsi="Times New Roman" w:cs="Times New Roman"/>
          <w:sz w:val="24"/>
          <w:szCs w:val="24"/>
        </w:rPr>
        <w:t xml:space="preserve"> shall be considered a </w:t>
      </w:r>
      <w:r w:rsidR="008975B9" w:rsidRPr="00A945E8">
        <w:rPr>
          <w:rFonts w:ascii="Times New Roman" w:eastAsia="Times New Roman" w:hAnsi="Times New Roman" w:cs="Times New Roman"/>
          <w:sz w:val="24"/>
          <w:szCs w:val="24"/>
        </w:rPr>
        <w:t>F</w:t>
      </w:r>
      <w:r w:rsidRPr="00A945E8">
        <w:rPr>
          <w:rFonts w:ascii="Times New Roman" w:eastAsia="Times New Roman" w:hAnsi="Times New Roman" w:cs="Times New Roman"/>
          <w:sz w:val="24"/>
          <w:szCs w:val="24"/>
        </w:rPr>
        <w:t xml:space="preserve">ood </w:t>
      </w:r>
      <w:r w:rsidR="008975B9" w:rsidRPr="00A945E8">
        <w:rPr>
          <w:rFonts w:ascii="Times New Roman" w:eastAsia="Times New Roman" w:hAnsi="Times New Roman" w:cs="Times New Roman"/>
          <w:sz w:val="24"/>
          <w:szCs w:val="24"/>
        </w:rPr>
        <w:t>E</w:t>
      </w:r>
      <w:r w:rsidRPr="00A945E8">
        <w:rPr>
          <w:rFonts w:ascii="Times New Roman" w:eastAsia="Times New Roman" w:hAnsi="Times New Roman" w:cs="Times New Roman"/>
          <w:sz w:val="24"/>
          <w:szCs w:val="24"/>
        </w:rPr>
        <w:t xml:space="preserve">stablishment for purposes of </w:t>
      </w:r>
      <w:r w:rsidR="00E9238E">
        <w:rPr>
          <w:rFonts w:ascii="Times New Roman" w:eastAsia="Times New Roman" w:hAnsi="Times New Roman" w:cs="Times New Roman"/>
          <w:sz w:val="24"/>
          <w:szCs w:val="24"/>
        </w:rPr>
        <w:t>this regulation</w:t>
      </w:r>
      <w:r w:rsidRPr="00A945E8">
        <w:rPr>
          <w:rFonts w:ascii="Times New Roman" w:eastAsia="Times New Roman" w:hAnsi="Times New Roman" w:cs="Times New Roman"/>
          <w:sz w:val="24"/>
          <w:szCs w:val="24"/>
        </w:rPr>
        <w:t>.</w:t>
      </w:r>
      <w:r w:rsidR="00B76F5C" w:rsidRPr="00A945E8">
        <w:rPr>
          <w:rFonts w:ascii="Times New Roman" w:eastAsia="Times New Roman" w:hAnsi="Times New Roman" w:cs="Times New Roman"/>
          <w:sz w:val="24"/>
          <w:szCs w:val="24"/>
        </w:rPr>
        <w:t xml:space="preserve"> </w:t>
      </w:r>
      <w:r w:rsidR="008975B9" w:rsidRPr="00A945E8">
        <w:rPr>
          <w:rFonts w:ascii="Times New Roman" w:eastAsia="Times New Roman" w:hAnsi="Times New Roman" w:cs="Times New Roman"/>
          <w:sz w:val="24"/>
          <w:szCs w:val="24"/>
        </w:rPr>
        <w:t xml:space="preserve">Food Establishment shall also include any operation, </w:t>
      </w:r>
      <w:r w:rsidR="00D16F5D" w:rsidRPr="00A945E8">
        <w:rPr>
          <w:rFonts w:ascii="Times New Roman" w:eastAsia="Times New Roman" w:hAnsi="Times New Roman" w:cs="Times New Roman"/>
          <w:sz w:val="24"/>
          <w:szCs w:val="24"/>
        </w:rPr>
        <w:t xml:space="preserve">sporadic, </w:t>
      </w:r>
      <w:r w:rsidR="008975B9" w:rsidRPr="00A945E8">
        <w:rPr>
          <w:rFonts w:ascii="Times New Roman" w:hAnsi="Times New Roman" w:cs="Times New Roman"/>
          <w:sz w:val="24"/>
          <w:szCs w:val="24"/>
        </w:rPr>
        <w:t>temporary</w:t>
      </w:r>
      <w:r w:rsidR="00D16F5D" w:rsidRPr="00A945E8">
        <w:rPr>
          <w:rFonts w:ascii="Times New Roman" w:hAnsi="Times New Roman" w:cs="Times New Roman"/>
          <w:sz w:val="24"/>
          <w:szCs w:val="24"/>
        </w:rPr>
        <w:t>,</w:t>
      </w:r>
      <w:r w:rsidR="008975B9" w:rsidRPr="00A945E8">
        <w:rPr>
          <w:rFonts w:ascii="Times New Roman" w:hAnsi="Times New Roman" w:cs="Times New Roman"/>
          <w:sz w:val="24"/>
          <w:szCs w:val="24"/>
        </w:rPr>
        <w:t xml:space="preserve"> </w:t>
      </w:r>
      <w:r w:rsidR="00861663" w:rsidRPr="00A945E8">
        <w:rPr>
          <w:rFonts w:ascii="Times New Roman" w:hAnsi="Times New Roman" w:cs="Times New Roman"/>
          <w:sz w:val="24"/>
          <w:szCs w:val="24"/>
        </w:rPr>
        <w:t xml:space="preserve">part- </w:t>
      </w:r>
      <w:r w:rsidR="008975B9" w:rsidRPr="00A945E8">
        <w:rPr>
          <w:rFonts w:ascii="Times New Roman" w:hAnsi="Times New Roman" w:cs="Times New Roman"/>
          <w:sz w:val="24"/>
          <w:szCs w:val="24"/>
        </w:rPr>
        <w:t xml:space="preserve">or full-time; commercial, non-profit, religious, educational, foundation-related, or governmental; whether on private, public, religious, or school property; that, </w:t>
      </w:r>
      <w:r w:rsidR="008975B9" w:rsidRPr="00A945E8">
        <w:rPr>
          <w:rFonts w:ascii="Times New Roman" w:eastAsia="Times New Roman" w:hAnsi="Times New Roman" w:cs="Times New Roman"/>
          <w:sz w:val="24"/>
          <w:szCs w:val="24"/>
        </w:rPr>
        <w:t>with or without charge, stores, prepares, packages, serves, vends, or otherwise provides food or beverages for human consumption. This definition shall not apply to individual citizens</w:t>
      </w:r>
      <w:r w:rsidR="002C022A" w:rsidRPr="00A945E8">
        <w:rPr>
          <w:rFonts w:ascii="Times New Roman" w:eastAsia="Times New Roman" w:hAnsi="Times New Roman" w:cs="Times New Roman"/>
          <w:sz w:val="24"/>
          <w:szCs w:val="24"/>
        </w:rPr>
        <w:t xml:space="preserve"> or visitors</w:t>
      </w:r>
      <w:r w:rsidR="008975B9" w:rsidRPr="00A945E8">
        <w:rPr>
          <w:rFonts w:ascii="Times New Roman" w:eastAsia="Times New Roman" w:hAnsi="Times New Roman" w:cs="Times New Roman"/>
          <w:sz w:val="24"/>
          <w:szCs w:val="24"/>
        </w:rPr>
        <w:t xml:space="preserve"> preparing and serving food or beverages </w:t>
      </w:r>
      <w:r w:rsidR="002C022A" w:rsidRPr="00A945E8">
        <w:rPr>
          <w:rFonts w:ascii="Times New Roman" w:eastAsia="Times New Roman" w:hAnsi="Times New Roman" w:cs="Times New Roman"/>
          <w:sz w:val="24"/>
          <w:szCs w:val="24"/>
        </w:rPr>
        <w:t>for personal use</w:t>
      </w:r>
      <w:r w:rsidR="008975B9" w:rsidRPr="00A945E8">
        <w:rPr>
          <w:rFonts w:ascii="Times New Roman" w:eastAsia="Times New Roman" w:hAnsi="Times New Roman" w:cs="Times New Roman"/>
          <w:sz w:val="24"/>
          <w:szCs w:val="24"/>
        </w:rPr>
        <w:t xml:space="preserve">. </w:t>
      </w:r>
    </w:p>
    <w:p w:rsidR="006A04FE" w:rsidRPr="00A945E8" w:rsidRDefault="006A04FE" w:rsidP="001D7C3A">
      <w:pPr>
        <w:spacing w:after="0"/>
        <w:rPr>
          <w:rFonts w:ascii="Times New Roman" w:eastAsia="Times New Roman" w:hAnsi="Times New Roman" w:cs="Times New Roman"/>
          <w:sz w:val="24"/>
          <w:szCs w:val="24"/>
        </w:rPr>
      </w:pPr>
      <w:r w:rsidRPr="00A945E8">
        <w:rPr>
          <w:rFonts w:ascii="Times New Roman" w:eastAsia="Times New Roman" w:hAnsi="Times New Roman" w:cs="Times New Roman"/>
          <w:sz w:val="24"/>
          <w:szCs w:val="24"/>
        </w:rPr>
        <w:t>Polystyrene: B</w:t>
      </w:r>
      <w:r w:rsidRPr="00A945E8">
        <w:rPr>
          <w:rFonts w:ascii="Times New Roman" w:hAnsi="Times New Roman" w:cs="Times New Roman"/>
          <w:sz w:val="24"/>
          <w:szCs w:val="24"/>
        </w:rPr>
        <w:t xml:space="preserve">lown polystyrene and expanded and extruded foams, which are </w:t>
      </w:r>
      <w:r w:rsidRPr="00A945E8">
        <w:rPr>
          <w:rFonts w:ascii="Times New Roman" w:eastAsia="Times New Roman" w:hAnsi="Times New Roman" w:cs="Times New Roman"/>
          <w:sz w:val="24"/>
          <w:szCs w:val="24"/>
        </w:rPr>
        <w:t>thermoplastic petrochemical materials utilizing a styrene monomer and processed by any number of techniques including, but not limited to, fusion of polymer spheres (expandable bead polystyrene), injection molding, form molding, and extrusion-blow molding (extruded foam polystyrene). The term also refers to clear or solid polystyrene, also known as “oriented” or “rigid” polystyrene.</w:t>
      </w:r>
    </w:p>
    <w:p w:rsidR="00E9238E" w:rsidRDefault="00E9238E" w:rsidP="00E9238E">
      <w:pPr>
        <w:pStyle w:val="ListParagraph"/>
        <w:spacing w:after="0"/>
        <w:ind w:left="360"/>
        <w:contextualSpacing w:val="0"/>
        <w:rPr>
          <w:rFonts w:ascii="Times New Roman" w:hAnsi="Times New Roman" w:cs="Times New Roman"/>
          <w:b/>
          <w:sz w:val="24"/>
          <w:szCs w:val="24"/>
        </w:rPr>
      </w:pPr>
    </w:p>
    <w:p w:rsidR="007358AA" w:rsidRPr="00A945E8" w:rsidRDefault="007358AA" w:rsidP="00726876">
      <w:pPr>
        <w:pStyle w:val="ListParagraph"/>
        <w:numPr>
          <w:ilvl w:val="0"/>
          <w:numId w:val="23"/>
        </w:numPr>
        <w:spacing w:after="120"/>
        <w:contextualSpacing w:val="0"/>
        <w:rPr>
          <w:rFonts w:ascii="Times New Roman" w:hAnsi="Times New Roman" w:cs="Times New Roman"/>
          <w:b/>
          <w:sz w:val="24"/>
          <w:szCs w:val="24"/>
        </w:rPr>
      </w:pPr>
      <w:r w:rsidRPr="00A945E8">
        <w:rPr>
          <w:rFonts w:ascii="Times New Roman" w:hAnsi="Times New Roman" w:cs="Times New Roman"/>
          <w:b/>
          <w:sz w:val="24"/>
          <w:szCs w:val="24"/>
        </w:rPr>
        <w:lastRenderedPageBreak/>
        <w:t>Use Regulations</w:t>
      </w:r>
    </w:p>
    <w:p w:rsidR="00DF21EC" w:rsidRPr="00A945E8" w:rsidRDefault="003126BE" w:rsidP="00726876">
      <w:pPr>
        <w:pStyle w:val="ListParagraph"/>
        <w:numPr>
          <w:ilvl w:val="1"/>
          <w:numId w:val="24"/>
        </w:numPr>
        <w:spacing w:after="120"/>
        <w:contextualSpacing w:val="0"/>
        <w:rPr>
          <w:rFonts w:ascii="Times New Roman" w:hAnsi="Times New Roman" w:cs="Times New Roman"/>
          <w:sz w:val="24"/>
          <w:szCs w:val="24"/>
        </w:rPr>
      </w:pPr>
      <w:r w:rsidRPr="00A945E8">
        <w:rPr>
          <w:rFonts w:ascii="Times New Roman" w:hAnsi="Times New Roman" w:cs="Times New Roman"/>
          <w:sz w:val="24"/>
          <w:szCs w:val="24"/>
        </w:rPr>
        <w:t xml:space="preserve">Nothing in </w:t>
      </w:r>
      <w:r w:rsidR="00E9238E">
        <w:rPr>
          <w:rFonts w:ascii="Times New Roman" w:hAnsi="Times New Roman" w:cs="Times New Roman"/>
          <w:sz w:val="24"/>
          <w:szCs w:val="24"/>
        </w:rPr>
        <w:t>this regulation</w:t>
      </w:r>
      <w:r w:rsidRPr="00A945E8">
        <w:rPr>
          <w:rFonts w:ascii="Times New Roman" w:hAnsi="Times New Roman" w:cs="Times New Roman"/>
          <w:sz w:val="24"/>
          <w:szCs w:val="24"/>
        </w:rPr>
        <w:t xml:space="preserve"> prohibits customers from using containers of any type that they bring to Food Establishments themselves to contain any food or beverage they are acquiring. </w:t>
      </w:r>
    </w:p>
    <w:p w:rsidR="00033135" w:rsidRPr="00E9238E" w:rsidRDefault="00033135" w:rsidP="00726876">
      <w:pPr>
        <w:pStyle w:val="ListParagraph"/>
        <w:numPr>
          <w:ilvl w:val="1"/>
          <w:numId w:val="24"/>
        </w:numPr>
        <w:autoSpaceDE w:val="0"/>
        <w:autoSpaceDN w:val="0"/>
        <w:adjustRightInd w:val="0"/>
        <w:spacing w:after="0"/>
        <w:contextualSpacing w:val="0"/>
        <w:rPr>
          <w:rFonts w:ascii="Times New Roman" w:hAnsi="Times New Roman" w:cs="Times New Roman"/>
          <w:color w:val="000000"/>
          <w:sz w:val="24"/>
          <w:szCs w:val="24"/>
        </w:rPr>
      </w:pPr>
      <w:r w:rsidRPr="00A945E8">
        <w:rPr>
          <w:rFonts w:ascii="Times New Roman" w:eastAsia="Times New Roman" w:hAnsi="Times New Roman" w:cs="Times New Roman"/>
          <w:sz w:val="24"/>
          <w:szCs w:val="24"/>
        </w:rPr>
        <w:t xml:space="preserve">No Food Establishment shall use Disposable Food Containers made from Polystyrene to prepare, heat, store, serve, transport, or provide food or beverages to customers. </w:t>
      </w:r>
    </w:p>
    <w:p w:rsidR="00E9238E" w:rsidRPr="00A945E8" w:rsidRDefault="00E9238E" w:rsidP="00E9238E">
      <w:pPr>
        <w:pStyle w:val="ListParagraph"/>
        <w:autoSpaceDE w:val="0"/>
        <w:autoSpaceDN w:val="0"/>
        <w:adjustRightInd w:val="0"/>
        <w:spacing w:after="0"/>
        <w:ind w:left="1080"/>
        <w:contextualSpacing w:val="0"/>
        <w:rPr>
          <w:rFonts w:ascii="Times New Roman" w:hAnsi="Times New Roman" w:cs="Times New Roman"/>
          <w:color w:val="000000"/>
          <w:sz w:val="24"/>
          <w:szCs w:val="24"/>
        </w:rPr>
      </w:pPr>
    </w:p>
    <w:p w:rsidR="00B253CC" w:rsidRPr="00A945E8" w:rsidRDefault="00B253CC" w:rsidP="00726876">
      <w:pPr>
        <w:pStyle w:val="ListParagraph"/>
        <w:numPr>
          <w:ilvl w:val="0"/>
          <w:numId w:val="23"/>
        </w:numPr>
        <w:autoSpaceDE w:val="0"/>
        <w:autoSpaceDN w:val="0"/>
        <w:adjustRightInd w:val="0"/>
        <w:spacing w:after="120"/>
        <w:contextualSpacing w:val="0"/>
        <w:rPr>
          <w:rFonts w:ascii="Times New Roman" w:hAnsi="Times New Roman" w:cs="Times New Roman"/>
          <w:b/>
          <w:color w:val="000000"/>
          <w:sz w:val="24"/>
          <w:szCs w:val="24"/>
        </w:rPr>
      </w:pPr>
      <w:r w:rsidRPr="00A945E8">
        <w:rPr>
          <w:rFonts w:ascii="Times New Roman" w:hAnsi="Times New Roman" w:cs="Times New Roman"/>
          <w:b/>
          <w:color w:val="000000"/>
          <w:sz w:val="24"/>
          <w:szCs w:val="24"/>
        </w:rPr>
        <w:t>List of A</w:t>
      </w:r>
      <w:r w:rsidR="00D00F6A">
        <w:rPr>
          <w:rFonts w:ascii="Times New Roman" w:hAnsi="Times New Roman" w:cs="Times New Roman"/>
          <w:b/>
          <w:color w:val="000000"/>
          <w:sz w:val="24"/>
          <w:szCs w:val="24"/>
        </w:rPr>
        <w:t>pproved</w:t>
      </w:r>
      <w:r w:rsidRPr="00A945E8">
        <w:rPr>
          <w:rFonts w:ascii="Times New Roman" w:hAnsi="Times New Roman" w:cs="Times New Roman"/>
          <w:b/>
          <w:color w:val="000000"/>
          <w:sz w:val="24"/>
          <w:szCs w:val="24"/>
        </w:rPr>
        <w:t xml:space="preserve"> Alternatives</w:t>
      </w:r>
    </w:p>
    <w:p w:rsidR="00B253CC" w:rsidRPr="00A945E8" w:rsidRDefault="00B253CC" w:rsidP="001D7C3A">
      <w:pPr>
        <w:autoSpaceDE w:val="0"/>
        <w:autoSpaceDN w:val="0"/>
        <w:adjustRightInd w:val="0"/>
        <w:spacing w:after="0"/>
        <w:ind w:left="360"/>
        <w:rPr>
          <w:rFonts w:ascii="Times New Roman" w:hAnsi="Times New Roman" w:cs="Times New Roman"/>
          <w:color w:val="000000"/>
          <w:sz w:val="24"/>
          <w:szCs w:val="24"/>
        </w:rPr>
      </w:pPr>
      <w:r w:rsidRPr="00A945E8">
        <w:rPr>
          <w:rFonts w:ascii="Times New Roman" w:hAnsi="Times New Roman" w:cs="Times New Roman"/>
          <w:color w:val="000000"/>
          <w:sz w:val="24"/>
          <w:szCs w:val="24"/>
        </w:rPr>
        <w:t xml:space="preserve">Not later than 180 days following the adoption of </w:t>
      </w:r>
      <w:r w:rsidR="00E9238E">
        <w:rPr>
          <w:rFonts w:ascii="Times New Roman" w:hAnsi="Times New Roman" w:cs="Times New Roman"/>
          <w:color w:val="000000"/>
          <w:sz w:val="24"/>
          <w:szCs w:val="24"/>
        </w:rPr>
        <w:t>this regulation</w:t>
      </w:r>
      <w:r w:rsidRPr="00A945E8">
        <w:rPr>
          <w:rFonts w:ascii="Times New Roman" w:hAnsi="Times New Roman" w:cs="Times New Roman"/>
          <w:color w:val="000000"/>
          <w:sz w:val="24"/>
          <w:szCs w:val="24"/>
        </w:rPr>
        <w:t xml:space="preserve">, the </w:t>
      </w:r>
      <w:r w:rsidR="003F5BB2">
        <w:rPr>
          <w:rFonts w:ascii="Times New Roman" w:hAnsi="Times New Roman" w:cs="Times New Roman"/>
          <w:color w:val="000000"/>
          <w:sz w:val="24"/>
          <w:szCs w:val="24"/>
        </w:rPr>
        <w:t>Lenox</w:t>
      </w:r>
      <w:r w:rsidR="00F6615B">
        <w:rPr>
          <w:rFonts w:ascii="Times New Roman" w:hAnsi="Times New Roman" w:cs="Times New Roman"/>
          <w:color w:val="000000"/>
          <w:sz w:val="24"/>
          <w:szCs w:val="24"/>
        </w:rPr>
        <w:t xml:space="preserve"> Board of Health or its designee</w:t>
      </w:r>
      <w:r w:rsidRPr="00A945E8">
        <w:rPr>
          <w:rFonts w:ascii="Times New Roman" w:hAnsi="Times New Roman" w:cs="Times New Roman"/>
          <w:color w:val="000000"/>
          <w:sz w:val="24"/>
          <w:szCs w:val="24"/>
        </w:rPr>
        <w:t xml:space="preserve"> shall adopt a list </w:t>
      </w:r>
      <w:r w:rsidR="009C72F2">
        <w:rPr>
          <w:rFonts w:ascii="Times New Roman" w:hAnsi="Times New Roman" w:cs="Times New Roman"/>
          <w:color w:val="000000"/>
          <w:sz w:val="24"/>
          <w:szCs w:val="24"/>
        </w:rPr>
        <w:t xml:space="preserve">that it shall update periodically </w:t>
      </w:r>
      <w:r w:rsidRPr="00A945E8">
        <w:rPr>
          <w:rFonts w:ascii="Times New Roman" w:hAnsi="Times New Roman" w:cs="Times New Roman"/>
          <w:color w:val="000000"/>
          <w:sz w:val="24"/>
          <w:szCs w:val="24"/>
        </w:rPr>
        <w:t xml:space="preserve">of </w:t>
      </w:r>
      <w:r w:rsidR="00D00F6A">
        <w:rPr>
          <w:rFonts w:ascii="Times New Roman" w:hAnsi="Times New Roman" w:cs="Times New Roman"/>
          <w:color w:val="000000"/>
          <w:sz w:val="24"/>
          <w:szCs w:val="24"/>
        </w:rPr>
        <w:t xml:space="preserve">approved and </w:t>
      </w:r>
      <w:r w:rsidRPr="00A945E8">
        <w:rPr>
          <w:rFonts w:ascii="Times New Roman" w:hAnsi="Times New Roman" w:cs="Times New Roman"/>
          <w:color w:val="000000"/>
          <w:sz w:val="24"/>
          <w:szCs w:val="24"/>
        </w:rPr>
        <w:t>available alternatives for each</w:t>
      </w:r>
      <w:r w:rsidR="00E9238E">
        <w:rPr>
          <w:rFonts w:ascii="Times New Roman" w:hAnsi="Times New Roman" w:cs="Times New Roman"/>
          <w:color w:val="000000"/>
          <w:sz w:val="24"/>
          <w:szCs w:val="24"/>
        </w:rPr>
        <w:t xml:space="preserve"> </w:t>
      </w:r>
      <w:r w:rsidRPr="00A945E8">
        <w:rPr>
          <w:rFonts w:ascii="Times New Roman" w:hAnsi="Times New Roman" w:cs="Times New Roman"/>
          <w:color w:val="000000"/>
          <w:sz w:val="24"/>
          <w:szCs w:val="24"/>
        </w:rPr>
        <w:t>product type, which</w:t>
      </w:r>
      <w:r w:rsidR="000251DC">
        <w:rPr>
          <w:rFonts w:ascii="Times New Roman" w:hAnsi="Times New Roman" w:cs="Times New Roman"/>
          <w:color w:val="000000"/>
          <w:sz w:val="24"/>
          <w:szCs w:val="24"/>
        </w:rPr>
        <w:t xml:space="preserve"> meet such criteria as </w:t>
      </w:r>
      <w:r w:rsidR="009C72F2">
        <w:rPr>
          <w:rFonts w:ascii="Times New Roman" w:hAnsi="Times New Roman" w:cs="Times New Roman"/>
          <w:color w:val="000000"/>
          <w:sz w:val="24"/>
          <w:szCs w:val="24"/>
        </w:rPr>
        <w:t xml:space="preserve">being </w:t>
      </w:r>
      <w:r w:rsidR="000E6B9D">
        <w:rPr>
          <w:rFonts w:ascii="Times New Roman" w:hAnsi="Times New Roman" w:cs="Times New Roman"/>
          <w:color w:val="000000"/>
          <w:sz w:val="24"/>
          <w:szCs w:val="24"/>
        </w:rPr>
        <w:t xml:space="preserve">non-toxic, </w:t>
      </w:r>
      <w:r w:rsidR="004A74D4">
        <w:rPr>
          <w:rFonts w:ascii="Times New Roman" w:hAnsi="Times New Roman" w:cs="Times New Roman"/>
          <w:color w:val="000000"/>
          <w:sz w:val="24"/>
          <w:szCs w:val="24"/>
        </w:rPr>
        <w:t>c</w:t>
      </w:r>
      <w:r w:rsidR="009C72F2" w:rsidRPr="00CB394C">
        <w:rPr>
          <w:rFonts w:ascii="Times New Roman" w:hAnsi="Times New Roman" w:cs="Times New Roman"/>
          <w:color w:val="000000"/>
          <w:sz w:val="24"/>
          <w:szCs w:val="24"/>
        </w:rPr>
        <w:t xml:space="preserve">ompostable, </w:t>
      </w:r>
      <w:r w:rsidR="009C72F2">
        <w:rPr>
          <w:rFonts w:ascii="Times New Roman" w:hAnsi="Times New Roman" w:cs="Times New Roman"/>
          <w:color w:val="000000"/>
          <w:sz w:val="24"/>
          <w:szCs w:val="24"/>
        </w:rPr>
        <w:t xml:space="preserve"> or reusable</w:t>
      </w:r>
      <w:r w:rsidRPr="00A945E8">
        <w:rPr>
          <w:rFonts w:ascii="Times New Roman" w:hAnsi="Times New Roman" w:cs="Times New Roman"/>
          <w:color w:val="000000"/>
          <w:sz w:val="24"/>
          <w:szCs w:val="24"/>
        </w:rPr>
        <w:t>.</w:t>
      </w:r>
    </w:p>
    <w:p w:rsidR="001D7C3A" w:rsidRPr="00A945E8" w:rsidRDefault="001D7C3A" w:rsidP="001D7C3A">
      <w:pPr>
        <w:autoSpaceDE w:val="0"/>
        <w:autoSpaceDN w:val="0"/>
        <w:adjustRightInd w:val="0"/>
        <w:spacing w:after="0"/>
        <w:ind w:left="360"/>
        <w:rPr>
          <w:rFonts w:ascii="Times New Roman" w:hAnsi="Times New Roman" w:cs="Times New Roman"/>
          <w:color w:val="000000"/>
          <w:sz w:val="24"/>
          <w:szCs w:val="24"/>
        </w:rPr>
      </w:pPr>
    </w:p>
    <w:p w:rsidR="00B253CC" w:rsidRPr="00A945E8" w:rsidRDefault="00B253CC" w:rsidP="00726876">
      <w:pPr>
        <w:pStyle w:val="ListParagraph"/>
        <w:numPr>
          <w:ilvl w:val="0"/>
          <w:numId w:val="23"/>
        </w:numPr>
        <w:autoSpaceDE w:val="0"/>
        <w:autoSpaceDN w:val="0"/>
        <w:adjustRightInd w:val="0"/>
        <w:spacing w:after="120"/>
        <w:contextualSpacing w:val="0"/>
        <w:rPr>
          <w:rFonts w:ascii="Times New Roman" w:hAnsi="Times New Roman" w:cs="Times New Roman"/>
          <w:b/>
          <w:color w:val="000000"/>
          <w:sz w:val="24"/>
          <w:szCs w:val="24"/>
        </w:rPr>
      </w:pPr>
      <w:r w:rsidRPr="00A945E8">
        <w:rPr>
          <w:rFonts w:ascii="Times New Roman" w:hAnsi="Times New Roman" w:cs="Times New Roman"/>
          <w:b/>
          <w:color w:val="000000"/>
          <w:sz w:val="24"/>
          <w:szCs w:val="24"/>
        </w:rPr>
        <w:t>Exemptions</w:t>
      </w:r>
      <w:r w:rsidR="00E8664B" w:rsidRPr="00A945E8">
        <w:rPr>
          <w:rFonts w:ascii="Times New Roman" w:hAnsi="Times New Roman" w:cs="Times New Roman"/>
          <w:b/>
          <w:color w:val="000000"/>
          <w:sz w:val="24"/>
          <w:szCs w:val="24"/>
        </w:rPr>
        <w:t xml:space="preserve"> and Deferment</w:t>
      </w:r>
    </w:p>
    <w:p w:rsidR="003C6EC3" w:rsidRPr="00D00F6A" w:rsidRDefault="003C6EC3" w:rsidP="00D00F6A">
      <w:pPr>
        <w:pStyle w:val="ListParagraph"/>
        <w:numPr>
          <w:ilvl w:val="1"/>
          <w:numId w:val="23"/>
        </w:numPr>
        <w:autoSpaceDE w:val="0"/>
        <w:autoSpaceDN w:val="0"/>
        <w:adjustRightInd w:val="0"/>
        <w:spacing w:after="120"/>
        <w:rPr>
          <w:rFonts w:ascii="Times New Roman" w:hAnsi="Times New Roman" w:cs="Times New Roman"/>
          <w:color w:val="000000"/>
          <w:sz w:val="24"/>
          <w:szCs w:val="24"/>
        </w:rPr>
      </w:pPr>
      <w:r w:rsidRPr="00D00F6A">
        <w:rPr>
          <w:rFonts w:ascii="Times New Roman" w:hAnsi="Times New Roman" w:cs="Times New Roman"/>
          <w:color w:val="000000"/>
          <w:sz w:val="24"/>
          <w:szCs w:val="24"/>
        </w:rPr>
        <w:t xml:space="preserve">Nothing in </w:t>
      </w:r>
      <w:r w:rsidR="00E9238E" w:rsidRPr="00D00F6A">
        <w:rPr>
          <w:rFonts w:ascii="Times New Roman" w:hAnsi="Times New Roman" w:cs="Times New Roman"/>
          <w:color w:val="000000"/>
          <w:sz w:val="24"/>
          <w:szCs w:val="24"/>
        </w:rPr>
        <w:t>this regulation</w:t>
      </w:r>
      <w:r w:rsidRPr="00D00F6A">
        <w:rPr>
          <w:rFonts w:ascii="Times New Roman" w:hAnsi="Times New Roman" w:cs="Times New Roman"/>
          <w:color w:val="000000"/>
          <w:sz w:val="24"/>
          <w:szCs w:val="24"/>
        </w:rPr>
        <w:t xml:space="preserve"> shall prohibit individual residents or visitors from purchasing or using Disposable Food Containers made from </w:t>
      </w:r>
      <w:r w:rsidR="00F42AB2" w:rsidRPr="00D00F6A">
        <w:rPr>
          <w:rFonts w:ascii="Times New Roman" w:hAnsi="Times New Roman" w:cs="Times New Roman"/>
          <w:color w:val="000000"/>
          <w:sz w:val="24"/>
          <w:szCs w:val="24"/>
        </w:rPr>
        <w:t>P</w:t>
      </w:r>
      <w:r w:rsidRPr="00D00F6A">
        <w:rPr>
          <w:rFonts w:ascii="Times New Roman" w:hAnsi="Times New Roman" w:cs="Times New Roman"/>
          <w:color w:val="000000"/>
          <w:sz w:val="24"/>
          <w:szCs w:val="24"/>
        </w:rPr>
        <w:t>olystyrene for personal use.</w:t>
      </w:r>
    </w:p>
    <w:p w:rsidR="003C6EC3" w:rsidRPr="00A945E8" w:rsidRDefault="003C6EC3" w:rsidP="00D00F6A">
      <w:pPr>
        <w:pStyle w:val="ListParagraph"/>
        <w:numPr>
          <w:ilvl w:val="0"/>
          <w:numId w:val="25"/>
        </w:numPr>
        <w:spacing w:after="120"/>
        <w:contextualSpacing w:val="0"/>
        <w:rPr>
          <w:rFonts w:ascii="Times New Roman" w:hAnsi="Times New Roman" w:cs="Times New Roman"/>
          <w:color w:val="000000"/>
          <w:sz w:val="24"/>
          <w:szCs w:val="24"/>
        </w:rPr>
      </w:pPr>
      <w:r w:rsidRPr="00A945E8">
        <w:rPr>
          <w:rFonts w:ascii="Times New Roman" w:hAnsi="Times New Roman" w:cs="Times New Roman"/>
          <w:sz w:val="24"/>
          <w:szCs w:val="24"/>
        </w:rPr>
        <w:t xml:space="preserve">Foods prepared or packaged outside the Town of </w:t>
      </w:r>
      <w:r w:rsidR="003F5BB2">
        <w:rPr>
          <w:rFonts w:ascii="Times New Roman" w:hAnsi="Times New Roman" w:cs="Times New Roman"/>
          <w:sz w:val="24"/>
          <w:szCs w:val="24"/>
        </w:rPr>
        <w:t>Lenox</w:t>
      </w:r>
      <w:r w:rsidRPr="00A945E8">
        <w:rPr>
          <w:rFonts w:ascii="Times New Roman" w:hAnsi="Times New Roman" w:cs="Times New Roman"/>
          <w:sz w:val="24"/>
          <w:szCs w:val="24"/>
        </w:rPr>
        <w:t xml:space="preserve"> are also exempt from the provisions of </w:t>
      </w:r>
      <w:r w:rsidR="00E9238E">
        <w:rPr>
          <w:rFonts w:ascii="Times New Roman" w:hAnsi="Times New Roman" w:cs="Times New Roman"/>
          <w:sz w:val="24"/>
          <w:szCs w:val="24"/>
        </w:rPr>
        <w:t>this regulation</w:t>
      </w:r>
      <w:r w:rsidRPr="00A945E8">
        <w:rPr>
          <w:rFonts w:ascii="Times New Roman" w:hAnsi="Times New Roman" w:cs="Times New Roman"/>
          <w:sz w:val="24"/>
          <w:szCs w:val="24"/>
        </w:rPr>
        <w:t>.</w:t>
      </w:r>
    </w:p>
    <w:p w:rsidR="00D00F6A" w:rsidRPr="009B727B" w:rsidRDefault="00D00F6A" w:rsidP="00D00F6A">
      <w:pPr>
        <w:pStyle w:val="ListParagraph"/>
        <w:numPr>
          <w:ilvl w:val="0"/>
          <w:numId w:val="25"/>
        </w:numPr>
        <w:spacing w:after="120"/>
        <w:contextualSpacing w:val="0"/>
        <w:rPr>
          <w:rFonts w:ascii="Times New Roman" w:hAnsi="Times New Roman" w:cs="Times New Roman"/>
          <w:sz w:val="24"/>
          <w:szCs w:val="24"/>
        </w:rPr>
      </w:pPr>
      <w:r>
        <w:rPr>
          <w:rFonts w:ascii="Times New Roman" w:hAnsi="Times New Roman" w:cs="Times New Roman"/>
          <w:sz w:val="24"/>
          <w:szCs w:val="24"/>
        </w:rPr>
        <w:t>This regulation</w:t>
      </w:r>
      <w:r w:rsidRPr="009B727B">
        <w:rPr>
          <w:rFonts w:ascii="Times New Roman" w:hAnsi="Times New Roman" w:cs="Times New Roman"/>
          <w:sz w:val="24"/>
          <w:szCs w:val="24"/>
        </w:rPr>
        <w:t xml:space="preserve"> does not prevent Establishments from selling to customers various types of </w:t>
      </w:r>
      <w:r>
        <w:rPr>
          <w:rFonts w:ascii="Times New Roman" w:hAnsi="Times New Roman" w:cs="Times New Roman"/>
          <w:sz w:val="24"/>
          <w:szCs w:val="24"/>
        </w:rPr>
        <w:t xml:space="preserve">products made from Polystyrene and </w:t>
      </w:r>
      <w:r w:rsidRPr="009B727B">
        <w:rPr>
          <w:rFonts w:ascii="Times New Roman" w:hAnsi="Times New Roman" w:cs="Times New Roman"/>
          <w:sz w:val="24"/>
          <w:szCs w:val="24"/>
        </w:rPr>
        <w:t xml:space="preserve">sold in packages containing multiple </w:t>
      </w:r>
      <w:r>
        <w:rPr>
          <w:rFonts w:ascii="Times New Roman" w:hAnsi="Times New Roman" w:cs="Times New Roman"/>
          <w:sz w:val="24"/>
          <w:szCs w:val="24"/>
        </w:rPr>
        <w:t>units</w:t>
      </w:r>
      <w:r w:rsidRPr="009B727B">
        <w:rPr>
          <w:rFonts w:ascii="Times New Roman" w:hAnsi="Times New Roman" w:cs="Times New Roman"/>
          <w:sz w:val="24"/>
          <w:szCs w:val="24"/>
        </w:rPr>
        <w:t xml:space="preserve"> intended for personal use. </w:t>
      </w:r>
    </w:p>
    <w:p w:rsidR="002C022A" w:rsidRPr="00864F69" w:rsidRDefault="002C022A" w:rsidP="00D00F6A">
      <w:pPr>
        <w:pStyle w:val="ListParagraph"/>
        <w:numPr>
          <w:ilvl w:val="0"/>
          <w:numId w:val="25"/>
        </w:numPr>
        <w:autoSpaceDE w:val="0"/>
        <w:autoSpaceDN w:val="0"/>
        <w:adjustRightInd w:val="0"/>
        <w:spacing w:after="120"/>
        <w:contextualSpacing w:val="0"/>
        <w:rPr>
          <w:rFonts w:ascii="Times New Roman" w:hAnsi="Times New Roman" w:cs="Times New Roman"/>
          <w:color w:val="000000"/>
          <w:sz w:val="24"/>
          <w:szCs w:val="24"/>
        </w:rPr>
      </w:pPr>
      <w:r w:rsidRPr="00864F69">
        <w:rPr>
          <w:rFonts w:ascii="Times New Roman" w:hAnsi="Times New Roman" w:cs="Times New Roman"/>
          <w:color w:val="000000"/>
          <w:sz w:val="24"/>
          <w:szCs w:val="24"/>
        </w:rPr>
        <w:t xml:space="preserve">Food </w:t>
      </w:r>
      <w:r w:rsidR="00D3076B">
        <w:rPr>
          <w:rFonts w:ascii="Times New Roman" w:hAnsi="Times New Roman" w:cs="Times New Roman"/>
          <w:color w:val="000000"/>
          <w:sz w:val="24"/>
          <w:szCs w:val="24"/>
        </w:rPr>
        <w:t>E</w:t>
      </w:r>
      <w:r w:rsidRPr="00864F69">
        <w:rPr>
          <w:rFonts w:ascii="Times New Roman" w:hAnsi="Times New Roman" w:cs="Times New Roman"/>
          <w:color w:val="000000"/>
          <w:sz w:val="24"/>
          <w:szCs w:val="24"/>
        </w:rPr>
        <w:t xml:space="preserve">stablishments will be exempted from the provisions of </w:t>
      </w:r>
      <w:r w:rsidR="00E9238E">
        <w:rPr>
          <w:rFonts w:ascii="Times New Roman" w:hAnsi="Times New Roman" w:cs="Times New Roman"/>
          <w:color w:val="000000"/>
          <w:sz w:val="24"/>
          <w:szCs w:val="24"/>
        </w:rPr>
        <w:t>this regulation</w:t>
      </w:r>
      <w:r w:rsidRPr="00864F69">
        <w:rPr>
          <w:rFonts w:ascii="Times New Roman" w:hAnsi="Times New Roman" w:cs="Times New Roman"/>
          <w:color w:val="000000"/>
          <w:sz w:val="24"/>
          <w:szCs w:val="24"/>
        </w:rPr>
        <w:t xml:space="preserve"> for specific items or types of </w:t>
      </w:r>
      <w:r w:rsidR="00F42AB2" w:rsidRPr="00864F69">
        <w:rPr>
          <w:rFonts w:ascii="Times New Roman" w:hAnsi="Times New Roman" w:cs="Times New Roman"/>
          <w:color w:val="000000"/>
          <w:sz w:val="24"/>
          <w:szCs w:val="24"/>
        </w:rPr>
        <w:t>D</w:t>
      </w:r>
      <w:r w:rsidRPr="00864F69">
        <w:rPr>
          <w:rFonts w:ascii="Times New Roman" w:hAnsi="Times New Roman" w:cs="Times New Roman"/>
          <w:color w:val="000000"/>
          <w:sz w:val="24"/>
          <w:szCs w:val="24"/>
        </w:rPr>
        <w:t xml:space="preserve">isposable </w:t>
      </w:r>
      <w:r w:rsidR="00F42AB2" w:rsidRPr="00864F69">
        <w:rPr>
          <w:rFonts w:ascii="Times New Roman" w:hAnsi="Times New Roman" w:cs="Times New Roman"/>
          <w:color w:val="000000"/>
          <w:sz w:val="24"/>
          <w:szCs w:val="24"/>
        </w:rPr>
        <w:t>F</w:t>
      </w:r>
      <w:r w:rsidRPr="00864F69">
        <w:rPr>
          <w:rFonts w:ascii="Times New Roman" w:hAnsi="Times New Roman" w:cs="Times New Roman"/>
          <w:color w:val="000000"/>
          <w:sz w:val="24"/>
          <w:szCs w:val="24"/>
        </w:rPr>
        <w:t xml:space="preserve">ood </w:t>
      </w:r>
      <w:r w:rsidR="00F42AB2" w:rsidRPr="00864F69">
        <w:rPr>
          <w:rFonts w:ascii="Times New Roman" w:hAnsi="Times New Roman" w:cs="Times New Roman"/>
          <w:color w:val="000000"/>
          <w:sz w:val="24"/>
          <w:szCs w:val="24"/>
        </w:rPr>
        <w:t>Containers</w:t>
      </w:r>
      <w:r w:rsidRPr="00864F69">
        <w:rPr>
          <w:rFonts w:ascii="Times New Roman" w:hAnsi="Times New Roman" w:cs="Times New Roman"/>
          <w:color w:val="000000"/>
          <w:sz w:val="24"/>
          <w:szCs w:val="24"/>
        </w:rPr>
        <w:t xml:space="preserve"> for so long as the </w:t>
      </w:r>
      <w:r w:rsidR="003F5BB2">
        <w:rPr>
          <w:rFonts w:ascii="Times New Roman" w:hAnsi="Times New Roman" w:cs="Times New Roman"/>
          <w:color w:val="000000"/>
          <w:sz w:val="24"/>
          <w:szCs w:val="24"/>
        </w:rPr>
        <w:t>Lenox</w:t>
      </w:r>
      <w:r w:rsidR="00F6615B" w:rsidRPr="00864F69">
        <w:rPr>
          <w:rFonts w:ascii="Times New Roman" w:hAnsi="Times New Roman" w:cs="Times New Roman"/>
          <w:color w:val="000000"/>
          <w:sz w:val="24"/>
          <w:szCs w:val="24"/>
        </w:rPr>
        <w:t xml:space="preserve"> Board of Health or its designee</w:t>
      </w:r>
      <w:r w:rsidRPr="00864F69">
        <w:rPr>
          <w:rFonts w:ascii="Times New Roman" w:hAnsi="Times New Roman" w:cs="Times New Roman"/>
          <w:color w:val="000000"/>
          <w:sz w:val="24"/>
          <w:szCs w:val="24"/>
        </w:rPr>
        <w:t xml:space="preserve"> finds that a suitable alternative does not exist for a specific application.</w:t>
      </w:r>
    </w:p>
    <w:p w:rsidR="00E8664B" w:rsidRPr="00A945E8" w:rsidRDefault="00E8664B" w:rsidP="00726876">
      <w:pPr>
        <w:pStyle w:val="Normal1"/>
        <w:numPr>
          <w:ilvl w:val="0"/>
          <w:numId w:val="11"/>
        </w:numPr>
        <w:spacing w:after="120"/>
        <w:ind w:left="1080" w:hanging="360"/>
        <w:rPr>
          <w:rFonts w:ascii="Times New Roman" w:hAnsi="Times New Roman" w:cs="Times New Roman"/>
          <w:sz w:val="24"/>
          <w:szCs w:val="24"/>
        </w:rPr>
      </w:pPr>
      <w:r w:rsidRPr="00A945E8">
        <w:rPr>
          <w:rFonts w:ascii="Times New Roman" w:eastAsia="Times New Roman" w:hAnsi="Times New Roman" w:cs="Times New Roman"/>
          <w:sz w:val="24"/>
          <w:szCs w:val="24"/>
        </w:rPr>
        <w:t xml:space="preserve">Upon written request to the </w:t>
      </w:r>
      <w:r w:rsidR="003F5BB2">
        <w:rPr>
          <w:rFonts w:ascii="Times New Roman" w:eastAsia="Times New Roman" w:hAnsi="Times New Roman" w:cs="Times New Roman"/>
          <w:sz w:val="24"/>
          <w:szCs w:val="24"/>
        </w:rPr>
        <w:t>Lenox</w:t>
      </w:r>
      <w:r w:rsidR="00F6615B">
        <w:rPr>
          <w:rFonts w:ascii="Times New Roman" w:eastAsia="Times New Roman" w:hAnsi="Times New Roman" w:cs="Times New Roman"/>
          <w:sz w:val="24"/>
          <w:szCs w:val="24"/>
        </w:rPr>
        <w:t xml:space="preserve"> Board of Health or its designee</w:t>
      </w:r>
      <w:r w:rsidRPr="00A945E8">
        <w:rPr>
          <w:rFonts w:ascii="Times New Roman" w:eastAsia="Times New Roman" w:hAnsi="Times New Roman" w:cs="Times New Roman"/>
          <w:sz w:val="24"/>
          <w:szCs w:val="24"/>
        </w:rPr>
        <w:t xml:space="preserve"> and demonstration of how </w:t>
      </w:r>
      <w:r w:rsidR="00E9238E">
        <w:rPr>
          <w:rFonts w:ascii="Times New Roman" w:eastAsia="Times New Roman" w:hAnsi="Times New Roman" w:cs="Times New Roman"/>
          <w:sz w:val="24"/>
          <w:szCs w:val="24"/>
        </w:rPr>
        <w:t>this regulation</w:t>
      </w:r>
      <w:r w:rsidRPr="00A945E8">
        <w:rPr>
          <w:rFonts w:ascii="Times New Roman" w:eastAsia="Times New Roman" w:hAnsi="Times New Roman" w:cs="Times New Roman"/>
          <w:sz w:val="24"/>
          <w:szCs w:val="24"/>
        </w:rPr>
        <w:t xml:space="preserve"> would cause undue hardship to the Food Establishment, such Food Establishment may receive temporary deferment of </w:t>
      </w:r>
      <w:r w:rsidR="00E9238E">
        <w:rPr>
          <w:rFonts w:ascii="Times New Roman" w:eastAsia="Times New Roman" w:hAnsi="Times New Roman" w:cs="Times New Roman"/>
          <w:sz w:val="24"/>
          <w:szCs w:val="24"/>
        </w:rPr>
        <w:t>this regulation</w:t>
      </w:r>
      <w:r w:rsidRPr="00A945E8">
        <w:rPr>
          <w:rFonts w:ascii="Times New Roman" w:eastAsia="Times New Roman" w:hAnsi="Times New Roman" w:cs="Times New Roman"/>
          <w:sz w:val="24"/>
          <w:szCs w:val="24"/>
        </w:rPr>
        <w:t xml:space="preserve"> to their operation for up to six (6) months. Food Establishments may apply to the deferment process in accordance with the following:</w:t>
      </w:r>
    </w:p>
    <w:p w:rsidR="00E8664B" w:rsidRPr="00A945E8" w:rsidRDefault="00E8664B" w:rsidP="00F5196C">
      <w:pPr>
        <w:pStyle w:val="Normal1"/>
        <w:numPr>
          <w:ilvl w:val="1"/>
          <w:numId w:val="9"/>
        </w:numPr>
        <w:spacing w:after="120"/>
        <w:ind w:left="1800"/>
        <w:rPr>
          <w:sz w:val="24"/>
          <w:szCs w:val="24"/>
        </w:rPr>
      </w:pPr>
      <w:r w:rsidRPr="00A945E8">
        <w:rPr>
          <w:rFonts w:ascii="Times New Roman" w:eastAsia="Times New Roman" w:hAnsi="Times New Roman" w:cs="Times New Roman"/>
          <w:sz w:val="24"/>
          <w:szCs w:val="24"/>
        </w:rPr>
        <w:t xml:space="preserve">An application for deferment must include all information necessary for the </w:t>
      </w:r>
      <w:r w:rsidR="003F5BB2">
        <w:rPr>
          <w:rFonts w:ascii="Times New Roman" w:eastAsia="Times New Roman" w:hAnsi="Times New Roman" w:cs="Times New Roman"/>
          <w:sz w:val="24"/>
          <w:szCs w:val="24"/>
        </w:rPr>
        <w:t>Lenox</w:t>
      </w:r>
      <w:r w:rsidR="00F6615B">
        <w:rPr>
          <w:rFonts w:ascii="Times New Roman" w:eastAsia="Times New Roman" w:hAnsi="Times New Roman" w:cs="Times New Roman"/>
          <w:sz w:val="24"/>
          <w:szCs w:val="24"/>
        </w:rPr>
        <w:t xml:space="preserve"> Board of </w:t>
      </w:r>
      <w:r w:rsidRPr="00A945E8">
        <w:rPr>
          <w:rFonts w:ascii="Times New Roman" w:eastAsia="Times New Roman" w:hAnsi="Times New Roman" w:cs="Times New Roman"/>
          <w:sz w:val="24"/>
          <w:szCs w:val="24"/>
        </w:rPr>
        <w:t>Health</w:t>
      </w:r>
      <w:r w:rsidR="00F6615B">
        <w:rPr>
          <w:rFonts w:ascii="Times New Roman" w:eastAsia="Times New Roman" w:hAnsi="Times New Roman" w:cs="Times New Roman"/>
          <w:sz w:val="24"/>
          <w:szCs w:val="24"/>
        </w:rPr>
        <w:t xml:space="preserve"> or its designee</w:t>
      </w:r>
      <w:r w:rsidRPr="00A945E8">
        <w:rPr>
          <w:rFonts w:ascii="Times New Roman" w:eastAsia="Times New Roman" w:hAnsi="Times New Roman" w:cs="Times New Roman"/>
          <w:sz w:val="24"/>
          <w:szCs w:val="24"/>
        </w:rPr>
        <w:t xml:space="preserve"> to make its decision, including but not limited to documentation showing the factual support of undue hardship for the claimed </w:t>
      </w:r>
      <w:r w:rsidR="00B102A6" w:rsidRPr="00A945E8">
        <w:rPr>
          <w:rFonts w:ascii="Times New Roman" w:eastAsia="Times New Roman" w:hAnsi="Times New Roman" w:cs="Times New Roman"/>
          <w:sz w:val="24"/>
          <w:szCs w:val="24"/>
        </w:rPr>
        <w:t>d</w:t>
      </w:r>
      <w:r w:rsidRPr="00A945E8">
        <w:rPr>
          <w:rFonts w:ascii="Times New Roman" w:eastAsia="Times New Roman" w:hAnsi="Times New Roman" w:cs="Times New Roman"/>
          <w:sz w:val="24"/>
          <w:szCs w:val="24"/>
        </w:rPr>
        <w:t xml:space="preserve">eferment. “Undue hardship” is defined as a situation unique to the Food Establishment in which there are no reasonable alternatives to the use of Polystyrene Disposable Food Containers and compliance with </w:t>
      </w:r>
      <w:r w:rsidR="00E9238E">
        <w:rPr>
          <w:rFonts w:ascii="Times New Roman" w:eastAsia="Times New Roman" w:hAnsi="Times New Roman" w:cs="Times New Roman"/>
          <w:sz w:val="24"/>
          <w:szCs w:val="24"/>
        </w:rPr>
        <w:t xml:space="preserve">this </w:t>
      </w:r>
      <w:r w:rsidR="00E9238E">
        <w:rPr>
          <w:rFonts w:ascii="Times New Roman" w:eastAsia="Times New Roman" w:hAnsi="Times New Roman" w:cs="Times New Roman"/>
          <w:sz w:val="24"/>
          <w:szCs w:val="24"/>
        </w:rPr>
        <w:lastRenderedPageBreak/>
        <w:t>regulation</w:t>
      </w:r>
      <w:r w:rsidR="00DB5B19" w:rsidRPr="00A945E8">
        <w:rPr>
          <w:rFonts w:ascii="Times New Roman" w:eastAsia="Times New Roman" w:hAnsi="Times New Roman" w:cs="Times New Roman"/>
          <w:sz w:val="24"/>
          <w:szCs w:val="24"/>
        </w:rPr>
        <w:t xml:space="preserve"> </w:t>
      </w:r>
      <w:r w:rsidRPr="00A945E8">
        <w:rPr>
          <w:rFonts w:ascii="Times New Roman" w:eastAsia="Times New Roman" w:hAnsi="Times New Roman" w:cs="Times New Roman"/>
          <w:sz w:val="24"/>
          <w:szCs w:val="24"/>
        </w:rPr>
        <w:t xml:space="preserve">would create significant economic hardship for the </w:t>
      </w:r>
      <w:r w:rsidR="00DB5B19" w:rsidRPr="00A945E8">
        <w:rPr>
          <w:rFonts w:ascii="Times New Roman" w:eastAsia="Times New Roman" w:hAnsi="Times New Roman" w:cs="Times New Roman"/>
          <w:sz w:val="24"/>
          <w:szCs w:val="24"/>
        </w:rPr>
        <w:t>F</w:t>
      </w:r>
      <w:r w:rsidRPr="00A945E8">
        <w:rPr>
          <w:rFonts w:ascii="Times New Roman" w:eastAsia="Times New Roman" w:hAnsi="Times New Roman" w:cs="Times New Roman"/>
          <w:sz w:val="24"/>
          <w:szCs w:val="24"/>
        </w:rPr>
        <w:t xml:space="preserve">ood </w:t>
      </w:r>
      <w:r w:rsidR="00DB5B19" w:rsidRPr="00A945E8">
        <w:rPr>
          <w:rFonts w:ascii="Times New Roman" w:eastAsia="Times New Roman" w:hAnsi="Times New Roman" w:cs="Times New Roman"/>
          <w:sz w:val="24"/>
          <w:szCs w:val="24"/>
        </w:rPr>
        <w:t>E</w:t>
      </w:r>
      <w:r w:rsidRPr="00A945E8">
        <w:rPr>
          <w:rFonts w:ascii="Times New Roman" w:eastAsia="Times New Roman" w:hAnsi="Times New Roman" w:cs="Times New Roman"/>
          <w:sz w:val="24"/>
          <w:szCs w:val="24"/>
        </w:rPr>
        <w:t>stablishment and its operators.</w:t>
      </w:r>
      <w:r w:rsidR="00DB5B19" w:rsidRPr="00A945E8">
        <w:rPr>
          <w:rFonts w:ascii="Times New Roman" w:eastAsia="Times New Roman" w:hAnsi="Times New Roman" w:cs="Times New Roman"/>
          <w:sz w:val="24"/>
          <w:szCs w:val="24"/>
        </w:rPr>
        <w:t xml:space="preserve"> </w:t>
      </w:r>
      <w:r w:rsidRPr="00A945E8">
        <w:rPr>
          <w:rFonts w:ascii="Times New Roman" w:eastAsia="Times New Roman" w:hAnsi="Times New Roman" w:cs="Times New Roman"/>
          <w:sz w:val="24"/>
          <w:szCs w:val="24"/>
        </w:rPr>
        <w:t xml:space="preserve">The </w:t>
      </w:r>
      <w:r w:rsidR="003F5BB2">
        <w:rPr>
          <w:rFonts w:ascii="Times New Roman" w:eastAsia="Times New Roman" w:hAnsi="Times New Roman" w:cs="Times New Roman"/>
          <w:sz w:val="24"/>
          <w:szCs w:val="24"/>
        </w:rPr>
        <w:t>Lenox</w:t>
      </w:r>
      <w:r w:rsidR="00F6615B">
        <w:rPr>
          <w:rFonts w:ascii="Times New Roman" w:eastAsia="Times New Roman" w:hAnsi="Times New Roman" w:cs="Times New Roman"/>
          <w:sz w:val="24"/>
          <w:szCs w:val="24"/>
        </w:rPr>
        <w:t xml:space="preserve"> Board of </w:t>
      </w:r>
      <w:r w:rsidR="00F6615B" w:rsidRPr="00A945E8">
        <w:rPr>
          <w:rFonts w:ascii="Times New Roman" w:eastAsia="Times New Roman" w:hAnsi="Times New Roman" w:cs="Times New Roman"/>
          <w:sz w:val="24"/>
          <w:szCs w:val="24"/>
        </w:rPr>
        <w:t>Health</w:t>
      </w:r>
      <w:r w:rsidR="00F6615B">
        <w:rPr>
          <w:rFonts w:ascii="Times New Roman" w:eastAsia="Times New Roman" w:hAnsi="Times New Roman" w:cs="Times New Roman"/>
          <w:sz w:val="24"/>
          <w:szCs w:val="24"/>
        </w:rPr>
        <w:t xml:space="preserve"> or its designee</w:t>
      </w:r>
      <w:r w:rsidR="00F6615B" w:rsidRPr="00A945E8">
        <w:rPr>
          <w:rFonts w:ascii="Times New Roman" w:eastAsia="Times New Roman" w:hAnsi="Times New Roman" w:cs="Times New Roman"/>
          <w:sz w:val="24"/>
          <w:szCs w:val="24"/>
        </w:rPr>
        <w:t xml:space="preserve"> </w:t>
      </w:r>
      <w:r w:rsidRPr="00A945E8">
        <w:rPr>
          <w:rFonts w:ascii="Times New Roman" w:eastAsia="Times New Roman" w:hAnsi="Times New Roman" w:cs="Times New Roman"/>
          <w:sz w:val="24"/>
          <w:szCs w:val="24"/>
        </w:rPr>
        <w:t>may request additional documentation from the applicant to make a decision regarding deferment</w:t>
      </w:r>
      <w:r w:rsidR="00B102A6" w:rsidRPr="00A945E8">
        <w:rPr>
          <w:rFonts w:ascii="Times New Roman" w:eastAsia="Times New Roman" w:hAnsi="Times New Roman" w:cs="Times New Roman"/>
          <w:sz w:val="24"/>
          <w:szCs w:val="24"/>
        </w:rPr>
        <w:t xml:space="preserve">, which it </w:t>
      </w:r>
      <w:r w:rsidR="00DB5B19" w:rsidRPr="00A945E8">
        <w:rPr>
          <w:rFonts w:ascii="Times New Roman" w:eastAsia="Times New Roman" w:hAnsi="Times New Roman" w:cs="Times New Roman"/>
          <w:sz w:val="24"/>
          <w:szCs w:val="24"/>
        </w:rPr>
        <w:t>may issue with or without conditions. All deferment applications are final and effective immediately.</w:t>
      </w:r>
    </w:p>
    <w:p w:rsidR="00E8664B" w:rsidRPr="00E9238E" w:rsidRDefault="00DB5B19" w:rsidP="00F42AB2">
      <w:pPr>
        <w:pStyle w:val="Normal1"/>
        <w:numPr>
          <w:ilvl w:val="1"/>
          <w:numId w:val="9"/>
        </w:numPr>
        <w:ind w:left="1800"/>
        <w:rPr>
          <w:sz w:val="24"/>
          <w:szCs w:val="24"/>
        </w:rPr>
      </w:pPr>
      <w:r w:rsidRPr="00A945E8">
        <w:rPr>
          <w:rFonts w:ascii="Times New Roman" w:eastAsia="Times New Roman" w:hAnsi="Times New Roman" w:cs="Times New Roman"/>
          <w:sz w:val="24"/>
          <w:szCs w:val="24"/>
        </w:rPr>
        <w:t xml:space="preserve"> </w:t>
      </w:r>
      <w:r w:rsidR="00E8664B" w:rsidRPr="00A945E8">
        <w:rPr>
          <w:rFonts w:ascii="Times New Roman" w:eastAsia="Times New Roman" w:hAnsi="Times New Roman" w:cs="Times New Roman"/>
          <w:sz w:val="24"/>
          <w:szCs w:val="24"/>
        </w:rPr>
        <w:t xml:space="preserve">A </w:t>
      </w:r>
      <w:r w:rsidRPr="00A945E8">
        <w:rPr>
          <w:rFonts w:ascii="Times New Roman" w:eastAsia="Times New Roman" w:hAnsi="Times New Roman" w:cs="Times New Roman"/>
          <w:sz w:val="24"/>
          <w:szCs w:val="24"/>
        </w:rPr>
        <w:t>F</w:t>
      </w:r>
      <w:r w:rsidR="00E8664B" w:rsidRPr="00A945E8">
        <w:rPr>
          <w:rFonts w:ascii="Times New Roman" w:eastAsia="Times New Roman" w:hAnsi="Times New Roman" w:cs="Times New Roman"/>
          <w:sz w:val="24"/>
          <w:szCs w:val="24"/>
        </w:rPr>
        <w:t xml:space="preserve">ood </w:t>
      </w:r>
      <w:r w:rsidRPr="00A945E8">
        <w:rPr>
          <w:rFonts w:ascii="Times New Roman" w:eastAsia="Times New Roman" w:hAnsi="Times New Roman" w:cs="Times New Roman"/>
          <w:sz w:val="24"/>
          <w:szCs w:val="24"/>
        </w:rPr>
        <w:t>E</w:t>
      </w:r>
      <w:r w:rsidR="00E8664B" w:rsidRPr="00A945E8">
        <w:rPr>
          <w:rFonts w:ascii="Times New Roman" w:eastAsia="Times New Roman" w:hAnsi="Times New Roman" w:cs="Times New Roman"/>
          <w:sz w:val="24"/>
          <w:szCs w:val="24"/>
        </w:rPr>
        <w:t xml:space="preserve">stablishment that receives </w:t>
      </w:r>
      <w:r w:rsidRPr="00A945E8">
        <w:rPr>
          <w:rFonts w:ascii="Times New Roman" w:eastAsia="Times New Roman" w:hAnsi="Times New Roman" w:cs="Times New Roman"/>
          <w:sz w:val="24"/>
          <w:szCs w:val="24"/>
        </w:rPr>
        <w:t xml:space="preserve">a </w:t>
      </w:r>
      <w:r w:rsidR="00E8664B" w:rsidRPr="00A945E8">
        <w:rPr>
          <w:rFonts w:ascii="Times New Roman" w:eastAsia="Times New Roman" w:hAnsi="Times New Roman" w:cs="Times New Roman"/>
          <w:sz w:val="24"/>
          <w:szCs w:val="24"/>
        </w:rPr>
        <w:t xml:space="preserve">deferment must reapply prior to the end of that period and continue to demonstrate undue hardship if its operators seek to continue their deferment. Deferments may only be granted for periods of up to </w:t>
      </w:r>
      <w:r w:rsidRPr="00A945E8">
        <w:rPr>
          <w:rFonts w:ascii="Times New Roman" w:eastAsia="Times New Roman" w:hAnsi="Times New Roman" w:cs="Times New Roman"/>
          <w:sz w:val="24"/>
          <w:szCs w:val="24"/>
        </w:rPr>
        <w:t>two</w:t>
      </w:r>
      <w:r w:rsidR="00E8664B" w:rsidRPr="00A945E8">
        <w:rPr>
          <w:rFonts w:ascii="Times New Roman" w:eastAsia="Times New Roman" w:hAnsi="Times New Roman" w:cs="Times New Roman"/>
          <w:sz w:val="24"/>
          <w:szCs w:val="24"/>
        </w:rPr>
        <w:t xml:space="preserve"> (</w:t>
      </w:r>
      <w:r w:rsidRPr="00A945E8">
        <w:rPr>
          <w:rFonts w:ascii="Times New Roman" w:eastAsia="Times New Roman" w:hAnsi="Times New Roman" w:cs="Times New Roman"/>
          <w:sz w:val="24"/>
          <w:szCs w:val="24"/>
        </w:rPr>
        <w:t>2</w:t>
      </w:r>
      <w:r w:rsidR="00E8664B" w:rsidRPr="00A945E8">
        <w:rPr>
          <w:rFonts w:ascii="Times New Roman" w:eastAsia="Times New Roman" w:hAnsi="Times New Roman" w:cs="Times New Roman"/>
          <w:sz w:val="24"/>
          <w:szCs w:val="24"/>
        </w:rPr>
        <w:t>) year</w:t>
      </w:r>
      <w:r w:rsidRPr="00A945E8">
        <w:rPr>
          <w:rFonts w:ascii="Times New Roman" w:eastAsia="Times New Roman" w:hAnsi="Times New Roman" w:cs="Times New Roman"/>
          <w:sz w:val="24"/>
          <w:szCs w:val="24"/>
        </w:rPr>
        <w:t>s</w:t>
      </w:r>
      <w:r w:rsidR="00E8664B" w:rsidRPr="00A945E8">
        <w:rPr>
          <w:rFonts w:ascii="Times New Roman" w:eastAsia="Times New Roman" w:hAnsi="Times New Roman" w:cs="Times New Roman"/>
          <w:sz w:val="24"/>
          <w:szCs w:val="24"/>
        </w:rPr>
        <w:t>.</w:t>
      </w:r>
    </w:p>
    <w:p w:rsidR="00E9238E" w:rsidRPr="00E9238E" w:rsidRDefault="00E9238E" w:rsidP="00E9238E">
      <w:pPr>
        <w:pStyle w:val="Normal1"/>
        <w:ind w:left="1440"/>
        <w:rPr>
          <w:sz w:val="24"/>
          <w:szCs w:val="24"/>
        </w:rPr>
      </w:pPr>
    </w:p>
    <w:p w:rsidR="0099285B" w:rsidRPr="00A945E8" w:rsidRDefault="0099285B" w:rsidP="00726876">
      <w:pPr>
        <w:pStyle w:val="Normal1"/>
        <w:numPr>
          <w:ilvl w:val="0"/>
          <w:numId w:val="23"/>
        </w:numPr>
        <w:spacing w:after="120"/>
        <w:rPr>
          <w:rFonts w:ascii="Times New Roman" w:hAnsi="Times New Roman" w:cs="Times New Roman"/>
          <w:b/>
          <w:sz w:val="24"/>
          <w:szCs w:val="24"/>
        </w:rPr>
      </w:pPr>
      <w:r w:rsidRPr="00A945E8">
        <w:rPr>
          <w:rFonts w:ascii="Times New Roman" w:hAnsi="Times New Roman" w:cs="Times New Roman"/>
          <w:b/>
          <w:sz w:val="24"/>
          <w:szCs w:val="24"/>
        </w:rPr>
        <w:t>Enforcement, Violations, and Penalties</w:t>
      </w:r>
    </w:p>
    <w:p w:rsidR="00B102A6" w:rsidRPr="00A945E8" w:rsidRDefault="00B102A6" w:rsidP="00726876">
      <w:pPr>
        <w:pStyle w:val="Normal1"/>
        <w:numPr>
          <w:ilvl w:val="1"/>
          <w:numId w:val="23"/>
        </w:numPr>
        <w:spacing w:after="120"/>
        <w:rPr>
          <w:rFonts w:ascii="Times New Roman" w:hAnsi="Times New Roman" w:cs="Times New Roman"/>
          <w:sz w:val="24"/>
          <w:szCs w:val="24"/>
        </w:rPr>
      </w:pPr>
      <w:r w:rsidRPr="00A945E8">
        <w:rPr>
          <w:rFonts w:ascii="Times New Roman" w:hAnsi="Times New Roman" w:cs="Times New Roman"/>
          <w:sz w:val="24"/>
          <w:szCs w:val="24"/>
        </w:rPr>
        <w:t xml:space="preserve">The </w:t>
      </w:r>
      <w:r w:rsidR="003F5BB2">
        <w:rPr>
          <w:rFonts w:ascii="Times New Roman" w:eastAsia="Times New Roman" w:hAnsi="Times New Roman" w:cs="Times New Roman"/>
          <w:sz w:val="24"/>
          <w:szCs w:val="24"/>
        </w:rPr>
        <w:t>Lenox</w:t>
      </w:r>
      <w:r w:rsidR="00F6615B">
        <w:rPr>
          <w:rFonts w:ascii="Times New Roman" w:eastAsia="Times New Roman" w:hAnsi="Times New Roman" w:cs="Times New Roman"/>
          <w:sz w:val="24"/>
          <w:szCs w:val="24"/>
        </w:rPr>
        <w:t xml:space="preserve"> Board of </w:t>
      </w:r>
      <w:r w:rsidR="00F6615B" w:rsidRPr="00A945E8">
        <w:rPr>
          <w:rFonts w:ascii="Times New Roman" w:eastAsia="Times New Roman" w:hAnsi="Times New Roman" w:cs="Times New Roman"/>
          <w:sz w:val="24"/>
          <w:szCs w:val="24"/>
        </w:rPr>
        <w:t>Health</w:t>
      </w:r>
      <w:r w:rsidR="00F6615B">
        <w:rPr>
          <w:rFonts w:ascii="Times New Roman" w:eastAsia="Times New Roman" w:hAnsi="Times New Roman" w:cs="Times New Roman"/>
          <w:sz w:val="24"/>
          <w:szCs w:val="24"/>
        </w:rPr>
        <w:t xml:space="preserve"> or its designee</w:t>
      </w:r>
      <w:r w:rsidR="00F6615B" w:rsidRPr="00A945E8">
        <w:rPr>
          <w:rFonts w:ascii="Times New Roman" w:eastAsia="Times New Roman" w:hAnsi="Times New Roman" w:cs="Times New Roman"/>
          <w:sz w:val="24"/>
          <w:szCs w:val="24"/>
        </w:rPr>
        <w:t xml:space="preserve"> </w:t>
      </w:r>
      <w:r w:rsidRPr="00A945E8">
        <w:rPr>
          <w:rFonts w:ascii="Times New Roman" w:hAnsi="Times New Roman" w:cs="Times New Roman"/>
          <w:sz w:val="24"/>
          <w:szCs w:val="24"/>
        </w:rPr>
        <w:t xml:space="preserve">shall </w:t>
      </w:r>
      <w:r w:rsidR="00E9238E" w:rsidRPr="00E9238E">
        <w:rPr>
          <w:rFonts w:ascii="Times New Roman" w:hAnsi="Times New Roman" w:cs="Times New Roman"/>
          <w:sz w:val="24"/>
          <w:szCs w:val="24"/>
        </w:rPr>
        <w:t xml:space="preserve">have the authority to enforce </w:t>
      </w:r>
      <w:r w:rsidR="00E9238E">
        <w:rPr>
          <w:rFonts w:ascii="Times New Roman" w:hAnsi="Times New Roman" w:cs="Times New Roman"/>
          <w:sz w:val="24"/>
          <w:szCs w:val="24"/>
        </w:rPr>
        <w:t xml:space="preserve">this regulation. Enforcement </w:t>
      </w:r>
      <w:r w:rsidRPr="00A945E8">
        <w:rPr>
          <w:rFonts w:ascii="Times New Roman" w:hAnsi="Times New Roman" w:cs="Times New Roman"/>
          <w:sz w:val="24"/>
          <w:szCs w:val="24"/>
        </w:rPr>
        <w:t>shall i</w:t>
      </w:r>
      <w:r w:rsidR="00E9238E">
        <w:rPr>
          <w:rFonts w:ascii="Times New Roman" w:hAnsi="Times New Roman" w:cs="Times New Roman"/>
          <w:sz w:val="24"/>
          <w:szCs w:val="24"/>
        </w:rPr>
        <w:t>nclude</w:t>
      </w:r>
      <w:r w:rsidRPr="00A945E8">
        <w:rPr>
          <w:rFonts w:ascii="Times New Roman" w:hAnsi="Times New Roman" w:cs="Times New Roman"/>
          <w:sz w:val="24"/>
          <w:szCs w:val="24"/>
        </w:rPr>
        <w:t>:</w:t>
      </w:r>
    </w:p>
    <w:p w:rsidR="00B102A6" w:rsidRPr="00A945E8" w:rsidRDefault="00B102A6" w:rsidP="00726876">
      <w:pPr>
        <w:pStyle w:val="Normal1"/>
        <w:numPr>
          <w:ilvl w:val="2"/>
          <w:numId w:val="23"/>
        </w:numPr>
        <w:spacing w:after="120"/>
        <w:ind w:hanging="360"/>
        <w:rPr>
          <w:rFonts w:ascii="Times New Roman" w:hAnsi="Times New Roman" w:cs="Times New Roman"/>
          <w:sz w:val="24"/>
          <w:szCs w:val="24"/>
        </w:rPr>
      </w:pPr>
      <w:r w:rsidRPr="00A945E8">
        <w:rPr>
          <w:rFonts w:ascii="Times New Roman" w:hAnsi="Times New Roman" w:cs="Times New Roman"/>
          <w:sz w:val="24"/>
          <w:szCs w:val="24"/>
        </w:rPr>
        <w:t>inspection and investigation</w:t>
      </w:r>
      <w:r w:rsidR="00F5196C" w:rsidRPr="00A945E8">
        <w:rPr>
          <w:rFonts w:ascii="Times New Roman" w:hAnsi="Times New Roman" w:cs="Times New Roman"/>
          <w:sz w:val="24"/>
          <w:szCs w:val="24"/>
        </w:rPr>
        <w:t xml:space="preserve"> when it deems appropriate</w:t>
      </w:r>
      <w:r w:rsidR="005D195A">
        <w:rPr>
          <w:rFonts w:ascii="Times New Roman" w:hAnsi="Times New Roman" w:cs="Times New Roman"/>
          <w:sz w:val="24"/>
          <w:szCs w:val="24"/>
        </w:rPr>
        <w:t xml:space="preserve"> or</w:t>
      </w:r>
      <w:r w:rsidR="00F5196C" w:rsidRPr="00A945E8">
        <w:rPr>
          <w:rFonts w:ascii="Times New Roman" w:hAnsi="Times New Roman" w:cs="Times New Roman"/>
          <w:sz w:val="24"/>
          <w:szCs w:val="24"/>
        </w:rPr>
        <w:t xml:space="preserve"> in response to citizen complaints</w:t>
      </w:r>
      <w:r w:rsidRPr="00A945E8">
        <w:rPr>
          <w:rFonts w:ascii="Times New Roman" w:hAnsi="Times New Roman" w:cs="Times New Roman"/>
          <w:sz w:val="24"/>
          <w:szCs w:val="24"/>
        </w:rPr>
        <w:t>;</w:t>
      </w:r>
    </w:p>
    <w:p w:rsidR="00B102A6" w:rsidRPr="00A945E8" w:rsidRDefault="00B102A6" w:rsidP="00726876">
      <w:pPr>
        <w:pStyle w:val="Normal1"/>
        <w:numPr>
          <w:ilvl w:val="2"/>
          <w:numId w:val="23"/>
        </w:numPr>
        <w:spacing w:after="120"/>
        <w:ind w:hanging="360"/>
        <w:rPr>
          <w:rFonts w:ascii="Times New Roman" w:hAnsi="Times New Roman" w:cs="Times New Roman"/>
          <w:sz w:val="24"/>
          <w:szCs w:val="24"/>
        </w:rPr>
      </w:pPr>
      <w:r w:rsidRPr="00A945E8">
        <w:rPr>
          <w:rFonts w:ascii="Times New Roman" w:hAnsi="Times New Roman" w:cs="Times New Roman"/>
          <w:sz w:val="24"/>
          <w:szCs w:val="24"/>
        </w:rPr>
        <w:t>the issuance of violation notices and administrative orders; and/or</w:t>
      </w:r>
    </w:p>
    <w:p w:rsidR="00B102A6" w:rsidRPr="00A945E8" w:rsidRDefault="00B102A6" w:rsidP="00726876">
      <w:pPr>
        <w:pStyle w:val="Normal1"/>
        <w:numPr>
          <w:ilvl w:val="2"/>
          <w:numId w:val="23"/>
        </w:numPr>
        <w:spacing w:after="120"/>
        <w:ind w:hanging="360"/>
        <w:rPr>
          <w:rFonts w:ascii="Times New Roman" w:hAnsi="Times New Roman" w:cs="Times New Roman"/>
          <w:sz w:val="24"/>
          <w:szCs w:val="24"/>
        </w:rPr>
      </w:pPr>
      <w:r w:rsidRPr="00A945E8">
        <w:rPr>
          <w:rFonts w:ascii="Times New Roman" w:hAnsi="Times New Roman" w:cs="Times New Roman"/>
          <w:sz w:val="24"/>
          <w:szCs w:val="24"/>
        </w:rPr>
        <w:t>civil court actions</w:t>
      </w:r>
    </w:p>
    <w:p w:rsidR="00B102A6" w:rsidRPr="00A945E8" w:rsidRDefault="00B102A6" w:rsidP="00726876">
      <w:pPr>
        <w:pStyle w:val="ListParagraph"/>
        <w:numPr>
          <w:ilvl w:val="1"/>
          <w:numId w:val="23"/>
        </w:numPr>
        <w:spacing w:after="120"/>
        <w:contextualSpacing w:val="0"/>
        <w:rPr>
          <w:rFonts w:ascii="Times New Roman" w:hAnsi="Times New Roman" w:cs="Times New Roman"/>
          <w:sz w:val="24"/>
          <w:szCs w:val="24"/>
        </w:rPr>
      </w:pPr>
      <w:r w:rsidRPr="00A945E8">
        <w:rPr>
          <w:rFonts w:ascii="Times New Roman" w:hAnsi="Times New Roman" w:cs="Times New Roman"/>
          <w:sz w:val="24"/>
          <w:szCs w:val="24"/>
        </w:rPr>
        <w:t>Whoever, himself or by his servant or agent or as the servant or agent of any other</w:t>
      </w:r>
      <w:r w:rsidR="00296992" w:rsidRPr="00A945E8">
        <w:rPr>
          <w:rFonts w:ascii="Times New Roman" w:hAnsi="Times New Roman" w:cs="Times New Roman"/>
          <w:sz w:val="24"/>
          <w:szCs w:val="24"/>
        </w:rPr>
        <w:t xml:space="preserve"> </w:t>
      </w:r>
      <w:r w:rsidRPr="00A945E8">
        <w:rPr>
          <w:rFonts w:ascii="Times New Roman" w:hAnsi="Times New Roman" w:cs="Times New Roman"/>
          <w:sz w:val="24"/>
          <w:szCs w:val="24"/>
        </w:rPr>
        <w:t xml:space="preserve">person or firm or corporation, violates any of the provisions of </w:t>
      </w:r>
      <w:r w:rsidR="00E9238E">
        <w:rPr>
          <w:rFonts w:ascii="Times New Roman" w:hAnsi="Times New Roman" w:cs="Times New Roman"/>
          <w:sz w:val="24"/>
          <w:szCs w:val="24"/>
        </w:rPr>
        <w:t>this regulation</w:t>
      </w:r>
      <w:r w:rsidRPr="00A945E8">
        <w:rPr>
          <w:rFonts w:ascii="Times New Roman" w:hAnsi="Times New Roman" w:cs="Times New Roman"/>
          <w:sz w:val="24"/>
          <w:szCs w:val="24"/>
        </w:rPr>
        <w:t xml:space="preserve"> may</w:t>
      </w:r>
      <w:r w:rsidR="00296992" w:rsidRPr="00A945E8">
        <w:rPr>
          <w:rFonts w:ascii="Times New Roman" w:hAnsi="Times New Roman" w:cs="Times New Roman"/>
          <w:sz w:val="24"/>
          <w:szCs w:val="24"/>
        </w:rPr>
        <w:t xml:space="preserve"> </w:t>
      </w:r>
      <w:r w:rsidRPr="00A945E8">
        <w:rPr>
          <w:rFonts w:ascii="Times New Roman" w:hAnsi="Times New Roman" w:cs="Times New Roman"/>
          <w:sz w:val="24"/>
          <w:szCs w:val="24"/>
        </w:rPr>
        <w:t>be penalized by a non-criminal disposition process as provided in MGL c. 40, §21D.</w:t>
      </w:r>
      <w:r w:rsidR="00296992" w:rsidRPr="00A945E8">
        <w:rPr>
          <w:rFonts w:ascii="Times New Roman" w:hAnsi="Times New Roman" w:cs="Times New Roman"/>
          <w:sz w:val="24"/>
          <w:szCs w:val="24"/>
        </w:rPr>
        <w:t xml:space="preserve"> </w:t>
      </w:r>
      <w:r w:rsidRPr="00A945E8">
        <w:rPr>
          <w:rFonts w:ascii="Times New Roman" w:hAnsi="Times New Roman" w:cs="Times New Roman"/>
          <w:sz w:val="24"/>
          <w:szCs w:val="24"/>
        </w:rPr>
        <w:t>Each day of violation, after written notice, is a separate violation.</w:t>
      </w:r>
    </w:p>
    <w:p w:rsidR="00B102A6" w:rsidRPr="00A945E8" w:rsidRDefault="00B102A6" w:rsidP="00726876">
      <w:pPr>
        <w:pStyle w:val="ListParagraph"/>
        <w:numPr>
          <w:ilvl w:val="1"/>
          <w:numId w:val="23"/>
        </w:numPr>
        <w:spacing w:after="120"/>
        <w:contextualSpacing w:val="0"/>
        <w:rPr>
          <w:rFonts w:ascii="Times New Roman" w:hAnsi="Times New Roman" w:cs="Times New Roman"/>
          <w:sz w:val="24"/>
          <w:szCs w:val="24"/>
        </w:rPr>
      </w:pPr>
      <w:r w:rsidRPr="00A945E8">
        <w:rPr>
          <w:rFonts w:ascii="Times New Roman" w:hAnsi="Times New Roman" w:cs="Times New Roman"/>
          <w:sz w:val="24"/>
          <w:szCs w:val="24"/>
        </w:rPr>
        <w:t>The following penalties shall apply:</w:t>
      </w:r>
    </w:p>
    <w:p w:rsidR="00B102A6" w:rsidRPr="00A945E8" w:rsidRDefault="00B102A6" w:rsidP="00726876">
      <w:pPr>
        <w:pStyle w:val="ListParagraph"/>
        <w:numPr>
          <w:ilvl w:val="2"/>
          <w:numId w:val="23"/>
        </w:numPr>
        <w:spacing w:after="120"/>
        <w:ind w:hanging="360"/>
        <w:contextualSpacing w:val="0"/>
        <w:rPr>
          <w:rFonts w:ascii="Times New Roman" w:hAnsi="Times New Roman" w:cs="Times New Roman"/>
          <w:sz w:val="24"/>
          <w:szCs w:val="24"/>
        </w:rPr>
      </w:pPr>
      <w:r w:rsidRPr="00A945E8">
        <w:rPr>
          <w:rFonts w:ascii="Times New Roman" w:hAnsi="Times New Roman" w:cs="Times New Roman"/>
          <w:sz w:val="24"/>
          <w:szCs w:val="24"/>
        </w:rPr>
        <w:t>First offense: Warning</w:t>
      </w:r>
    </w:p>
    <w:p w:rsidR="00B102A6" w:rsidRPr="00A945E8" w:rsidRDefault="00B102A6" w:rsidP="00726876">
      <w:pPr>
        <w:pStyle w:val="ListParagraph"/>
        <w:numPr>
          <w:ilvl w:val="2"/>
          <w:numId w:val="23"/>
        </w:numPr>
        <w:spacing w:after="120"/>
        <w:ind w:hanging="360"/>
        <w:contextualSpacing w:val="0"/>
        <w:rPr>
          <w:rFonts w:ascii="Times New Roman" w:hAnsi="Times New Roman" w:cs="Times New Roman"/>
          <w:sz w:val="24"/>
          <w:szCs w:val="24"/>
        </w:rPr>
      </w:pPr>
      <w:r w:rsidRPr="00A945E8">
        <w:rPr>
          <w:rFonts w:ascii="Times New Roman" w:hAnsi="Times New Roman" w:cs="Times New Roman"/>
          <w:sz w:val="24"/>
          <w:szCs w:val="24"/>
        </w:rPr>
        <w:t>Second offense: $50</w:t>
      </w:r>
    </w:p>
    <w:p w:rsidR="00B102A6" w:rsidRPr="00A945E8" w:rsidRDefault="00B102A6" w:rsidP="00726876">
      <w:pPr>
        <w:pStyle w:val="ListParagraph"/>
        <w:numPr>
          <w:ilvl w:val="2"/>
          <w:numId w:val="23"/>
        </w:numPr>
        <w:spacing w:after="120"/>
        <w:ind w:hanging="360"/>
        <w:contextualSpacing w:val="0"/>
        <w:rPr>
          <w:rFonts w:ascii="Times New Roman" w:hAnsi="Times New Roman" w:cs="Times New Roman"/>
          <w:sz w:val="24"/>
          <w:szCs w:val="24"/>
        </w:rPr>
      </w:pPr>
      <w:r w:rsidRPr="00A945E8">
        <w:rPr>
          <w:rFonts w:ascii="Times New Roman" w:hAnsi="Times New Roman" w:cs="Times New Roman"/>
          <w:sz w:val="24"/>
          <w:szCs w:val="24"/>
        </w:rPr>
        <w:t>Third offense: $100</w:t>
      </w:r>
    </w:p>
    <w:p w:rsidR="00B102A6" w:rsidRPr="00A945E8" w:rsidRDefault="00B102A6" w:rsidP="00726876">
      <w:pPr>
        <w:pStyle w:val="ListParagraph"/>
        <w:numPr>
          <w:ilvl w:val="2"/>
          <w:numId w:val="23"/>
        </w:numPr>
        <w:spacing w:after="120"/>
        <w:ind w:hanging="360"/>
        <w:contextualSpacing w:val="0"/>
        <w:rPr>
          <w:rFonts w:ascii="Times New Roman" w:hAnsi="Times New Roman" w:cs="Times New Roman"/>
          <w:sz w:val="24"/>
          <w:szCs w:val="24"/>
        </w:rPr>
      </w:pPr>
      <w:r w:rsidRPr="00A945E8">
        <w:rPr>
          <w:rFonts w:ascii="Times New Roman" w:hAnsi="Times New Roman" w:cs="Times New Roman"/>
          <w:sz w:val="24"/>
          <w:szCs w:val="24"/>
        </w:rPr>
        <w:t>Fourth and subsequent offense: $200</w:t>
      </w:r>
    </w:p>
    <w:p w:rsidR="00B102A6" w:rsidRPr="00A945E8" w:rsidRDefault="00B102A6" w:rsidP="00726876">
      <w:pPr>
        <w:pStyle w:val="ListParagraph"/>
        <w:numPr>
          <w:ilvl w:val="1"/>
          <w:numId w:val="23"/>
        </w:numPr>
        <w:spacing w:after="0"/>
        <w:contextualSpacing w:val="0"/>
        <w:rPr>
          <w:rFonts w:ascii="Times New Roman" w:hAnsi="Times New Roman" w:cs="Times New Roman"/>
          <w:sz w:val="24"/>
          <w:szCs w:val="24"/>
        </w:rPr>
      </w:pPr>
      <w:r w:rsidRPr="00A945E8">
        <w:rPr>
          <w:rFonts w:ascii="Times New Roman" w:hAnsi="Times New Roman" w:cs="Times New Roman"/>
          <w:sz w:val="24"/>
          <w:szCs w:val="24"/>
        </w:rPr>
        <w:t xml:space="preserve">The </w:t>
      </w:r>
      <w:r w:rsidR="003F5BB2">
        <w:rPr>
          <w:rFonts w:ascii="Times New Roman" w:eastAsia="Times New Roman" w:hAnsi="Times New Roman" w:cs="Times New Roman"/>
          <w:sz w:val="24"/>
          <w:szCs w:val="24"/>
        </w:rPr>
        <w:t>Lenox</w:t>
      </w:r>
      <w:r w:rsidR="00981BB2">
        <w:rPr>
          <w:rFonts w:ascii="Times New Roman" w:eastAsia="Times New Roman" w:hAnsi="Times New Roman" w:cs="Times New Roman"/>
          <w:sz w:val="24"/>
          <w:szCs w:val="24"/>
        </w:rPr>
        <w:t xml:space="preserve"> Board of </w:t>
      </w:r>
      <w:r w:rsidR="00981BB2" w:rsidRPr="00A945E8">
        <w:rPr>
          <w:rFonts w:ascii="Times New Roman" w:eastAsia="Times New Roman" w:hAnsi="Times New Roman" w:cs="Times New Roman"/>
          <w:sz w:val="24"/>
          <w:szCs w:val="24"/>
        </w:rPr>
        <w:t>Health</w:t>
      </w:r>
      <w:r w:rsidR="00981BB2">
        <w:rPr>
          <w:rFonts w:ascii="Times New Roman" w:eastAsia="Times New Roman" w:hAnsi="Times New Roman" w:cs="Times New Roman"/>
          <w:sz w:val="24"/>
          <w:szCs w:val="24"/>
        </w:rPr>
        <w:t xml:space="preserve"> or its designee</w:t>
      </w:r>
      <w:r w:rsidR="00981BB2" w:rsidRPr="00A945E8">
        <w:rPr>
          <w:rFonts w:ascii="Times New Roman" w:eastAsia="Times New Roman" w:hAnsi="Times New Roman" w:cs="Times New Roman"/>
          <w:sz w:val="24"/>
          <w:szCs w:val="24"/>
        </w:rPr>
        <w:t xml:space="preserve"> </w:t>
      </w:r>
      <w:r w:rsidRPr="00A945E8">
        <w:rPr>
          <w:rFonts w:ascii="Times New Roman" w:hAnsi="Times New Roman" w:cs="Times New Roman"/>
          <w:sz w:val="24"/>
          <w:szCs w:val="24"/>
        </w:rPr>
        <w:t>may suspend, revoke</w:t>
      </w:r>
      <w:r w:rsidR="00F5196C" w:rsidRPr="00A945E8">
        <w:rPr>
          <w:rFonts w:ascii="Times New Roman" w:hAnsi="Times New Roman" w:cs="Times New Roman"/>
          <w:sz w:val="24"/>
          <w:szCs w:val="24"/>
        </w:rPr>
        <w:t>,</w:t>
      </w:r>
      <w:r w:rsidRPr="00A945E8">
        <w:rPr>
          <w:rFonts w:ascii="Times New Roman" w:hAnsi="Times New Roman" w:cs="Times New Roman"/>
          <w:sz w:val="24"/>
          <w:szCs w:val="24"/>
        </w:rPr>
        <w:t xml:space="preserve"> or deny any license or permit for </w:t>
      </w:r>
      <w:r w:rsidR="00296992" w:rsidRPr="00A945E8">
        <w:rPr>
          <w:rFonts w:ascii="Times New Roman" w:hAnsi="Times New Roman" w:cs="Times New Roman"/>
          <w:sz w:val="24"/>
          <w:szCs w:val="24"/>
        </w:rPr>
        <w:t xml:space="preserve">repeat and flagrant </w:t>
      </w:r>
      <w:r w:rsidRPr="00A945E8">
        <w:rPr>
          <w:rFonts w:ascii="Times New Roman" w:hAnsi="Times New Roman" w:cs="Times New Roman"/>
          <w:sz w:val="24"/>
          <w:szCs w:val="24"/>
        </w:rPr>
        <w:t>violations</w:t>
      </w:r>
      <w:r w:rsidR="00296992" w:rsidRPr="00A945E8">
        <w:rPr>
          <w:rFonts w:ascii="Times New Roman" w:hAnsi="Times New Roman" w:cs="Times New Roman"/>
          <w:sz w:val="24"/>
          <w:szCs w:val="24"/>
        </w:rPr>
        <w:t xml:space="preserve"> of </w:t>
      </w:r>
      <w:r w:rsidR="00E9238E">
        <w:rPr>
          <w:rFonts w:ascii="Times New Roman" w:hAnsi="Times New Roman" w:cs="Times New Roman"/>
          <w:sz w:val="24"/>
          <w:szCs w:val="24"/>
        </w:rPr>
        <w:t>this regulation</w:t>
      </w:r>
      <w:r w:rsidR="00296992" w:rsidRPr="00A945E8">
        <w:rPr>
          <w:rFonts w:ascii="Times New Roman" w:hAnsi="Times New Roman" w:cs="Times New Roman"/>
          <w:sz w:val="24"/>
          <w:szCs w:val="24"/>
        </w:rPr>
        <w:t xml:space="preserve">. </w:t>
      </w:r>
    </w:p>
    <w:p w:rsidR="001D7C3A" w:rsidRPr="00A945E8" w:rsidRDefault="001D7C3A" w:rsidP="001D7C3A">
      <w:pPr>
        <w:pStyle w:val="ListParagraph"/>
        <w:spacing w:after="0"/>
        <w:ind w:left="1080"/>
        <w:contextualSpacing w:val="0"/>
        <w:rPr>
          <w:rFonts w:ascii="Times New Roman" w:hAnsi="Times New Roman" w:cs="Times New Roman"/>
          <w:sz w:val="24"/>
          <w:szCs w:val="24"/>
        </w:rPr>
      </w:pPr>
    </w:p>
    <w:p w:rsidR="00296992" w:rsidRPr="00A945E8" w:rsidRDefault="00296992" w:rsidP="00726876">
      <w:pPr>
        <w:pStyle w:val="ListParagraph"/>
        <w:numPr>
          <w:ilvl w:val="0"/>
          <w:numId w:val="23"/>
        </w:numPr>
        <w:spacing w:after="120"/>
        <w:contextualSpacing w:val="0"/>
        <w:rPr>
          <w:rFonts w:ascii="Times New Roman" w:hAnsi="Times New Roman" w:cs="Times New Roman"/>
          <w:b/>
          <w:sz w:val="24"/>
          <w:szCs w:val="24"/>
        </w:rPr>
      </w:pPr>
      <w:r w:rsidRPr="00A945E8">
        <w:rPr>
          <w:rFonts w:ascii="Times New Roman" w:hAnsi="Times New Roman" w:cs="Times New Roman"/>
          <w:b/>
          <w:sz w:val="24"/>
          <w:szCs w:val="24"/>
        </w:rPr>
        <w:t>Severability</w:t>
      </w:r>
    </w:p>
    <w:p w:rsidR="00296992" w:rsidRPr="00A945E8" w:rsidRDefault="00296992" w:rsidP="001D7C3A">
      <w:pPr>
        <w:spacing w:after="0"/>
        <w:ind w:left="360"/>
        <w:rPr>
          <w:rFonts w:ascii="Times New Roman" w:hAnsi="Times New Roman" w:cs="Times New Roman"/>
          <w:sz w:val="24"/>
          <w:szCs w:val="24"/>
        </w:rPr>
      </w:pPr>
      <w:r w:rsidRPr="00A945E8">
        <w:rPr>
          <w:rFonts w:ascii="Times New Roman" w:hAnsi="Times New Roman" w:cs="Times New Roman"/>
          <w:sz w:val="24"/>
          <w:szCs w:val="24"/>
        </w:rPr>
        <w:t xml:space="preserve">Each section of </w:t>
      </w:r>
      <w:r w:rsidR="00E9238E">
        <w:rPr>
          <w:rFonts w:ascii="Times New Roman" w:hAnsi="Times New Roman" w:cs="Times New Roman"/>
          <w:sz w:val="24"/>
          <w:szCs w:val="24"/>
        </w:rPr>
        <w:t>this regulation</w:t>
      </w:r>
      <w:r w:rsidRPr="00A945E8">
        <w:rPr>
          <w:rFonts w:ascii="Times New Roman" w:hAnsi="Times New Roman" w:cs="Times New Roman"/>
          <w:sz w:val="24"/>
          <w:szCs w:val="24"/>
        </w:rPr>
        <w:t xml:space="preserve"> shall be construed as separate to the end that if any section, sentence, clause, or phrase thereof shall be held invalid for any reason, the remainder of </w:t>
      </w:r>
      <w:r w:rsidR="00E9238E">
        <w:rPr>
          <w:rFonts w:ascii="Times New Roman" w:hAnsi="Times New Roman" w:cs="Times New Roman"/>
          <w:sz w:val="24"/>
          <w:szCs w:val="24"/>
        </w:rPr>
        <w:t>this regulation</w:t>
      </w:r>
      <w:r w:rsidRPr="00A945E8">
        <w:rPr>
          <w:rFonts w:ascii="Times New Roman" w:hAnsi="Times New Roman" w:cs="Times New Roman"/>
          <w:sz w:val="24"/>
          <w:szCs w:val="24"/>
        </w:rPr>
        <w:t xml:space="preserve"> and all other </w:t>
      </w:r>
      <w:r w:rsidR="00FD0EF2">
        <w:rPr>
          <w:rFonts w:ascii="Times New Roman" w:hAnsi="Times New Roman" w:cs="Times New Roman"/>
          <w:sz w:val="24"/>
          <w:szCs w:val="24"/>
        </w:rPr>
        <w:t xml:space="preserve">regulations </w:t>
      </w:r>
      <w:r w:rsidRPr="00A945E8">
        <w:rPr>
          <w:rFonts w:ascii="Times New Roman" w:hAnsi="Times New Roman" w:cs="Times New Roman"/>
          <w:sz w:val="24"/>
          <w:szCs w:val="24"/>
        </w:rPr>
        <w:t>shall continue in full force.</w:t>
      </w:r>
    </w:p>
    <w:p w:rsidR="001D7C3A" w:rsidRDefault="001D7C3A" w:rsidP="001D7C3A">
      <w:pPr>
        <w:spacing w:after="0"/>
        <w:ind w:left="360"/>
        <w:rPr>
          <w:rFonts w:ascii="Times New Roman" w:hAnsi="Times New Roman" w:cs="Times New Roman"/>
          <w:sz w:val="24"/>
          <w:szCs w:val="24"/>
        </w:rPr>
      </w:pPr>
    </w:p>
    <w:p w:rsidR="009C72F2" w:rsidRDefault="009C72F2" w:rsidP="001D7C3A">
      <w:pPr>
        <w:spacing w:after="0"/>
        <w:ind w:left="360"/>
        <w:rPr>
          <w:rFonts w:ascii="Times New Roman" w:hAnsi="Times New Roman" w:cs="Times New Roman"/>
          <w:sz w:val="24"/>
          <w:szCs w:val="24"/>
        </w:rPr>
      </w:pPr>
    </w:p>
    <w:p w:rsidR="009C72F2" w:rsidRPr="00A945E8" w:rsidRDefault="009C72F2" w:rsidP="001D7C3A">
      <w:pPr>
        <w:spacing w:after="0"/>
        <w:ind w:left="360"/>
        <w:rPr>
          <w:rFonts w:ascii="Times New Roman" w:hAnsi="Times New Roman" w:cs="Times New Roman"/>
          <w:sz w:val="24"/>
          <w:szCs w:val="24"/>
        </w:rPr>
      </w:pPr>
    </w:p>
    <w:p w:rsidR="00296992" w:rsidRPr="00A945E8" w:rsidRDefault="00296992" w:rsidP="00726876">
      <w:pPr>
        <w:pStyle w:val="ListParagraph"/>
        <w:numPr>
          <w:ilvl w:val="0"/>
          <w:numId w:val="23"/>
        </w:numPr>
        <w:spacing w:after="120"/>
        <w:contextualSpacing w:val="0"/>
        <w:rPr>
          <w:rFonts w:ascii="Times New Roman" w:hAnsi="Times New Roman" w:cs="Times New Roman"/>
          <w:b/>
          <w:sz w:val="24"/>
          <w:szCs w:val="24"/>
        </w:rPr>
      </w:pPr>
      <w:r w:rsidRPr="00A945E8">
        <w:rPr>
          <w:rFonts w:ascii="Times New Roman" w:hAnsi="Times New Roman" w:cs="Times New Roman"/>
          <w:b/>
          <w:sz w:val="24"/>
          <w:szCs w:val="24"/>
        </w:rPr>
        <w:lastRenderedPageBreak/>
        <w:t>Effective Date</w:t>
      </w:r>
    </w:p>
    <w:p w:rsidR="0014096B" w:rsidRDefault="00C33124" w:rsidP="00284CC0">
      <w:pPr>
        <w:spacing w:after="120"/>
        <w:ind w:left="360"/>
        <w:rPr>
          <w:rFonts w:ascii="Times New Roman" w:hAnsi="Times New Roman" w:cs="Times New Roman"/>
          <w:sz w:val="24"/>
          <w:szCs w:val="24"/>
        </w:rPr>
      </w:pPr>
      <w:r w:rsidRPr="00A945E8">
        <w:rPr>
          <w:rFonts w:ascii="Times New Roman" w:hAnsi="Times New Roman" w:cs="Times New Roman"/>
          <w:sz w:val="24"/>
          <w:szCs w:val="24"/>
        </w:rPr>
        <w:t>Th</w:t>
      </w:r>
      <w:r w:rsidR="00FD0EF2">
        <w:rPr>
          <w:rFonts w:ascii="Times New Roman" w:hAnsi="Times New Roman" w:cs="Times New Roman"/>
          <w:sz w:val="24"/>
          <w:szCs w:val="24"/>
        </w:rPr>
        <w:t>is regulation</w:t>
      </w:r>
      <w:r w:rsidRPr="00A945E8">
        <w:rPr>
          <w:rFonts w:ascii="Times New Roman" w:hAnsi="Times New Roman" w:cs="Times New Roman"/>
          <w:sz w:val="24"/>
          <w:szCs w:val="24"/>
        </w:rPr>
        <w:t xml:space="preserve"> shall take effect </w:t>
      </w:r>
      <w:r w:rsidR="00F6615B">
        <w:rPr>
          <w:rFonts w:ascii="Times New Roman" w:hAnsi="Times New Roman" w:cs="Times New Roman"/>
          <w:sz w:val="24"/>
          <w:szCs w:val="24"/>
        </w:rPr>
        <w:t xml:space="preserve">twelve </w:t>
      </w:r>
      <w:r w:rsidRPr="00A945E8">
        <w:rPr>
          <w:rFonts w:ascii="Times New Roman" w:hAnsi="Times New Roman" w:cs="Times New Roman"/>
          <w:sz w:val="24"/>
          <w:szCs w:val="24"/>
        </w:rPr>
        <w:t>(</w:t>
      </w:r>
      <w:r w:rsidR="00F6615B">
        <w:rPr>
          <w:rFonts w:ascii="Times New Roman" w:hAnsi="Times New Roman" w:cs="Times New Roman"/>
          <w:sz w:val="24"/>
          <w:szCs w:val="24"/>
        </w:rPr>
        <w:t>12</w:t>
      </w:r>
      <w:r w:rsidR="00284CC0">
        <w:rPr>
          <w:rFonts w:ascii="Times New Roman" w:hAnsi="Times New Roman" w:cs="Times New Roman"/>
          <w:sz w:val="24"/>
          <w:szCs w:val="24"/>
        </w:rPr>
        <w:t xml:space="preserve">) months after its adoption. </w:t>
      </w:r>
    </w:p>
    <w:p w:rsidR="009C72F2" w:rsidRDefault="009C72F2" w:rsidP="00284CC0">
      <w:pPr>
        <w:spacing w:after="120"/>
        <w:ind w:left="360"/>
        <w:rPr>
          <w:rFonts w:ascii="Times New Roman" w:hAnsi="Times New Roman" w:cs="Times New Roman"/>
          <w:sz w:val="24"/>
          <w:szCs w:val="24"/>
        </w:rPr>
      </w:pPr>
    </w:p>
    <w:p w:rsidR="009C72F2" w:rsidRDefault="009C72F2" w:rsidP="00284CC0">
      <w:pPr>
        <w:spacing w:after="120"/>
        <w:ind w:left="360"/>
        <w:rPr>
          <w:rFonts w:ascii="Times New Roman" w:hAnsi="Times New Roman" w:cs="Times New Roman"/>
          <w:sz w:val="24"/>
          <w:szCs w:val="24"/>
        </w:rPr>
      </w:pPr>
    </w:p>
    <w:p w:rsidR="00E9238E" w:rsidRDefault="00E9238E" w:rsidP="00284CC0">
      <w:pPr>
        <w:spacing w:after="120"/>
        <w:ind w:left="360"/>
        <w:rPr>
          <w:rFonts w:ascii="Times New Roman" w:hAnsi="Times New Roman" w:cs="Times New Roman"/>
          <w:sz w:val="24"/>
          <w:szCs w:val="24"/>
        </w:rPr>
      </w:pPr>
    </w:p>
    <w:p w:rsidR="00E9238E" w:rsidRDefault="00E9238E" w:rsidP="00E9238E">
      <w:pPr>
        <w:pStyle w:val="Normal1"/>
        <w:rPr>
          <w:rFonts w:ascii="Times New Roman" w:eastAsia="Times New Roman" w:hAnsi="Times New Roman" w:cs="Times New Roman"/>
          <w:sz w:val="24"/>
        </w:rPr>
      </w:pPr>
      <w:r>
        <w:rPr>
          <w:rFonts w:ascii="Times New Roman" w:eastAsia="Times New Roman" w:hAnsi="Times New Roman" w:cs="Times New Roman"/>
          <w:sz w:val="24"/>
        </w:rPr>
        <w:t>_____________________________                           ________________________</w:t>
      </w:r>
    </w:p>
    <w:p w:rsidR="00E9238E" w:rsidRDefault="00E9238E" w:rsidP="00E9238E">
      <w:pPr>
        <w:pStyle w:val="Normal1"/>
        <w:rPr>
          <w:rFonts w:ascii="Times New Roman" w:eastAsia="Times New Roman" w:hAnsi="Times New Roman" w:cs="Times New Roman"/>
          <w:sz w:val="24"/>
        </w:rPr>
      </w:pPr>
      <w:r>
        <w:rPr>
          <w:rFonts w:ascii="Times New Roman" w:eastAsia="Times New Roman" w:hAnsi="Times New Roman" w:cs="Times New Roman"/>
          <w:sz w:val="24"/>
        </w:rPr>
        <w:t xml:space="preserve">Lenox Board of Health, Chair   </w:t>
      </w:r>
      <w:r w:rsidR="00E268F4">
        <w:rPr>
          <w:rFonts w:ascii="Times New Roman" w:eastAsia="Times New Roman" w:hAnsi="Times New Roman" w:cs="Times New Roman"/>
          <w:sz w:val="24"/>
        </w:rPr>
        <w:tab/>
      </w:r>
      <w:r w:rsidR="00E268F4">
        <w:rPr>
          <w:rFonts w:ascii="Times New Roman" w:eastAsia="Times New Roman" w:hAnsi="Times New Roman" w:cs="Times New Roman"/>
          <w:sz w:val="24"/>
        </w:rPr>
        <w:tab/>
      </w:r>
      <w:r>
        <w:rPr>
          <w:rFonts w:ascii="Times New Roman" w:eastAsia="Times New Roman" w:hAnsi="Times New Roman" w:cs="Times New Roman"/>
          <w:sz w:val="24"/>
        </w:rPr>
        <w:t xml:space="preserve">             Date</w:t>
      </w:r>
    </w:p>
    <w:p w:rsidR="00E9238E" w:rsidRDefault="00E9238E" w:rsidP="00E9238E">
      <w:pPr>
        <w:pStyle w:val="Normal1"/>
        <w:rPr>
          <w:rFonts w:ascii="Times New Roman" w:eastAsia="Times New Roman" w:hAnsi="Times New Roman" w:cs="Times New Roman"/>
          <w:sz w:val="24"/>
        </w:rPr>
      </w:pPr>
    </w:p>
    <w:p w:rsidR="00E9238E" w:rsidRDefault="00E9238E" w:rsidP="00E9238E">
      <w:pPr>
        <w:pStyle w:val="Normal1"/>
        <w:rPr>
          <w:rFonts w:ascii="Times New Roman" w:eastAsia="Times New Roman" w:hAnsi="Times New Roman" w:cs="Times New Roman"/>
          <w:sz w:val="24"/>
        </w:rPr>
      </w:pPr>
    </w:p>
    <w:p w:rsidR="00E9238E" w:rsidRDefault="00E9238E" w:rsidP="00E9238E">
      <w:pPr>
        <w:pStyle w:val="Normal1"/>
        <w:rPr>
          <w:rFonts w:ascii="Times New Roman" w:eastAsia="Times New Roman" w:hAnsi="Times New Roman" w:cs="Times New Roman"/>
          <w:sz w:val="24"/>
        </w:rPr>
      </w:pPr>
    </w:p>
    <w:p w:rsidR="00E9238E" w:rsidRDefault="00E9238E" w:rsidP="00E9238E">
      <w:pPr>
        <w:pStyle w:val="Normal1"/>
        <w:rPr>
          <w:rFonts w:ascii="Times New Roman" w:eastAsia="Times New Roman" w:hAnsi="Times New Roman" w:cs="Times New Roman"/>
          <w:sz w:val="24"/>
        </w:rPr>
      </w:pPr>
    </w:p>
    <w:p w:rsidR="00E9238E" w:rsidRDefault="00E9238E" w:rsidP="00E9238E">
      <w:pPr>
        <w:pStyle w:val="Normal1"/>
        <w:rPr>
          <w:rFonts w:ascii="Times New Roman" w:eastAsia="Times New Roman" w:hAnsi="Times New Roman" w:cs="Times New Roman"/>
          <w:sz w:val="24"/>
        </w:rPr>
      </w:pPr>
    </w:p>
    <w:p w:rsidR="00E9238E" w:rsidRDefault="00E9238E" w:rsidP="00E9238E">
      <w:pPr>
        <w:pStyle w:val="Normal1"/>
        <w:rPr>
          <w:rFonts w:ascii="Times New Roman" w:eastAsia="Times New Roman" w:hAnsi="Times New Roman" w:cs="Times New Roman"/>
          <w:sz w:val="24"/>
        </w:rPr>
      </w:pPr>
      <w:r>
        <w:rPr>
          <w:rFonts w:ascii="Times New Roman" w:eastAsia="Times New Roman" w:hAnsi="Times New Roman" w:cs="Times New Roman"/>
          <w:sz w:val="24"/>
        </w:rPr>
        <w:t>______________________________                          _______________________</w:t>
      </w:r>
    </w:p>
    <w:p w:rsidR="00E9238E" w:rsidRDefault="00E9238E" w:rsidP="00E9238E">
      <w:pPr>
        <w:pStyle w:val="Normal1"/>
        <w:rPr>
          <w:rFonts w:ascii="Times New Roman" w:eastAsia="Times New Roman" w:hAnsi="Times New Roman" w:cs="Times New Roman"/>
          <w:sz w:val="24"/>
        </w:rPr>
      </w:pPr>
      <w:r>
        <w:rPr>
          <w:rFonts w:ascii="Times New Roman" w:eastAsia="Times New Roman" w:hAnsi="Times New Roman" w:cs="Times New Roman"/>
          <w:sz w:val="24"/>
        </w:rPr>
        <w:t xml:space="preserve">Lenox Board of Health, Vice Chair                </w:t>
      </w:r>
      <w:r w:rsidR="00E268F4">
        <w:rPr>
          <w:rFonts w:ascii="Times New Roman" w:eastAsia="Times New Roman" w:hAnsi="Times New Roman" w:cs="Times New Roman"/>
          <w:sz w:val="24"/>
        </w:rPr>
        <w:tab/>
      </w:r>
      <w:r>
        <w:rPr>
          <w:rFonts w:ascii="Times New Roman" w:eastAsia="Times New Roman" w:hAnsi="Times New Roman" w:cs="Times New Roman"/>
          <w:sz w:val="24"/>
        </w:rPr>
        <w:t xml:space="preserve">  Date</w:t>
      </w:r>
    </w:p>
    <w:p w:rsidR="00E9238E" w:rsidRDefault="00E9238E" w:rsidP="00E9238E">
      <w:pPr>
        <w:pStyle w:val="Normal1"/>
      </w:pPr>
    </w:p>
    <w:p w:rsidR="00E9238E" w:rsidRDefault="00E9238E" w:rsidP="00E9238E">
      <w:pPr>
        <w:pStyle w:val="Normal1"/>
      </w:pPr>
    </w:p>
    <w:p w:rsidR="00E9238E" w:rsidRDefault="00E9238E" w:rsidP="00E9238E">
      <w:pPr>
        <w:pStyle w:val="Normal1"/>
      </w:pPr>
    </w:p>
    <w:p w:rsidR="00E9238E" w:rsidRDefault="00E9238E" w:rsidP="00E9238E">
      <w:pPr>
        <w:pStyle w:val="Normal1"/>
      </w:pPr>
    </w:p>
    <w:p w:rsidR="00E9238E" w:rsidRDefault="00E9238E" w:rsidP="00E9238E">
      <w:pPr>
        <w:pStyle w:val="Normal1"/>
      </w:pPr>
    </w:p>
    <w:p w:rsidR="00E9238E" w:rsidRDefault="00E9238E" w:rsidP="00E9238E">
      <w:pPr>
        <w:pStyle w:val="Normal1"/>
      </w:pPr>
    </w:p>
    <w:p w:rsidR="00E9238E" w:rsidRDefault="00E9238E" w:rsidP="00E9238E">
      <w:pPr>
        <w:pStyle w:val="Normal1"/>
        <w:rPr>
          <w:rFonts w:ascii="Times New Roman" w:eastAsia="Times New Roman" w:hAnsi="Times New Roman" w:cs="Times New Roman"/>
          <w:sz w:val="24"/>
        </w:rPr>
      </w:pPr>
      <w:r>
        <w:rPr>
          <w:rFonts w:ascii="Times New Roman" w:eastAsia="Times New Roman" w:hAnsi="Times New Roman" w:cs="Times New Roman"/>
          <w:sz w:val="24"/>
        </w:rPr>
        <w:t>_____________________________                           ________________________</w:t>
      </w:r>
    </w:p>
    <w:p w:rsidR="00E9238E" w:rsidRDefault="00E268F4" w:rsidP="00E9238E">
      <w:pPr>
        <w:pStyle w:val="Normal1"/>
        <w:rPr>
          <w:rFonts w:ascii="Times New Roman" w:eastAsia="Times New Roman" w:hAnsi="Times New Roman" w:cs="Times New Roman"/>
          <w:sz w:val="24"/>
        </w:rPr>
      </w:pPr>
      <w:r>
        <w:rPr>
          <w:rFonts w:ascii="Times New Roman" w:eastAsia="Times New Roman" w:hAnsi="Times New Roman" w:cs="Times New Roman"/>
          <w:sz w:val="24"/>
        </w:rPr>
        <w:t>Lenox</w:t>
      </w:r>
      <w:r w:rsidR="00E9238E">
        <w:rPr>
          <w:rFonts w:ascii="Times New Roman" w:eastAsia="Times New Roman" w:hAnsi="Times New Roman" w:cs="Times New Roman"/>
          <w:sz w:val="24"/>
        </w:rPr>
        <w:t xml:space="preserve"> Board of Health, Clerk  </w:t>
      </w:r>
      <w:r w:rsidR="00FD0EF2">
        <w:rPr>
          <w:rFonts w:ascii="Times New Roman" w:eastAsia="Times New Roman" w:hAnsi="Times New Roman" w:cs="Times New Roman"/>
          <w:sz w:val="24"/>
        </w:rPr>
        <w:tab/>
        <w:t xml:space="preserve"> </w:t>
      </w:r>
      <w:r w:rsidR="00E9238E">
        <w:rPr>
          <w:rFonts w:ascii="Times New Roman" w:eastAsia="Times New Roman" w:hAnsi="Times New Roman" w:cs="Times New Roman"/>
          <w:sz w:val="24"/>
        </w:rPr>
        <w:t xml:space="preserve">                        Date</w:t>
      </w:r>
    </w:p>
    <w:p w:rsidR="00E9238E" w:rsidRPr="00A945E8" w:rsidRDefault="00E9238E" w:rsidP="00284CC0">
      <w:pPr>
        <w:spacing w:after="120"/>
        <w:ind w:left="360"/>
        <w:rPr>
          <w:rFonts w:ascii="Times New Roman" w:hAnsi="Times New Roman" w:cs="Times New Roman"/>
          <w:sz w:val="24"/>
          <w:szCs w:val="24"/>
        </w:rPr>
      </w:pPr>
    </w:p>
    <w:sectPr w:rsidR="00E9238E" w:rsidRPr="00A945E8" w:rsidSect="00861A45">
      <w:footerReference w:type="default" r:id="rId8"/>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5EA" w:rsidRDefault="000C25EA" w:rsidP="005F5535">
      <w:pPr>
        <w:spacing w:after="0" w:line="240" w:lineRule="auto"/>
      </w:pPr>
      <w:r>
        <w:separator/>
      </w:r>
    </w:p>
  </w:endnote>
  <w:endnote w:type="continuationSeparator" w:id="0">
    <w:p w:rsidR="000C25EA" w:rsidRDefault="000C25EA" w:rsidP="005F5535">
      <w:pPr>
        <w:spacing w:after="0" w:line="240" w:lineRule="auto"/>
      </w:pPr>
      <w:r>
        <w:continuationSeparator/>
      </w:r>
    </w:p>
  </w:endnote>
  <w:endnote w:id="1">
    <w:p w:rsidR="00284CC0" w:rsidRPr="00E57617" w:rsidRDefault="00284CC0">
      <w:pPr>
        <w:pStyle w:val="EndnoteText"/>
        <w:rPr>
          <w:sz w:val="22"/>
          <w:szCs w:val="22"/>
        </w:rPr>
      </w:pPr>
      <w:r>
        <w:rPr>
          <w:rStyle w:val="EndnoteReference"/>
        </w:rPr>
        <w:endnoteRef/>
      </w:r>
      <w:r>
        <w:t xml:space="preserve"> </w:t>
      </w:r>
      <w:r w:rsidRPr="00E57617">
        <w:rPr>
          <w:rFonts w:ascii="Times New Roman" w:eastAsia="Times New Roman" w:hAnsi="Times New Roman" w:cs="Times New Roman"/>
          <w:sz w:val="22"/>
          <w:szCs w:val="22"/>
        </w:rPr>
        <w:t xml:space="preserve">National Toxicology Program, (NTP) (2014), </w:t>
      </w:r>
      <w:r w:rsidRPr="00E57617">
        <w:rPr>
          <w:rFonts w:ascii="Times New Roman" w:eastAsia="Times New Roman" w:hAnsi="Times New Roman" w:cs="Times New Roman"/>
          <w:i/>
          <w:sz w:val="22"/>
          <w:szCs w:val="22"/>
        </w:rPr>
        <w:t xml:space="preserve">13th Report on Carcinogens (RoC) </w:t>
      </w:r>
      <w:r w:rsidRPr="00E57617">
        <w:rPr>
          <w:rFonts w:ascii="Times New Roman" w:eastAsia="Times New Roman" w:hAnsi="Times New Roman" w:cs="Times New Roman"/>
          <w:sz w:val="22"/>
          <w:szCs w:val="22"/>
        </w:rPr>
        <w:t>(Substance Profile (Styrene). Retrieved from: http://ntp.niehs.nih.gov/ntp/roc/content/profiles/styrene.pdf.</w:t>
      </w:r>
    </w:p>
  </w:endnote>
  <w:endnote w:id="2">
    <w:p w:rsidR="00A13C03" w:rsidRDefault="00A13C03">
      <w:pPr>
        <w:pStyle w:val="EndnoteText"/>
      </w:pPr>
      <w:r>
        <w:rPr>
          <w:rStyle w:val="EndnoteReference"/>
        </w:rPr>
        <w:endnoteRef/>
      </w:r>
      <w:r>
        <w:t xml:space="preserve"> </w:t>
      </w:r>
      <w:r w:rsidRPr="00E57617">
        <w:rPr>
          <w:rFonts w:ascii="Times New Roman" w:hAnsi="Times New Roman" w:cs="Times New Roman"/>
          <w:sz w:val="22"/>
          <w:szCs w:val="22"/>
        </w:rPr>
        <w:t>Assessing and Monitoring Floatable Debris, US Environmental Protection Agency. August, 2002.</w:t>
      </w:r>
    </w:p>
  </w:endnote>
  <w:endnote w:id="3">
    <w:p w:rsidR="00A13C03" w:rsidRDefault="00A13C03">
      <w:pPr>
        <w:pStyle w:val="EndnoteText"/>
      </w:pPr>
      <w:r>
        <w:rPr>
          <w:rStyle w:val="EndnoteReference"/>
        </w:rPr>
        <w:endnoteRef/>
      </w:r>
      <w:r>
        <w:t xml:space="preserve"> </w:t>
      </w:r>
      <w:r w:rsidRPr="00E57617">
        <w:rPr>
          <w:rFonts w:ascii="Times New Roman" w:eastAsia="Times New Roman" w:hAnsi="Times New Roman" w:cs="Times New Roman"/>
          <w:sz w:val="22"/>
          <w:szCs w:val="22"/>
        </w:rPr>
        <w:t xml:space="preserve">The Way To Go, (2008), </w:t>
      </w:r>
      <w:r w:rsidRPr="00E57617">
        <w:rPr>
          <w:rFonts w:ascii="Times New Roman" w:eastAsia="Times New Roman" w:hAnsi="Times New Roman" w:cs="Times New Roman"/>
          <w:i/>
          <w:sz w:val="22"/>
          <w:szCs w:val="22"/>
        </w:rPr>
        <w:t>Polystyrene Fact Sheets</w:t>
      </w:r>
      <w:r w:rsidRPr="00E57617">
        <w:rPr>
          <w:rFonts w:ascii="Times New Roman" w:eastAsia="Times New Roman" w:hAnsi="Times New Roman" w:cs="Times New Roman"/>
          <w:sz w:val="22"/>
          <w:szCs w:val="22"/>
        </w:rPr>
        <w:t>. Retrieved from: http://isites.harvard.edu/fs/docs/icb.topic967858.files/PolystyreneFactSheets.pdf.</w:t>
      </w:r>
    </w:p>
  </w:endnote>
  <w:endnote w:id="4">
    <w:p w:rsidR="00A13C03" w:rsidRPr="00E57617" w:rsidRDefault="00A13C03">
      <w:pPr>
        <w:pStyle w:val="EndnoteText"/>
        <w:rPr>
          <w:sz w:val="22"/>
          <w:szCs w:val="22"/>
        </w:rPr>
      </w:pPr>
      <w:r>
        <w:rPr>
          <w:rStyle w:val="EndnoteReference"/>
        </w:rPr>
        <w:endnoteRef/>
      </w:r>
      <w:r>
        <w:t xml:space="preserve"> </w:t>
      </w:r>
      <w:r w:rsidRPr="00E57617">
        <w:rPr>
          <w:rFonts w:ascii="Times New Roman" w:eastAsia="Times New Roman" w:hAnsi="Times New Roman" w:cs="Times New Roman"/>
          <w:sz w:val="22"/>
          <w:szCs w:val="22"/>
        </w:rPr>
        <w:t xml:space="preserve">The Way To Go, (2008), </w:t>
      </w:r>
      <w:r w:rsidRPr="00E57617">
        <w:rPr>
          <w:rFonts w:ascii="Times New Roman" w:eastAsia="Times New Roman" w:hAnsi="Times New Roman" w:cs="Times New Roman"/>
          <w:i/>
          <w:sz w:val="22"/>
          <w:szCs w:val="22"/>
        </w:rPr>
        <w:t>Polystyrene Fact Sheets</w:t>
      </w:r>
      <w:r w:rsidRPr="00E57617">
        <w:rPr>
          <w:rFonts w:ascii="Times New Roman" w:eastAsia="Times New Roman" w:hAnsi="Times New Roman" w:cs="Times New Roman"/>
          <w:sz w:val="22"/>
          <w:szCs w:val="22"/>
        </w:rPr>
        <w:t>. Retrieved from: http://isites.harvard.edu/fs/docs/icb.topic967858.files/PolystyreneFactSheets.pdf.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913755"/>
      <w:docPartObj>
        <w:docPartGallery w:val="Page Numbers (Bottom of Page)"/>
        <w:docPartUnique/>
      </w:docPartObj>
    </w:sdtPr>
    <w:sdtEndPr>
      <w:rPr>
        <w:noProof/>
      </w:rPr>
    </w:sdtEndPr>
    <w:sdtContent>
      <w:p w:rsidR="00284CC0" w:rsidRDefault="00284CC0">
        <w:pPr>
          <w:pStyle w:val="Footer"/>
          <w:jc w:val="right"/>
        </w:pPr>
        <w:r>
          <w:fldChar w:fldCharType="begin"/>
        </w:r>
        <w:r>
          <w:instrText xml:space="preserve"> PAGE   \* MERGEFORMAT </w:instrText>
        </w:r>
        <w:r>
          <w:fldChar w:fldCharType="separate"/>
        </w:r>
        <w:r w:rsidR="00B33CBC">
          <w:rPr>
            <w:noProof/>
          </w:rPr>
          <w:t>1</w:t>
        </w:r>
        <w:r>
          <w:rPr>
            <w:noProof/>
          </w:rPr>
          <w:fldChar w:fldCharType="end"/>
        </w:r>
      </w:p>
    </w:sdtContent>
  </w:sdt>
  <w:p w:rsidR="00284CC0" w:rsidRDefault="00284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5EA" w:rsidRDefault="000C25EA" w:rsidP="005F5535">
      <w:pPr>
        <w:spacing w:after="0" w:line="240" w:lineRule="auto"/>
      </w:pPr>
      <w:r>
        <w:separator/>
      </w:r>
    </w:p>
  </w:footnote>
  <w:footnote w:type="continuationSeparator" w:id="0">
    <w:p w:rsidR="000C25EA" w:rsidRDefault="000C25EA" w:rsidP="005F5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47B1"/>
    <w:multiLevelType w:val="hybridMultilevel"/>
    <w:tmpl w:val="9BBAA372"/>
    <w:lvl w:ilvl="0" w:tplc="04090017">
      <w:start w:val="1"/>
      <w:numFmt w:val="lowerLetter"/>
      <w:lvlText w:val="%1)"/>
      <w:lvlJc w:val="left"/>
      <w:pPr>
        <w:ind w:left="900" w:hanging="180"/>
      </w:pPr>
      <w:rPr>
        <w:rFonts w:hint="default"/>
        <w:sz w:val="24"/>
        <w:szCs w:val="24"/>
      </w:rPr>
    </w:lvl>
    <w:lvl w:ilvl="1" w:tplc="73DAD1B2">
      <w:start w:val="1"/>
      <w:numFmt w:val="decimal"/>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F0653"/>
    <w:multiLevelType w:val="hybridMultilevel"/>
    <w:tmpl w:val="9F7E47CA"/>
    <w:lvl w:ilvl="0" w:tplc="3ABE05F4">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C20764"/>
    <w:multiLevelType w:val="hybridMultilevel"/>
    <w:tmpl w:val="C24C7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941455"/>
    <w:multiLevelType w:val="hybridMultilevel"/>
    <w:tmpl w:val="48CE6E54"/>
    <w:lvl w:ilvl="0" w:tplc="34309060">
      <w:start w:val="4"/>
      <w:numFmt w:val="lowerLetter"/>
      <w:lvlText w:val="%1)"/>
      <w:lvlJc w:val="left"/>
      <w:pPr>
        <w:ind w:left="90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665A4"/>
    <w:multiLevelType w:val="hybridMultilevel"/>
    <w:tmpl w:val="6B949C1E"/>
    <w:lvl w:ilvl="0" w:tplc="73DAD1B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43CC6A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550CA"/>
    <w:multiLevelType w:val="hybridMultilevel"/>
    <w:tmpl w:val="D01EA442"/>
    <w:lvl w:ilvl="0" w:tplc="B4163CD0">
      <w:start w:val="4"/>
      <w:numFmt w:val="decimal"/>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E3AB4"/>
    <w:multiLevelType w:val="hybridMultilevel"/>
    <w:tmpl w:val="A13CE4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C25C78"/>
    <w:multiLevelType w:val="hybridMultilevel"/>
    <w:tmpl w:val="447840C2"/>
    <w:lvl w:ilvl="0" w:tplc="478E8030">
      <w:start w:val="6"/>
      <w:numFmt w:val="decimal"/>
      <w:lvlText w:val="%1."/>
      <w:lvlJc w:val="left"/>
      <w:pPr>
        <w:ind w:left="180" w:hanging="180"/>
      </w:pPr>
      <w:rPr>
        <w:rFonts w:ascii="Times New Roman" w:hAnsi="Times New Roman" w:cs="Times New Roman" w:hint="default"/>
        <w:sz w:val="24"/>
        <w:szCs w:val="24"/>
      </w:rPr>
    </w:lvl>
    <w:lvl w:ilvl="1" w:tplc="04090017">
      <w:start w:val="1"/>
      <w:numFmt w:val="lowerLetter"/>
      <w:lvlText w:val="%2)"/>
      <w:lvlJc w:val="left"/>
      <w:pPr>
        <w:ind w:left="720" w:hanging="360"/>
      </w:pPr>
    </w:lvl>
    <w:lvl w:ilvl="2" w:tplc="04090011">
      <w:start w:val="1"/>
      <w:numFmt w:val="decimal"/>
      <w:lvlText w:val="%3)"/>
      <w:lvlJc w:val="lef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31AE0BD5"/>
    <w:multiLevelType w:val="hybridMultilevel"/>
    <w:tmpl w:val="B2C6F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0B6EFB"/>
    <w:multiLevelType w:val="hybridMultilevel"/>
    <w:tmpl w:val="A430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035101"/>
    <w:multiLevelType w:val="hybridMultilevel"/>
    <w:tmpl w:val="D750CE14"/>
    <w:lvl w:ilvl="0" w:tplc="EBD4B78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202B3F"/>
    <w:multiLevelType w:val="hybridMultilevel"/>
    <w:tmpl w:val="35BE1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4A74C31"/>
    <w:multiLevelType w:val="hybridMultilevel"/>
    <w:tmpl w:val="9558C7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74C524B"/>
    <w:multiLevelType w:val="hybridMultilevel"/>
    <w:tmpl w:val="A6A0F5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1F145C"/>
    <w:multiLevelType w:val="hybridMultilevel"/>
    <w:tmpl w:val="7D8E130E"/>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A0569A"/>
    <w:multiLevelType w:val="hybridMultilevel"/>
    <w:tmpl w:val="10387F1C"/>
    <w:lvl w:ilvl="0" w:tplc="42CE36A4">
      <w:start w:val="1"/>
      <w:numFmt w:val="lowerLetter"/>
      <w:lvlText w:val="%1)"/>
      <w:lvlJc w:val="left"/>
      <w:pPr>
        <w:ind w:left="90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503B6E"/>
    <w:multiLevelType w:val="hybridMultilevel"/>
    <w:tmpl w:val="36829928"/>
    <w:lvl w:ilvl="0" w:tplc="80EEA998">
      <w:start w:val="5"/>
      <w:numFmt w:val="lowerLetter"/>
      <w:lvlText w:val="%1)"/>
      <w:lvlJc w:val="left"/>
      <w:pPr>
        <w:ind w:left="18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B84956"/>
    <w:multiLevelType w:val="hybridMultilevel"/>
    <w:tmpl w:val="DE3AE4DA"/>
    <w:lvl w:ilvl="0" w:tplc="93047D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341CEF"/>
    <w:multiLevelType w:val="hybridMultilevel"/>
    <w:tmpl w:val="7CECEC48"/>
    <w:lvl w:ilvl="0" w:tplc="E2AECBFA">
      <w:start w:val="4"/>
      <w:numFmt w:val="lowerLetter"/>
      <w:lvlText w:val="%1)"/>
      <w:lvlJc w:val="left"/>
      <w:pPr>
        <w:ind w:left="90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D15D85"/>
    <w:multiLevelType w:val="hybridMultilevel"/>
    <w:tmpl w:val="EB281BB4"/>
    <w:lvl w:ilvl="0" w:tplc="04090017">
      <w:start w:val="1"/>
      <w:numFmt w:val="lowerLetter"/>
      <w:lvlText w:val="%1)"/>
      <w:lvlJc w:val="left"/>
      <w:pPr>
        <w:ind w:left="900" w:hanging="18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nsid w:val="73793BD7"/>
    <w:multiLevelType w:val="hybridMultilevel"/>
    <w:tmpl w:val="146CEF3E"/>
    <w:lvl w:ilvl="0" w:tplc="1E54FBC8">
      <w:start w:val="1"/>
      <w:numFmt w:val="decimal"/>
      <w:lvlText w:val="%1."/>
      <w:lvlJc w:val="left"/>
      <w:pPr>
        <w:ind w:left="900" w:hanging="180"/>
      </w:pPr>
      <w:rPr>
        <w:rFonts w:ascii="Times New Roman" w:hAnsi="Times New Roman" w:cs="Times New Roman" w:hint="default"/>
        <w:sz w:val="24"/>
        <w:szCs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8C083D"/>
    <w:multiLevelType w:val="hybridMultilevel"/>
    <w:tmpl w:val="CD140066"/>
    <w:lvl w:ilvl="0" w:tplc="9FC018F4">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97262FA"/>
    <w:multiLevelType w:val="hybridMultilevel"/>
    <w:tmpl w:val="C9CAF756"/>
    <w:lvl w:ilvl="0" w:tplc="2242BF92">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nsid w:val="7BA23BBE"/>
    <w:multiLevelType w:val="hybridMultilevel"/>
    <w:tmpl w:val="195C6258"/>
    <w:lvl w:ilvl="0" w:tplc="338009D8">
      <w:start w:val="6"/>
      <w:numFmt w:val="decimal"/>
      <w:lvlText w:val="%1."/>
      <w:lvlJc w:val="left"/>
      <w:pPr>
        <w:ind w:left="900" w:hanging="180"/>
      </w:pPr>
      <w:rPr>
        <w:rFonts w:ascii="Times New Roman" w:hAnsi="Times New Roman" w:cs="Times New Roman" w:hint="default"/>
        <w:sz w:val="24"/>
        <w:szCs w:val="24"/>
      </w:rPr>
    </w:lvl>
    <w:lvl w:ilvl="1" w:tplc="04090017">
      <w:start w:val="1"/>
      <w:numFmt w:val="lowerLetter"/>
      <w:lvlText w:val="%2)"/>
      <w:lvlJc w:val="left"/>
      <w:pPr>
        <w:ind w:left="1440" w:hanging="360"/>
      </w:pPr>
    </w:lvl>
    <w:lvl w:ilvl="2" w:tplc="73DAD1B2">
      <w:start w:val="1"/>
      <w:numFmt w:val="decimal"/>
      <w:lvlText w:val="%3)"/>
      <w:lvlJc w:val="left"/>
      <w:pPr>
        <w:ind w:left="2160" w:hanging="180"/>
      </w:pPr>
      <w:rPr>
        <w:rFonts w:ascii="Times New Roman" w:hAnsi="Times New Roman" w:cs="Times New Roman" w:hint="default"/>
        <w:sz w:val="24"/>
        <w:szCs w:val="24"/>
      </w:rPr>
    </w:lvl>
    <w:lvl w:ilvl="3" w:tplc="1398070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BA3054"/>
    <w:multiLevelType w:val="hybridMultilevel"/>
    <w:tmpl w:val="E1A4DAEE"/>
    <w:lvl w:ilvl="0" w:tplc="3ABE05F4">
      <w:start w:val="1"/>
      <w:numFmt w:val="decimal"/>
      <w:lvlText w:val="%1."/>
      <w:lvlJc w:val="left"/>
      <w:pPr>
        <w:ind w:left="360" w:hanging="360"/>
      </w:pPr>
      <w:rPr>
        <w:rFonts w:hint="default"/>
      </w:rPr>
    </w:lvl>
    <w:lvl w:ilvl="1" w:tplc="2C844F8A">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13"/>
  </w:num>
  <w:num w:numId="4">
    <w:abstractNumId w:val="8"/>
  </w:num>
  <w:num w:numId="5">
    <w:abstractNumId w:val="12"/>
  </w:num>
  <w:num w:numId="6">
    <w:abstractNumId w:val="6"/>
  </w:num>
  <w:num w:numId="7">
    <w:abstractNumId w:val="21"/>
  </w:num>
  <w:num w:numId="8">
    <w:abstractNumId w:val="19"/>
  </w:num>
  <w:num w:numId="9">
    <w:abstractNumId w:val="0"/>
  </w:num>
  <w:num w:numId="10">
    <w:abstractNumId w:val="23"/>
  </w:num>
  <w:num w:numId="11">
    <w:abstractNumId w:val="18"/>
  </w:num>
  <w:num w:numId="12">
    <w:abstractNumId w:val="4"/>
  </w:num>
  <w:num w:numId="13">
    <w:abstractNumId w:val="17"/>
  </w:num>
  <w:num w:numId="14">
    <w:abstractNumId w:val="15"/>
  </w:num>
  <w:num w:numId="15">
    <w:abstractNumId w:val="20"/>
  </w:num>
  <w:num w:numId="16">
    <w:abstractNumId w:val="11"/>
  </w:num>
  <w:num w:numId="17">
    <w:abstractNumId w:val="2"/>
  </w:num>
  <w:num w:numId="18">
    <w:abstractNumId w:val="22"/>
  </w:num>
  <w:num w:numId="19">
    <w:abstractNumId w:val="5"/>
  </w:num>
  <w:num w:numId="20">
    <w:abstractNumId w:val="3"/>
  </w:num>
  <w:num w:numId="21">
    <w:abstractNumId w:val="7"/>
  </w:num>
  <w:num w:numId="22">
    <w:abstractNumId w:val="16"/>
  </w:num>
  <w:num w:numId="23">
    <w:abstractNumId w:val="14"/>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4F"/>
    <w:rsid w:val="00010E0F"/>
    <w:rsid w:val="000251DC"/>
    <w:rsid w:val="00033135"/>
    <w:rsid w:val="000C25EA"/>
    <w:rsid w:val="000D760C"/>
    <w:rsid w:val="000E6B9D"/>
    <w:rsid w:val="000E7231"/>
    <w:rsid w:val="000F5E51"/>
    <w:rsid w:val="00102859"/>
    <w:rsid w:val="0014096B"/>
    <w:rsid w:val="0016413C"/>
    <w:rsid w:val="001A25D7"/>
    <w:rsid w:val="001A736D"/>
    <w:rsid w:val="001D7C3A"/>
    <w:rsid w:val="001F5462"/>
    <w:rsid w:val="00284CC0"/>
    <w:rsid w:val="00296992"/>
    <w:rsid w:val="002A0431"/>
    <w:rsid w:val="002C022A"/>
    <w:rsid w:val="002E3B87"/>
    <w:rsid w:val="003126BE"/>
    <w:rsid w:val="003243E0"/>
    <w:rsid w:val="0039221D"/>
    <w:rsid w:val="003B053D"/>
    <w:rsid w:val="003B0F24"/>
    <w:rsid w:val="003C6EC3"/>
    <w:rsid w:val="003F522D"/>
    <w:rsid w:val="003F5BB2"/>
    <w:rsid w:val="0042034F"/>
    <w:rsid w:val="00422AC2"/>
    <w:rsid w:val="00465A2F"/>
    <w:rsid w:val="004A74D4"/>
    <w:rsid w:val="004B11CC"/>
    <w:rsid w:val="005075B1"/>
    <w:rsid w:val="00511C83"/>
    <w:rsid w:val="005122BC"/>
    <w:rsid w:val="0052039E"/>
    <w:rsid w:val="005B026F"/>
    <w:rsid w:val="005C280C"/>
    <w:rsid w:val="005D195A"/>
    <w:rsid w:val="005F5535"/>
    <w:rsid w:val="006106ED"/>
    <w:rsid w:val="00633DA4"/>
    <w:rsid w:val="00666223"/>
    <w:rsid w:val="006702BD"/>
    <w:rsid w:val="006A04FE"/>
    <w:rsid w:val="006D51DD"/>
    <w:rsid w:val="00704F23"/>
    <w:rsid w:val="00726876"/>
    <w:rsid w:val="007358AA"/>
    <w:rsid w:val="00777C64"/>
    <w:rsid w:val="007B0264"/>
    <w:rsid w:val="007C4BD7"/>
    <w:rsid w:val="007F4405"/>
    <w:rsid w:val="00814B66"/>
    <w:rsid w:val="00861663"/>
    <w:rsid w:val="00861A45"/>
    <w:rsid w:val="00864F69"/>
    <w:rsid w:val="00866D51"/>
    <w:rsid w:val="008975B9"/>
    <w:rsid w:val="008C01DD"/>
    <w:rsid w:val="008E2C64"/>
    <w:rsid w:val="008F13F5"/>
    <w:rsid w:val="00911E87"/>
    <w:rsid w:val="00981BB2"/>
    <w:rsid w:val="0099285B"/>
    <w:rsid w:val="009B0B74"/>
    <w:rsid w:val="009C72F2"/>
    <w:rsid w:val="00A13C03"/>
    <w:rsid w:val="00A945E8"/>
    <w:rsid w:val="00AC4055"/>
    <w:rsid w:val="00B102A6"/>
    <w:rsid w:val="00B253CC"/>
    <w:rsid w:val="00B33CBC"/>
    <w:rsid w:val="00B57662"/>
    <w:rsid w:val="00B7395E"/>
    <w:rsid w:val="00B76F5C"/>
    <w:rsid w:val="00BC2D2F"/>
    <w:rsid w:val="00BE15CA"/>
    <w:rsid w:val="00C33124"/>
    <w:rsid w:val="00C526E7"/>
    <w:rsid w:val="00C97BDE"/>
    <w:rsid w:val="00CB2742"/>
    <w:rsid w:val="00CB394C"/>
    <w:rsid w:val="00D0040B"/>
    <w:rsid w:val="00D00F6A"/>
    <w:rsid w:val="00D16F5D"/>
    <w:rsid w:val="00D3076B"/>
    <w:rsid w:val="00D35A0C"/>
    <w:rsid w:val="00D430A7"/>
    <w:rsid w:val="00D51CDF"/>
    <w:rsid w:val="00D51D05"/>
    <w:rsid w:val="00D979AD"/>
    <w:rsid w:val="00DB5B19"/>
    <w:rsid w:val="00DF21EC"/>
    <w:rsid w:val="00DF7F4D"/>
    <w:rsid w:val="00E268F4"/>
    <w:rsid w:val="00E57617"/>
    <w:rsid w:val="00E70453"/>
    <w:rsid w:val="00E76D96"/>
    <w:rsid w:val="00E80422"/>
    <w:rsid w:val="00E857F4"/>
    <w:rsid w:val="00E8664B"/>
    <w:rsid w:val="00E9238E"/>
    <w:rsid w:val="00E95F6F"/>
    <w:rsid w:val="00F17771"/>
    <w:rsid w:val="00F42AB2"/>
    <w:rsid w:val="00F5196C"/>
    <w:rsid w:val="00F6615B"/>
    <w:rsid w:val="00FB6336"/>
    <w:rsid w:val="00FD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4D4EE-8129-499F-960F-4A2642A2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34F"/>
    <w:pPr>
      <w:ind w:left="720"/>
      <w:contextualSpacing/>
    </w:pPr>
  </w:style>
  <w:style w:type="paragraph" w:styleId="Header">
    <w:name w:val="header"/>
    <w:basedOn w:val="Normal"/>
    <w:link w:val="HeaderChar"/>
    <w:uiPriority w:val="99"/>
    <w:unhideWhenUsed/>
    <w:rsid w:val="005F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535"/>
  </w:style>
  <w:style w:type="paragraph" w:styleId="Footer">
    <w:name w:val="footer"/>
    <w:basedOn w:val="Normal"/>
    <w:link w:val="FooterChar"/>
    <w:uiPriority w:val="99"/>
    <w:unhideWhenUsed/>
    <w:rsid w:val="005F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535"/>
  </w:style>
  <w:style w:type="paragraph" w:customStyle="1" w:styleId="Normal1">
    <w:name w:val="Normal1"/>
    <w:rsid w:val="000D760C"/>
    <w:pPr>
      <w:spacing w:after="0"/>
    </w:pPr>
    <w:rPr>
      <w:rFonts w:ascii="Arial" w:eastAsia="Arial" w:hAnsi="Arial" w:cs="Arial"/>
      <w:color w:val="000000"/>
      <w:szCs w:val="20"/>
    </w:rPr>
  </w:style>
  <w:style w:type="character" w:customStyle="1" w:styleId="chunk-title">
    <w:name w:val="chunk-title"/>
    <w:basedOn w:val="DefaultParagraphFont"/>
    <w:rsid w:val="006A04FE"/>
  </w:style>
  <w:style w:type="table" w:styleId="TableGrid">
    <w:name w:val="Table Grid"/>
    <w:basedOn w:val="TableNormal"/>
    <w:uiPriority w:val="59"/>
    <w:rsid w:val="003C6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5196C"/>
  </w:style>
  <w:style w:type="character" w:styleId="Emphasis">
    <w:name w:val="Emphasis"/>
    <w:basedOn w:val="DefaultParagraphFont"/>
    <w:uiPriority w:val="20"/>
    <w:qFormat/>
    <w:rsid w:val="00F5196C"/>
    <w:rPr>
      <w:i/>
      <w:iCs/>
    </w:rPr>
  </w:style>
  <w:style w:type="paragraph" w:styleId="BalloonText">
    <w:name w:val="Balloon Text"/>
    <w:basedOn w:val="Normal"/>
    <w:link w:val="BalloonTextChar"/>
    <w:uiPriority w:val="99"/>
    <w:semiHidden/>
    <w:unhideWhenUsed/>
    <w:rsid w:val="00422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AC2"/>
    <w:rPr>
      <w:rFonts w:ascii="Tahoma" w:hAnsi="Tahoma" w:cs="Tahoma"/>
      <w:sz w:val="16"/>
      <w:szCs w:val="16"/>
    </w:rPr>
  </w:style>
  <w:style w:type="paragraph" w:styleId="EndnoteText">
    <w:name w:val="endnote text"/>
    <w:basedOn w:val="Normal"/>
    <w:link w:val="EndnoteTextChar"/>
    <w:uiPriority w:val="99"/>
    <w:semiHidden/>
    <w:unhideWhenUsed/>
    <w:rsid w:val="00DF7F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7F4D"/>
    <w:rPr>
      <w:sz w:val="20"/>
      <w:szCs w:val="20"/>
    </w:rPr>
  </w:style>
  <w:style w:type="character" w:styleId="EndnoteReference">
    <w:name w:val="endnote reference"/>
    <w:basedOn w:val="DefaultParagraphFont"/>
    <w:uiPriority w:val="99"/>
    <w:semiHidden/>
    <w:unhideWhenUsed/>
    <w:rsid w:val="00DF7F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61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289AC-6C1D-469D-B040-6D0E5A65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Brad Verter</cp:lastModifiedBy>
  <cp:revision>2</cp:revision>
  <cp:lastPrinted>2016-03-10T21:11:00Z</cp:lastPrinted>
  <dcterms:created xsi:type="dcterms:W3CDTF">2016-03-31T19:33:00Z</dcterms:created>
  <dcterms:modified xsi:type="dcterms:W3CDTF">2016-03-31T19:33:00Z</dcterms:modified>
</cp:coreProperties>
</file>