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2 General Body Meeting Agenda (1/17/17)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spacing w:after="0" w:before="0" w:line="331.2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Executive Board Announcements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4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Overview of what will be discussed &amp;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5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Friday 2:30 tech team meeting rush building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5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Tuesday 5:30 fundraising meeting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5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Wednesday 5 L-20 basement library Global Relations meeting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5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Thursday 7 conference room d Design Team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5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Thursday 8 Domestic Project meeting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5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meeting - email will be sent out with agenda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4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comment.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4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Coordinator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comment.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4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Travel Coordinator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331.2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No comment. 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Department Updates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More money has allowed us to possibly add more candidates to travel!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Marketing 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Posters are almost finalized, EWB president has been interviewed,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Facebook page - is being constantly updated (possibly everyday)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Website is being completely renewed, pictures, content, etc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Input by peers is highly suggested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short bio of what inspires you to be in EWB and overall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Timeline created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universities that will be contacted has been created(farthest college is an hour and half, closest being 20 minutes)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 Alcadia will be contacted and be told to prepare 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 is being discussed on how many filters it is best to build, looking at it on a financial aspect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 is best to come to a con 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Design (Domestic)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Philadelphia ewb chapter is still working on paperwork, a few 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Design (International)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Meeting was held for report writing, Janruary 29th reports due,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Organization of the drive has been done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Weekend after week 3 have the first build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 would be preferred for those who have built the filter before to be there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EWB regulations have been changed causing some difficulty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FIlter building competition - only a few people can be sent 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Spanish Class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Needs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Spanish assignments need to be completed for the next class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