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60" w:type="dxa"/>
        <w:tblInd w:w="-970" w:type="dxa"/>
        <w:tblCellMar>
          <w:top w:w="7" w:type="dxa"/>
          <w:left w:w="7" w:type="dxa"/>
          <w:right w:w="12" w:type="dxa"/>
        </w:tblCellMar>
        <w:tblLook w:val="04A0" w:firstRow="1" w:lastRow="0" w:firstColumn="1" w:lastColumn="0" w:noHBand="0" w:noVBand="1"/>
      </w:tblPr>
      <w:tblGrid>
        <w:gridCol w:w="5910"/>
        <w:gridCol w:w="5550"/>
      </w:tblGrid>
      <w:tr w:rsidR="0057792A" w:rsidTr="0082439E">
        <w:trPr>
          <w:trHeight w:val="383"/>
        </w:trPr>
        <w:tc>
          <w:tcPr>
            <w:tcW w:w="5910" w:type="dxa"/>
            <w:tcBorders>
              <w:top w:val="single" w:sz="8" w:space="0" w:color="000000"/>
              <w:left w:val="single" w:sz="8" w:space="0" w:color="000000"/>
              <w:bottom w:val="single" w:sz="4" w:space="0" w:color="92D050"/>
              <w:right w:val="single" w:sz="4" w:space="0" w:color="000000"/>
            </w:tcBorders>
          </w:tcPr>
          <w:p w:rsidR="0057792A" w:rsidRDefault="00A67CD2" w:rsidP="00A67CD2">
            <w:r>
              <w:rPr>
                <w:rFonts w:ascii="Times New Roman" w:eastAsia="Times New Roman" w:hAnsi="Times New Roman" w:cs="Times New Roman"/>
                <w:b/>
                <w:sz w:val="20"/>
              </w:rPr>
              <w:t xml:space="preserve">  GEN-</w:t>
            </w:r>
            <w:r w:rsidR="00CB282D">
              <w:rPr>
                <w:rFonts w:ascii="Times New Roman" w:eastAsia="Times New Roman" w:hAnsi="Times New Roman" w:cs="Times New Roman"/>
                <w:b/>
                <w:color w:val="FF0000"/>
                <w:sz w:val="20"/>
              </w:rPr>
              <w:t>35</w:t>
            </w:r>
            <w:r>
              <w:rPr>
                <w:rFonts w:ascii="Times New Roman" w:eastAsia="Times New Roman" w:hAnsi="Times New Roman" w:cs="Times New Roman"/>
                <w:b/>
                <w:color w:val="FF0000"/>
                <w:sz w:val="20"/>
              </w:rPr>
              <w:t>45</w:t>
            </w:r>
            <w:r>
              <w:rPr>
                <w:rFonts w:ascii="Times New Roman" w:eastAsia="Times New Roman" w:hAnsi="Times New Roman" w:cs="Times New Roman"/>
                <w:b/>
                <w:color w:val="E52626"/>
                <w:sz w:val="20"/>
              </w:rPr>
              <w:t xml:space="preserve">   </w:t>
            </w:r>
            <w:r w:rsidRPr="0082439E">
              <w:rPr>
                <w:rFonts w:ascii="Times New Roman" w:eastAsia="Times New Roman" w:hAnsi="Times New Roman" w:cs="Times New Roman"/>
                <w:sz w:val="20"/>
              </w:rPr>
              <w:t>4500W - 1</w:t>
            </w:r>
            <w:r w:rsidR="0082439E" w:rsidRPr="0082439E">
              <w:rPr>
                <w:rFonts w:ascii="Times New Roman" w:eastAsia="Times New Roman" w:hAnsi="Times New Roman" w:cs="Times New Roman"/>
                <w:sz w:val="20"/>
              </w:rPr>
              <w:t>20V</w:t>
            </w:r>
            <w:r w:rsidR="006658E4">
              <w:rPr>
                <w:rFonts w:ascii="Times New Roman" w:eastAsia="Times New Roman" w:hAnsi="Times New Roman" w:cs="Times New Roman"/>
                <w:sz w:val="20"/>
              </w:rPr>
              <w:t>/240V - 60Hz - 48V – 42.2kW - (60</w:t>
            </w:r>
            <w:r w:rsidRPr="0082439E">
              <w:rPr>
                <w:rFonts w:ascii="Times New Roman" w:eastAsia="Times New Roman" w:hAnsi="Times New Roman" w:cs="Times New Roman"/>
                <w:sz w:val="20"/>
              </w:rPr>
              <w:t>)</w:t>
            </w:r>
            <w:r>
              <w:rPr>
                <w:rFonts w:ascii="Times New Roman" w:eastAsia="Times New Roman" w:hAnsi="Times New Roman" w:cs="Times New Roman"/>
                <w:b/>
                <w:color w:val="E52626"/>
                <w:sz w:val="20"/>
              </w:rPr>
              <w:t xml:space="preserve"> </w:t>
            </w:r>
          </w:p>
        </w:tc>
        <w:tc>
          <w:tcPr>
            <w:tcW w:w="5550" w:type="dxa"/>
            <w:vMerge w:val="restart"/>
            <w:tcBorders>
              <w:top w:val="single" w:sz="8" w:space="0" w:color="000000"/>
              <w:left w:val="single" w:sz="4" w:space="0" w:color="000000"/>
              <w:bottom w:val="single" w:sz="8" w:space="0" w:color="000000"/>
              <w:right w:val="single" w:sz="8" w:space="0" w:color="000000"/>
            </w:tcBorders>
          </w:tcPr>
          <w:p w:rsidR="0057792A" w:rsidRDefault="00A67CD2">
            <w:pPr>
              <w:ind w:left="104"/>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82439E">
              <w:rPr>
                <w:rFonts w:ascii="Times New Roman" w:eastAsia="Times New Roman" w:hAnsi="Times New Roman" w:cs="Times New Roman"/>
                <w:b/>
                <w:sz w:val="20"/>
              </w:rPr>
              <w:t xml:space="preserve">                  Geneforce Emergency Power System</w:t>
            </w:r>
          </w:p>
          <w:p w:rsidR="0082439E" w:rsidRDefault="0082439E">
            <w:pPr>
              <w:ind w:left="104"/>
              <w:rPr>
                <w:rFonts w:ascii="Times New Roman" w:eastAsia="Times New Roman" w:hAnsi="Times New Roman" w:cs="Times New Roman"/>
                <w:b/>
                <w:sz w:val="20"/>
              </w:rPr>
            </w:pPr>
          </w:p>
          <w:p w:rsidR="0082439E" w:rsidRDefault="0082439E">
            <w:pPr>
              <w:ind w:left="104"/>
              <w:rPr>
                <w:rFonts w:ascii="Times New Roman" w:eastAsia="Times New Roman" w:hAnsi="Times New Roman" w:cs="Times New Roman"/>
                <w:b/>
                <w:sz w:val="20"/>
              </w:rPr>
            </w:pPr>
          </w:p>
          <w:p w:rsidR="0057792A" w:rsidRDefault="00A67CD2" w:rsidP="0082439E">
            <w:r>
              <w:rPr>
                <w:noProof/>
              </w:rPr>
              <w:t xml:space="preserve">   </w:t>
            </w:r>
            <w:bookmarkStart w:id="0" w:name="_GoBack"/>
            <w:bookmarkEnd w:id="0"/>
            <w:r w:rsidR="006658E4" w:rsidRPr="006658E4">
              <w:rPr>
                <w:noProof/>
              </w:rPr>
              <w:drawing>
                <wp:inline distT="0" distB="0" distL="0" distR="0">
                  <wp:extent cx="3343275" cy="2500510"/>
                  <wp:effectExtent l="0" t="0" r="0" b="0"/>
                  <wp:docPr id="1" name="Picture 1" descr="C:\Users\chinos333\Documents\Geneforce Incorporated\Website Info - gn\Geneforce _ A rechargeable gas-free generator that is safe for indoors_files\Geneforce-2000-26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os333\Documents\Geneforce Incorporated\Website Info - gn\Geneforce _ A rechargeable gas-free generator that is safe for indoors_files\Geneforce-2000-260x1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0328" cy="2513265"/>
                          </a:xfrm>
                          <a:prstGeom prst="rect">
                            <a:avLst/>
                          </a:prstGeom>
                          <a:noFill/>
                          <a:ln>
                            <a:noFill/>
                          </a:ln>
                        </pic:spPr>
                      </pic:pic>
                    </a:graphicData>
                  </a:graphic>
                </wp:inline>
              </w:drawing>
            </w:r>
          </w:p>
        </w:tc>
      </w:tr>
      <w:tr w:rsidR="0057792A" w:rsidTr="0082439E">
        <w:trPr>
          <w:trHeight w:val="322"/>
        </w:trPr>
        <w:tc>
          <w:tcPr>
            <w:tcW w:w="5910" w:type="dxa"/>
            <w:tcBorders>
              <w:top w:val="single" w:sz="4" w:space="0" w:color="92D050"/>
              <w:left w:val="single" w:sz="8" w:space="0" w:color="000000"/>
              <w:bottom w:val="single" w:sz="4" w:space="0" w:color="000000"/>
              <w:right w:val="single" w:sz="4" w:space="0" w:color="000000"/>
            </w:tcBorders>
            <w:shd w:val="clear" w:color="auto" w:fill="92D050"/>
          </w:tcPr>
          <w:p w:rsidR="0057792A" w:rsidRDefault="00A67CD2">
            <w:pPr>
              <w:ind w:left="98"/>
            </w:pPr>
            <w:r>
              <w:rPr>
                <w:rFonts w:ascii="Times New Roman" w:eastAsia="Times New Roman" w:hAnsi="Times New Roman" w:cs="Times New Roman"/>
                <w:b/>
                <w:sz w:val="20"/>
              </w:rPr>
              <w:t xml:space="preserve">Product Features </w:t>
            </w:r>
            <w:r>
              <w:rPr>
                <w:rFonts w:ascii="Times New Roman" w:eastAsia="Times New Roman" w:hAnsi="Times New Roman" w:cs="Times New Roman"/>
                <w:sz w:val="20"/>
              </w:rPr>
              <w:t xml:space="preserve">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107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spacing w:after="15"/>
              <w:ind w:left="96"/>
            </w:pPr>
            <w:r>
              <w:rPr>
                <w:rFonts w:ascii="Times New Roman" w:eastAsia="Times New Roman" w:hAnsi="Times New Roman" w:cs="Times New Roman"/>
                <w:sz w:val="20"/>
              </w:rPr>
              <w:t xml:space="preserve">Silent operation. </w:t>
            </w:r>
          </w:p>
          <w:p w:rsidR="0057792A" w:rsidRDefault="00A67CD2">
            <w:pPr>
              <w:spacing w:after="17"/>
              <w:ind w:left="96"/>
            </w:pPr>
            <w:r>
              <w:rPr>
                <w:rFonts w:ascii="Times New Roman" w:eastAsia="Times New Roman" w:hAnsi="Times New Roman" w:cs="Times New Roman"/>
                <w:sz w:val="20"/>
              </w:rPr>
              <w:t xml:space="preserve">Safe for indoors. No gas or emissions. </w:t>
            </w:r>
          </w:p>
          <w:p w:rsidR="0057792A" w:rsidRDefault="00A67CD2">
            <w:pPr>
              <w:spacing w:after="18"/>
              <w:ind w:left="96"/>
            </w:pPr>
            <w:r>
              <w:rPr>
                <w:rFonts w:ascii="Times New Roman" w:eastAsia="Times New Roman" w:hAnsi="Times New Roman" w:cs="Times New Roman"/>
                <w:sz w:val="20"/>
              </w:rPr>
              <w:t xml:space="preserve">No installation, maintenance or permits required. </w:t>
            </w:r>
          </w:p>
          <w:p w:rsidR="0057792A" w:rsidRDefault="00A67CD2">
            <w:pPr>
              <w:ind w:left="96"/>
            </w:pPr>
            <w:r>
              <w:rPr>
                <w:rFonts w:ascii="Times New Roman" w:eastAsia="Times New Roman" w:hAnsi="Times New Roman" w:cs="Times New Roman"/>
                <w:sz w:val="20"/>
              </w:rPr>
              <w:t xml:space="preserve">Automatic &amp; one-touch start.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1332"/>
        </w:trPr>
        <w:tc>
          <w:tcPr>
            <w:tcW w:w="5910" w:type="dxa"/>
            <w:tcBorders>
              <w:top w:val="single" w:sz="4" w:space="0" w:color="000000"/>
              <w:left w:val="single" w:sz="8" w:space="0" w:color="000000"/>
              <w:bottom w:val="single" w:sz="4" w:space="0" w:color="000000"/>
              <w:right w:val="single" w:sz="4" w:space="0" w:color="000000"/>
            </w:tcBorders>
            <w:shd w:val="clear" w:color="auto" w:fill="D8D8D8"/>
          </w:tcPr>
          <w:p w:rsidR="0057792A" w:rsidRDefault="00A67CD2">
            <w:pPr>
              <w:ind w:left="98" w:right="104"/>
            </w:pPr>
            <w:r>
              <w:rPr>
                <w:rFonts w:ascii="Times New Roman" w:eastAsia="Times New Roman" w:hAnsi="Times New Roman" w:cs="Times New Roman"/>
                <w:sz w:val="20"/>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etc.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276"/>
        </w:trPr>
        <w:tc>
          <w:tcPr>
            <w:tcW w:w="5910" w:type="dxa"/>
            <w:tcBorders>
              <w:top w:val="single" w:sz="4" w:space="0" w:color="000000"/>
              <w:left w:val="single" w:sz="8" w:space="0" w:color="000000"/>
              <w:bottom w:val="single" w:sz="4" w:space="0" w:color="000000"/>
              <w:right w:val="single" w:sz="4" w:space="0" w:color="000000"/>
            </w:tcBorders>
            <w:shd w:val="clear" w:color="auto" w:fill="D8D8D8"/>
          </w:tcPr>
          <w:p w:rsidR="0057792A" w:rsidRDefault="00A67CD2">
            <w:pPr>
              <w:ind w:left="98"/>
            </w:pPr>
            <w:r>
              <w:rPr>
                <w:rFonts w:ascii="Times New Roman" w:eastAsia="Times New Roman" w:hAnsi="Times New Roman" w:cs="Times New Roman"/>
                <w:sz w:val="20"/>
              </w:rPr>
              <w:t xml:space="preserve">120/240V AC single phase operation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276"/>
        </w:trPr>
        <w:tc>
          <w:tcPr>
            <w:tcW w:w="5910" w:type="dxa"/>
            <w:tcBorders>
              <w:top w:val="single" w:sz="4" w:space="0" w:color="000000"/>
              <w:left w:val="single" w:sz="8" w:space="0" w:color="000000"/>
              <w:bottom w:val="single" w:sz="4" w:space="0" w:color="000000"/>
              <w:right w:val="single" w:sz="4" w:space="0" w:color="000000"/>
            </w:tcBorders>
            <w:shd w:val="clear" w:color="auto" w:fill="D8D8D8"/>
          </w:tcPr>
          <w:p w:rsidR="0057792A" w:rsidRDefault="00A67CD2">
            <w:pPr>
              <w:ind w:left="98"/>
            </w:pPr>
            <w:r>
              <w:rPr>
                <w:rFonts w:ascii="Times New Roman" w:eastAsia="Times New Roman" w:hAnsi="Times New Roman" w:cs="Times New Roman"/>
                <w:sz w:val="20"/>
              </w:rPr>
              <w:t xml:space="preserve">Built-in 60A Automatic A/C transfer switch.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274"/>
        </w:trPr>
        <w:tc>
          <w:tcPr>
            <w:tcW w:w="5910" w:type="dxa"/>
            <w:tcBorders>
              <w:top w:val="single" w:sz="4" w:space="0" w:color="000000"/>
              <w:left w:val="single" w:sz="8" w:space="0" w:color="000000"/>
              <w:bottom w:val="single" w:sz="4" w:space="0" w:color="000000"/>
              <w:right w:val="single" w:sz="4" w:space="0" w:color="000000"/>
            </w:tcBorders>
            <w:shd w:val="clear" w:color="auto" w:fill="D8D8D8"/>
          </w:tcPr>
          <w:p w:rsidR="0057792A" w:rsidRDefault="00A67CD2">
            <w:pPr>
              <w:ind w:left="98"/>
            </w:pPr>
            <w:r>
              <w:rPr>
                <w:rFonts w:ascii="Times New Roman" w:eastAsia="Times New Roman" w:hAnsi="Times New Roman" w:cs="Times New Roman"/>
                <w:sz w:val="20"/>
              </w:rPr>
              <w:t xml:space="preserve">Can be used with a solar panel array to recharge 12V-24V DC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540"/>
        </w:trPr>
        <w:tc>
          <w:tcPr>
            <w:tcW w:w="5910" w:type="dxa"/>
            <w:tcBorders>
              <w:top w:val="single" w:sz="4" w:space="0" w:color="000000"/>
              <w:left w:val="single" w:sz="8" w:space="0" w:color="000000"/>
              <w:bottom w:val="single" w:sz="4" w:space="0" w:color="000000"/>
              <w:right w:val="single" w:sz="4" w:space="0" w:color="000000"/>
            </w:tcBorders>
            <w:shd w:val="clear" w:color="auto" w:fill="D8D8D8"/>
          </w:tcPr>
          <w:p w:rsidR="0057792A" w:rsidRDefault="00A67CD2">
            <w:pPr>
              <w:ind w:left="98"/>
            </w:pPr>
            <w:r>
              <w:rPr>
                <w:rFonts w:ascii="Times New Roman" w:eastAsia="Times New Roman" w:hAnsi="Times New Roman" w:cs="Times New Roman"/>
                <w:sz w:val="20"/>
              </w:rPr>
              <w:t xml:space="preserve">True sine wave and Built-in voltage regulation system provides clean output for sensitive electronics. </w:t>
            </w:r>
          </w:p>
        </w:tc>
        <w:tc>
          <w:tcPr>
            <w:tcW w:w="0" w:type="auto"/>
            <w:vMerge/>
            <w:tcBorders>
              <w:top w:val="nil"/>
              <w:left w:val="single" w:sz="4" w:space="0" w:color="000000"/>
              <w:bottom w:val="nil"/>
              <w:right w:val="single" w:sz="8" w:space="0" w:color="000000"/>
            </w:tcBorders>
          </w:tcPr>
          <w:p w:rsidR="0057792A" w:rsidRDefault="0057792A"/>
        </w:tc>
      </w:tr>
      <w:tr w:rsidR="0057792A" w:rsidTr="0082439E">
        <w:trPr>
          <w:trHeight w:val="543"/>
        </w:trPr>
        <w:tc>
          <w:tcPr>
            <w:tcW w:w="5910" w:type="dxa"/>
            <w:tcBorders>
              <w:top w:val="single" w:sz="4" w:space="0" w:color="000000"/>
              <w:left w:val="single" w:sz="8" w:space="0" w:color="000000"/>
              <w:bottom w:val="single" w:sz="8" w:space="0" w:color="000000"/>
              <w:right w:val="single" w:sz="4" w:space="0" w:color="000000"/>
            </w:tcBorders>
            <w:shd w:val="clear" w:color="auto" w:fill="D8D8D8"/>
          </w:tcPr>
          <w:p w:rsidR="0057792A" w:rsidRDefault="00A67CD2">
            <w:pPr>
              <w:ind w:left="98"/>
              <w:jc w:val="both"/>
            </w:pPr>
            <w:r>
              <w:rPr>
                <w:rFonts w:ascii="Times New Roman" w:eastAsia="Times New Roman" w:hAnsi="Times New Roman" w:cs="Times New Roman"/>
                <w:sz w:val="20"/>
              </w:rPr>
              <w:t xml:space="preserve">Dual AC inputs with capability to work with two-wire and three-wire generator starting systems </w:t>
            </w:r>
          </w:p>
        </w:tc>
        <w:tc>
          <w:tcPr>
            <w:tcW w:w="0" w:type="auto"/>
            <w:vMerge/>
            <w:tcBorders>
              <w:top w:val="nil"/>
              <w:left w:val="single" w:sz="4" w:space="0" w:color="000000"/>
              <w:bottom w:val="single" w:sz="8" w:space="0" w:color="000000"/>
              <w:right w:val="single" w:sz="8" w:space="0" w:color="000000"/>
            </w:tcBorders>
          </w:tcPr>
          <w:p w:rsidR="0057792A" w:rsidRDefault="0057792A"/>
        </w:tc>
      </w:tr>
      <w:tr w:rsidR="0057792A" w:rsidTr="0082439E">
        <w:trPr>
          <w:trHeight w:val="331"/>
        </w:trPr>
        <w:tc>
          <w:tcPr>
            <w:tcW w:w="5910" w:type="dxa"/>
            <w:tcBorders>
              <w:top w:val="single" w:sz="8" w:space="0" w:color="000000"/>
              <w:left w:val="single" w:sz="4" w:space="0" w:color="000000"/>
              <w:bottom w:val="single" w:sz="4" w:space="0" w:color="000000"/>
              <w:right w:val="single" w:sz="4" w:space="0" w:color="000000"/>
            </w:tcBorders>
            <w:shd w:val="clear" w:color="auto" w:fill="92D050"/>
          </w:tcPr>
          <w:p w:rsidR="0057792A" w:rsidRDefault="00A67CD2">
            <w:pPr>
              <w:ind w:left="96"/>
            </w:pPr>
            <w:r>
              <w:rPr>
                <w:rFonts w:ascii="Times New Roman" w:eastAsia="Times New Roman" w:hAnsi="Times New Roman" w:cs="Times New Roman"/>
                <w:b/>
                <w:sz w:val="20"/>
              </w:rPr>
              <w:t xml:space="preserve">Electrical Specifications  </w:t>
            </w:r>
            <w:r>
              <w:rPr>
                <w:rFonts w:ascii="Times New Roman" w:eastAsia="Times New Roman" w:hAnsi="Times New Roman" w:cs="Times New Roman"/>
                <w:sz w:val="20"/>
              </w:rPr>
              <w:t xml:space="preserve"> </w:t>
            </w:r>
          </w:p>
        </w:tc>
        <w:tc>
          <w:tcPr>
            <w:tcW w:w="5550" w:type="dxa"/>
            <w:tcBorders>
              <w:top w:val="single" w:sz="8" w:space="0" w:color="000000"/>
              <w:left w:val="single" w:sz="4" w:space="0" w:color="000000"/>
              <w:bottom w:val="single" w:sz="4" w:space="0" w:color="000000"/>
              <w:right w:val="single" w:sz="4" w:space="0" w:color="000000"/>
            </w:tcBorders>
            <w:shd w:val="clear" w:color="auto" w:fill="92D050"/>
          </w:tcPr>
          <w:p w:rsidR="0057792A" w:rsidRDefault="00A67CD2">
            <w:pPr>
              <w:ind w:left="104"/>
            </w:pPr>
            <w:r>
              <w:rPr>
                <w:rFonts w:ascii="Times New Roman" w:eastAsia="Times New Roman" w:hAnsi="Times New Roman" w:cs="Times New Roman"/>
                <w:sz w:val="20"/>
              </w:rPr>
              <w:t xml:space="preserve">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Continuous Output Power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4500W – 120V/240V AC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Surge power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9000W   </w:t>
            </w:r>
          </w:p>
        </w:tc>
      </w:tr>
      <w:tr w:rsidR="0057792A" w:rsidTr="0082439E">
        <w:trPr>
          <w:trHeight w:val="701"/>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Input Voltage (240V by Default)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94"/>
            </w:pPr>
            <w:r>
              <w:rPr>
                <w:rFonts w:ascii="Times New Roman" w:eastAsia="Times New Roman" w:hAnsi="Times New Roman" w:cs="Times New Roman"/>
                <w:sz w:val="20"/>
              </w:rPr>
              <w:t xml:space="preserve">240V AC (L-L) - bypass/charge mode </w:t>
            </w:r>
          </w:p>
          <w:p w:rsidR="0057792A" w:rsidRDefault="00A67CD2">
            <w:pPr>
              <w:ind w:left="94"/>
            </w:pPr>
            <w:r>
              <w:rPr>
                <w:rFonts w:ascii="Times New Roman" w:eastAsia="Times New Roman" w:hAnsi="Times New Roman" w:cs="Times New Roman"/>
                <w:sz w:val="20"/>
              </w:rPr>
              <w:t xml:space="preserve">120V AC (L-N) - bypass/charge mode </w:t>
            </w:r>
          </w:p>
          <w:p w:rsidR="0057792A" w:rsidRDefault="00A67CD2">
            <w:pPr>
              <w:ind w:left="94"/>
            </w:pPr>
            <w:r>
              <w:rPr>
                <w:rFonts w:ascii="Times New Roman" w:eastAsia="Times New Roman" w:hAnsi="Times New Roman" w:cs="Times New Roman"/>
                <w:sz w:val="20"/>
              </w:rPr>
              <w:t xml:space="preserve">50.4V DC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Input Current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96A DC at rated power </w:t>
            </w:r>
          </w:p>
        </w:tc>
      </w:tr>
      <w:tr w:rsidR="0057792A" w:rsidTr="0082439E">
        <w:trPr>
          <w:trHeight w:val="701"/>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Input Frequency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99"/>
            </w:pPr>
            <w:r>
              <w:rPr>
                <w:rFonts w:ascii="Times New Roman" w:eastAsia="Times New Roman" w:hAnsi="Times New Roman" w:cs="Times New Roman"/>
                <w:sz w:val="20"/>
              </w:rPr>
              <w:t xml:space="preserve">44...70Hz - bypass/charge mode (allowable) </w:t>
            </w:r>
          </w:p>
          <w:p w:rsidR="0057792A" w:rsidRDefault="00A67CD2">
            <w:pPr>
              <w:ind w:left="99"/>
            </w:pPr>
            <w:r>
              <w:rPr>
                <w:rFonts w:ascii="Times New Roman" w:eastAsia="Times New Roman" w:hAnsi="Times New Roman" w:cs="Times New Roman"/>
                <w:sz w:val="20"/>
              </w:rPr>
              <w:t xml:space="preserve">55...65Hz - bypass/charge mode (default) </w:t>
            </w:r>
          </w:p>
          <w:p w:rsidR="0057792A" w:rsidRDefault="00A67CD2">
            <w:pPr>
              <w:ind w:left="99"/>
            </w:pPr>
            <w:r>
              <w:rPr>
                <w:rFonts w:ascii="Times New Roman" w:eastAsia="Times New Roman" w:hAnsi="Times New Roman" w:cs="Times New Roman"/>
                <w:sz w:val="20"/>
              </w:rPr>
              <w:t xml:space="preserve">59.4...60.4Hz +/- 0.05 Hz - sell mode </w:t>
            </w:r>
          </w:p>
        </w:tc>
      </w:tr>
      <w:tr w:rsidR="0057792A" w:rsidTr="0082439E">
        <w:trPr>
          <w:trHeight w:val="320"/>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Output wave form (signal type)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True Sine Wave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Service Life (No Maintenance)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12-16 Years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rsidP="00A67CD2">
            <w:pPr>
              <w:ind w:left="96"/>
            </w:pPr>
            <w:r>
              <w:rPr>
                <w:rFonts w:ascii="Times New Roman" w:eastAsia="Times New Roman" w:hAnsi="Times New Roman" w:cs="Times New Roman"/>
                <w:sz w:val="20"/>
              </w:rPr>
              <w:t xml:space="preserve">Stored Electrical Energy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CB282D" w:rsidP="0082439E">
            <w:pPr>
              <w:ind w:left="104"/>
            </w:pPr>
            <w:r>
              <w:rPr>
                <w:rFonts w:ascii="Times New Roman" w:eastAsia="Times New Roman" w:hAnsi="Times New Roman" w:cs="Times New Roman"/>
                <w:sz w:val="20"/>
              </w:rPr>
              <w:t>42.2</w:t>
            </w:r>
            <w:r w:rsidR="0082439E">
              <w:rPr>
                <w:rFonts w:ascii="Times New Roman" w:eastAsia="Times New Roman" w:hAnsi="Times New Roman" w:cs="Times New Roman"/>
                <w:sz w:val="20"/>
              </w:rPr>
              <w:t xml:space="preserve"> kW</w:t>
            </w:r>
            <w:r>
              <w:rPr>
                <w:rFonts w:ascii="Times New Roman" w:eastAsia="Times New Roman" w:hAnsi="Times New Roman" w:cs="Times New Roman"/>
                <w:sz w:val="20"/>
              </w:rPr>
              <w:t xml:space="preserve">  (42,240</w:t>
            </w:r>
            <w:r w:rsidR="00A67CD2">
              <w:rPr>
                <w:rFonts w:ascii="Times New Roman" w:eastAsia="Times New Roman" w:hAnsi="Times New Roman" w:cs="Times New Roman"/>
                <w:sz w:val="20"/>
              </w:rPr>
              <w:t xml:space="preserve"> Watts)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Charging Current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85A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Input Current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96A DC at rated power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AC Input 1 (Grid) (240V by Default)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240V/120V (6AWG-4 Wire) 60A 2-Pole  breaker &amp; box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AC Input 2 (Generator) (240V by Default)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240V/120V (6AWG-4 Wire) 60A 2-Pole  breaker &amp; box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AC Output 1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120V/240V (6AWG-4 Wire) 60A 2-Pole  breaker &amp; box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Automatic Transfer Relay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60A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rsidP="00A67CD2">
            <w:r>
              <w:rPr>
                <w:rFonts w:ascii="Times New Roman" w:eastAsia="Times New Roman" w:hAnsi="Times New Roman" w:cs="Times New Roman"/>
                <w:sz w:val="20"/>
              </w:rPr>
              <w:t xml:space="preserve">  Solar Charge Controller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Output  (60A/12V-24V DC)         Maximum Output 800W /hour</w:t>
            </w:r>
          </w:p>
        </w:tc>
      </w:tr>
      <w:tr w:rsidR="0057792A" w:rsidTr="0082439E">
        <w:trPr>
          <w:trHeight w:val="320"/>
        </w:trPr>
        <w:tc>
          <w:tcPr>
            <w:tcW w:w="5910" w:type="dxa"/>
            <w:tcBorders>
              <w:top w:val="single" w:sz="4" w:space="0" w:color="000000"/>
              <w:left w:val="single" w:sz="4" w:space="0" w:color="000000"/>
              <w:bottom w:val="single" w:sz="4" w:space="0" w:color="000000"/>
              <w:right w:val="single" w:sz="4" w:space="0" w:color="000000"/>
            </w:tcBorders>
            <w:shd w:val="clear" w:color="auto" w:fill="92D050"/>
          </w:tcPr>
          <w:p w:rsidR="0057792A" w:rsidRDefault="00A67CD2">
            <w:pPr>
              <w:ind w:left="96"/>
            </w:pPr>
            <w:r>
              <w:rPr>
                <w:rFonts w:ascii="Times New Roman" w:eastAsia="Times New Roman" w:hAnsi="Times New Roman" w:cs="Times New Roman"/>
                <w:b/>
                <w:sz w:val="20"/>
              </w:rPr>
              <w:t xml:space="preserve">General Specifications </w:t>
            </w:r>
            <w:r>
              <w:rPr>
                <w:rFonts w:ascii="Times New Roman" w:eastAsia="Times New Roman" w:hAnsi="Times New Roman" w:cs="Times New Roman"/>
                <w:sz w:val="20"/>
              </w:rPr>
              <w:t xml:space="preserve"> </w:t>
            </w:r>
          </w:p>
        </w:tc>
        <w:tc>
          <w:tcPr>
            <w:tcW w:w="5550" w:type="dxa"/>
            <w:tcBorders>
              <w:top w:val="single" w:sz="4" w:space="0" w:color="000000"/>
              <w:left w:val="single" w:sz="4" w:space="0" w:color="000000"/>
              <w:bottom w:val="single" w:sz="4" w:space="0" w:color="000000"/>
              <w:right w:val="single" w:sz="4" w:space="0" w:color="000000"/>
            </w:tcBorders>
            <w:shd w:val="clear" w:color="auto" w:fill="92D050"/>
          </w:tcPr>
          <w:p w:rsidR="0057792A" w:rsidRDefault="00A67CD2">
            <w:pPr>
              <w:ind w:left="104"/>
            </w:pPr>
            <w:r>
              <w:rPr>
                <w:rFonts w:ascii="Times New Roman" w:eastAsia="Times New Roman" w:hAnsi="Times New Roman" w:cs="Times New Roman"/>
                <w:sz w:val="20"/>
              </w:rPr>
              <w:t xml:space="preserve">   </w:t>
            </w:r>
          </w:p>
        </w:tc>
      </w:tr>
      <w:tr w:rsidR="0057792A" w:rsidTr="0082439E">
        <w:trPr>
          <w:trHeight w:val="321"/>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Optimal operating temperature range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-25…70 °C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Monitor (two monitors)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Graphical 128 x 64 pixel, backlit LCD Display (reads V, Ah, etc.)  </w:t>
            </w:r>
          </w:p>
        </w:tc>
      </w:tr>
      <w:tr w:rsidR="0057792A" w:rsidTr="0082439E">
        <w:trPr>
          <w:trHeight w:val="322"/>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Dimensions (H x W x L)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82439E">
            <w:pPr>
              <w:ind w:left="104"/>
            </w:pPr>
            <w:r>
              <w:rPr>
                <w:rFonts w:ascii="Times New Roman" w:eastAsia="Times New Roman" w:hAnsi="Times New Roman" w:cs="Times New Roman"/>
                <w:sz w:val="20"/>
              </w:rPr>
              <w:t>48" x 24" x 36</w:t>
            </w:r>
            <w:r w:rsidR="00A67CD2">
              <w:rPr>
                <w:rFonts w:ascii="Times New Roman" w:eastAsia="Times New Roman" w:hAnsi="Times New Roman" w:cs="Times New Roman"/>
                <w:sz w:val="20"/>
              </w:rPr>
              <w:t xml:space="preserve">"  </w:t>
            </w:r>
          </w:p>
        </w:tc>
      </w:tr>
      <w:tr w:rsidR="0057792A" w:rsidTr="0082439E">
        <w:trPr>
          <w:trHeight w:val="319"/>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Heavy Steel Construction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Color – Black  </w:t>
            </w:r>
          </w:p>
        </w:tc>
      </w:tr>
      <w:tr w:rsidR="0057792A" w:rsidTr="0082439E">
        <w:trPr>
          <w:trHeight w:val="320"/>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Weight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CB282D">
            <w:pPr>
              <w:ind w:left="104"/>
            </w:pPr>
            <w:r>
              <w:rPr>
                <w:rFonts w:ascii="Times New Roman" w:eastAsia="Times New Roman" w:hAnsi="Times New Roman" w:cs="Times New Roman"/>
                <w:sz w:val="20"/>
              </w:rPr>
              <w:t>2,470</w:t>
            </w:r>
            <w:r w:rsidR="00A67CD2">
              <w:rPr>
                <w:rFonts w:ascii="Times New Roman" w:eastAsia="Times New Roman" w:hAnsi="Times New Roman" w:cs="Times New Roman"/>
                <w:sz w:val="20"/>
              </w:rPr>
              <w:t xml:space="preserve"> lbs. </w:t>
            </w:r>
          </w:p>
        </w:tc>
      </w:tr>
      <w:tr w:rsidR="0057792A" w:rsidTr="0082439E">
        <w:trPr>
          <w:trHeight w:val="320"/>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Warranty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5 years on components; 4 year cells  </w:t>
            </w:r>
          </w:p>
        </w:tc>
      </w:tr>
      <w:tr w:rsidR="0057792A" w:rsidTr="0082439E">
        <w:trPr>
          <w:trHeight w:val="320"/>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Part numbers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CB282D">
            <w:pPr>
              <w:ind w:left="104"/>
            </w:pPr>
            <w:r>
              <w:rPr>
                <w:rFonts w:ascii="Times New Roman" w:eastAsia="Times New Roman" w:hAnsi="Times New Roman" w:cs="Times New Roman"/>
                <w:sz w:val="20"/>
              </w:rPr>
              <w:t>GEN-35</w:t>
            </w:r>
            <w:r w:rsidR="0082439E">
              <w:rPr>
                <w:rFonts w:ascii="Times New Roman" w:eastAsia="Times New Roman" w:hAnsi="Times New Roman" w:cs="Times New Roman"/>
                <w:sz w:val="20"/>
              </w:rPr>
              <w:t>45-4500-60/24</w:t>
            </w:r>
            <w:r w:rsidR="00A67CD2">
              <w:rPr>
                <w:rFonts w:ascii="Times New Roman" w:eastAsia="Times New Roman" w:hAnsi="Times New Roman" w:cs="Times New Roman"/>
                <w:sz w:val="20"/>
              </w:rPr>
              <w:t xml:space="preserve"> </w:t>
            </w:r>
          </w:p>
        </w:tc>
      </w:tr>
      <w:tr w:rsidR="0057792A" w:rsidTr="0082439E">
        <w:trPr>
          <w:trHeight w:val="320"/>
        </w:trPr>
        <w:tc>
          <w:tcPr>
            <w:tcW w:w="5910" w:type="dxa"/>
            <w:tcBorders>
              <w:top w:val="single" w:sz="4" w:space="0" w:color="000000"/>
              <w:left w:val="single" w:sz="4" w:space="0" w:color="000000"/>
              <w:bottom w:val="single" w:sz="4" w:space="0" w:color="000000"/>
              <w:right w:val="single" w:sz="4" w:space="0" w:color="000000"/>
            </w:tcBorders>
            <w:shd w:val="clear" w:color="auto" w:fill="D8D8D8"/>
          </w:tcPr>
          <w:p w:rsidR="0057792A" w:rsidRDefault="00A67CD2">
            <w:pPr>
              <w:ind w:left="96"/>
            </w:pPr>
            <w:r>
              <w:rPr>
                <w:rFonts w:ascii="Times New Roman" w:eastAsia="Times New Roman" w:hAnsi="Times New Roman" w:cs="Times New Roman"/>
                <w:sz w:val="20"/>
              </w:rPr>
              <w:t xml:space="preserve">Regulatory approvals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A67CD2">
            <w:pPr>
              <w:ind w:left="104"/>
            </w:pPr>
            <w:r>
              <w:rPr>
                <w:rFonts w:ascii="Times New Roman" w:eastAsia="Times New Roman" w:hAnsi="Times New Roman" w:cs="Times New Roman"/>
                <w:sz w:val="20"/>
              </w:rPr>
              <w:t xml:space="preserve">Components UL &amp; cUL Listed  </w:t>
            </w:r>
          </w:p>
        </w:tc>
      </w:tr>
      <w:tr w:rsidR="0057792A" w:rsidTr="0082439E">
        <w:trPr>
          <w:trHeight w:val="318"/>
        </w:trPr>
        <w:tc>
          <w:tcPr>
            <w:tcW w:w="5910" w:type="dxa"/>
            <w:tcBorders>
              <w:top w:val="single" w:sz="4" w:space="0" w:color="000000"/>
              <w:left w:val="single" w:sz="4" w:space="0" w:color="000000"/>
              <w:bottom w:val="single" w:sz="4" w:space="0" w:color="000000"/>
              <w:right w:val="single" w:sz="4" w:space="0" w:color="000000"/>
            </w:tcBorders>
            <w:shd w:val="clear" w:color="auto" w:fill="92D050"/>
          </w:tcPr>
          <w:p w:rsidR="0057792A" w:rsidRDefault="00A67CD2">
            <w:pPr>
              <w:ind w:left="96"/>
            </w:pPr>
            <w:r>
              <w:rPr>
                <w:rFonts w:ascii="Times New Roman" w:eastAsia="Times New Roman" w:hAnsi="Times New Roman" w:cs="Times New Roman"/>
                <w:b/>
                <w:sz w:val="20"/>
              </w:rPr>
              <w:t xml:space="preserve">Price </w:t>
            </w:r>
            <w:r>
              <w:rPr>
                <w:rFonts w:ascii="Times New Roman" w:eastAsia="Times New Roman" w:hAnsi="Times New Roman" w:cs="Times New Roman"/>
                <w:sz w:val="20"/>
              </w:rPr>
              <w:t xml:space="preserve"> </w:t>
            </w:r>
          </w:p>
        </w:tc>
        <w:tc>
          <w:tcPr>
            <w:tcW w:w="5550" w:type="dxa"/>
            <w:tcBorders>
              <w:top w:val="single" w:sz="4" w:space="0" w:color="000000"/>
              <w:left w:val="single" w:sz="4" w:space="0" w:color="000000"/>
              <w:bottom w:val="single" w:sz="4" w:space="0" w:color="000000"/>
              <w:right w:val="single" w:sz="4" w:space="0" w:color="000000"/>
            </w:tcBorders>
            <w:shd w:val="clear" w:color="auto" w:fill="FFFF66"/>
          </w:tcPr>
          <w:p w:rsidR="0057792A" w:rsidRDefault="00CB282D">
            <w:pPr>
              <w:ind w:left="104"/>
            </w:pPr>
            <w:r>
              <w:rPr>
                <w:rFonts w:ascii="Times New Roman" w:eastAsia="Times New Roman" w:hAnsi="Times New Roman" w:cs="Times New Roman"/>
                <w:b/>
                <w:sz w:val="20"/>
              </w:rPr>
              <w:t>$20</w:t>
            </w:r>
            <w:r w:rsidR="00A67CD2">
              <w:rPr>
                <w:rFonts w:ascii="Times New Roman" w:eastAsia="Times New Roman" w:hAnsi="Times New Roman" w:cs="Times New Roman"/>
                <w:b/>
                <w:sz w:val="20"/>
              </w:rPr>
              <w:t xml:space="preserve">,997 </w:t>
            </w:r>
            <w:r w:rsidR="00A67CD2">
              <w:rPr>
                <w:rFonts w:ascii="Times New Roman" w:eastAsia="Times New Roman" w:hAnsi="Times New Roman" w:cs="Times New Roman"/>
                <w:sz w:val="20"/>
              </w:rPr>
              <w:t xml:space="preserve"> </w:t>
            </w:r>
          </w:p>
        </w:tc>
      </w:tr>
      <w:tr w:rsidR="0024195A" w:rsidTr="0024195A">
        <w:trPr>
          <w:trHeight w:val="318"/>
        </w:trPr>
        <w:tc>
          <w:tcPr>
            <w:tcW w:w="11460" w:type="dxa"/>
            <w:gridSpan w:val="2"/>
            <w:tcBorders>
              <w:top w:val="single" w:sz="4" w:space="0" w:color="000000"/>
              <w:left w:val="single" w:sz="4" w:space="0" w:color="000000"/>
              <w:bottom w:val="single" w:sz="4" w:space="0" w:color="000000"/>
              <w:right w:val="single" w:sz="4" w:space="0" w:color="000000"/>
            </w:tcBorders>
            <w:shd w:val="clear" w:color="auto" w:fill="auto"/>
          </w:tcPr>
          <w:p w:rsidR="0024195A" w:rsidRDefault="0024195A" w:rsidP="0024195A">
            <w:pPr>
              <w:ind w:left="104"/>
              <w:jc w:val="center"/>
              <w:rPr>
                <w:rFonts w:ascii="Times New Roman" w:eastAsia="Times New Roman" w:hAnsi="Times New Roman" w:cs="Times New Roman"/>
                <w:b/>
                <w:sz w:val="20"/>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57792A" w:rsidRDefault="00A67CD2">
      <w:pPr>
        <w:spacing w:after="0"/>
        <w:jc w:val="both"/>
      </w:pPr>
      <w:r>
        <w:rPr>
          <w:rFonts w:ascii="Times New Roman" w:eastAsia="Times New Roman" w:hAnsi="Times New Roman" w:cs="Times New Roman"/>
          <w:sz w:val="20"/>
        </w:rPr>
        <w:t xml:space="preserve"> </w:t>
      </w:r>
    </w:p>
    <w:sectPr w:rsidR="0057792A" w:rsidSect="0082439E">
      <w:pgSz w:w="12240" w:h="20160" w:code="5"/>
      <w:pgMar w:top="190" w:right="1440" w:bottom="1226"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o9zvs+XsFxjY19o3IGWaXJvoP2razJoDAujY8F4mZCHTTQx9UbNBd3ZQDv4ynWhScblhTQe5Q8Rhh82/xkDcg==" w:salt="52wExGD3ilzXFK2uHwO54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2A"/>
    <w:rsid w:val="0024195A"/>
    <w:rsid w:val="0057792A"/>
    <w:rsid w:val="006658E4"/>
    <w:rsid w:val="006D58B6"/>
    <w:rsid w:val="0082439E"/>
    <w:rsid w:val="00A67CD2"/>
    <w:rsid w:val="00CB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6D58D-8EC9-4A26-9F4B-54BBC04E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241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dcterms:created xsi:type="dcterms:W3CDTF">2015-08-14T21:54:00Z</dcterms:created>
  <dcterms:modified xsi:type="dcterms:W3CDTF">2015-08-14T21:54:00Z</dcterms:modified>
</cp:coreProperties>
</file>