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D4294" w:rsidRDefault="00A751BB">
      <w:pPr>
        <w:spacing w:after="0"/>
      </w:pPr>
      <w:bookmarkStart w:id="0" w:name="_GoBack"/>
      <w:bookmarkEnd w:id="0"/>
      <w:r>
        <w:rPr>
          <w:sz w:val="24"/>
          <w:szCs w:val="24"/>
        </w:rPr>
        <w:t xml:space="preserve">Our fibre broadband packages clearly differentiate between the needs of business and residential customers and are easily identified as Business or Family packages.  Both options allow you to accommodate additional bandwidth needs through top-ups and per 1GB overuse options. </w:t>
      </w:r>
    </w:p>
    <w:p w:rsidR="00ED4294" w:rsidRDefault="00ED4294">
      <w:pPr>
        <w:spacing w:after="0"/>
      </w:pPr>
    </w:p>
    <w:p w:rsidR="00ED4294" w:rsidRDefault="00A751BB">
      <w:pPr>
        <w:spacing w:after="0"/>
      </w:pPr>
      <w:r>
        <w:rPr>
          <w:b/>
          <w:i/>
          <w:sz w:val="28"/>
          <w:szCs w:val="28"/>
        </w:rPr>
        <w:t>Business Packages</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rsidR="00ED4294" w:rsidRDefault="00A751BB">
      <w:pPr>
        <w:spacing w:after="0"/>
      </w:pPr>
      <w:r>
        <w:t xml:space="preserve">Our business packages range from 15GB to 360GB and include key business features such as traffic prioritisation and business friendly bandwidth allowance times. </w:t>
      </w:r>
    </w:p>
    <w:p w:rsidR="00ED4294" w:rsidRDefault="00ED4294">
      <w:pPr>
        <w:spacing w:after="0"/>
      </w:pP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ED4294">
        <w:tc>
          <w:tcPr>
            <w:tcW w:w="3008" w:type="dxa"/>
          </w:tcPr>
          <w:p w:rsidR="00ED4294" w:rsidRDefault="00A751BB">
            <w:pPr>
              <w:spacing w:after="0" w:line="240" w:lineRule="auto"/>
            </w:pPr>
            <w:r>
              <w:rPr>
                <w:b/>
              </w:rPr>
              <w:t>Product</w:t>
            </w:r>
          </w:p>
        </w:tc>
        <w:tc>
          <w:tcPr>
            <w:tcW w:w="3008" w:type="dxa"/>
          </w:tcPr>
          <w:p w:rsidR="00ED4294" w:rsidRDefault="00A751BB">
            <w:pPr>
              <w:spacing w:after="0" w:line="240" w:lineRule="auto"/>
            </w:pPr>
            <w:r>
              <w:rPr>
                <w:b/>
              </w:rPr>
              <w:t xml:space="preserve">Monthly </w:t>
            </w:r>
          </w:p>
          <w:p w:rsidR="00ED4294" w:rsidRDefault="00A751BB">
            <w:pPr>
              <w:spacing w:after="0" w:line="240" w:lineRule="auto"/>
            </w:pPr>
            <w:r>
              <w:rPr>
                <w:b/>
              </w:rPr>
              <w:t>Allowance</w:t>
            </w:r>
          </w:p>
        </w:tc>
        <w:tc>
          <w:tcPr>
            <w:tcW w:w="3008" w:type="dxa"/>
          </w:tcPr>
          <w:p w:rsidR="00ED4294" w:rsidRDefault="00A751BB">
            <w:pPr>
              <w:spacing w:after="0" w:line="240" w:lineRule="auto"/>
            </w:pPr>
            <w:r>
              <w:rPr>
                <w:b/>
              </w:rPr>
              <w:t>Pricing Per Month</w:t>
            </w:r>
          </w:p>
          <w:p w:rsidR="00ED4294" w:rsidRDefault="00A751BB">
            <w:pPr>
              <w:spacing w:after="0" w:line="240" w:lineRule="auto"/>
            </w:pPr>
            <w:r>
              <w:rPr>
                <w:b/>
              </w:rPr>
              <w:t>(Ex VAT)</w:t>
            </w:r>
          </w:p>
        </w:tc>
      </w:tr>
      <w:tr w:rsidR="00ED4294">
        <w:tc>
          <w:tcPr>
            <w:tcW w:w="3008" w:type="dxa"/>
          </w:tcPr>
          <w:p w:rsidR="00ED4294" w:rsidRDefault="00A751BB">
            <w:pPr>
              <w:spacing w:after="0" w:line="240" w:lineRule="auto"/>
            </w:pPr>
            <w:r>
              <w:t>FTTP Business 15</w:t>
            </w:r>
          </w:p>
        </w:tc>
        <w:tc>
          <w:tcPr>
            <w:tcW w:w="3008" w:type="dxa"/>
          </w:tcPr>
          <w:p w:rsidR="00ED4294" w:rsidRDefault="00A751BB">
            <w:pPr>
              <w:spacing w:after="0" w:line="240" w:lineRule="auto"/>
            </w:pPr>
            <w:r>
              <w:t>15GB</w:t>
            </w:r>
          </w:p>
        </w:tc>
        <w:tc>
          <w:tcPr>
            <w:tcW w:w="3008" w:type="dxa"/>
          </w:tcPr>
          <w:p w:rsidR="00ED4294" w:rsidRDefault="00A751BB">
            <w:pPr>
              <w:spacing w:after="0" w:line="240" w:lineRule="auto"/>
            </w:pPr>
            <w:r>
              <w:t>£22.00</w:t>
            </w:r>
          </w:p>
        </w:tc>
      </w:tr>
      <w:tr w:rsidR="00ED4294">
        <w:tc>
          <w:tcPr>
            <w:tcW w:w="3008" w:type="dxa"/>
          </w:tcPr>
          <w:p w:rsidR="00ED4294" w:rsidRDefault="00A751BB">
            <w:pPr>
              <w:spacing w:after="0" w:line="240" w:lineRule="auto"/>
            </w:pPr>
            <w:r>
              <w:t>FTTP Business 45</w:t>
            </w:r>
          </w:p>
        </w:tc>
        <w:tc>
          <w:tcPr>
            <w:tcW w:w="3008" w:type="dxa"/>
          </w:tcPr>
          <w:p w:rsidR="00ED4294" w:rsidRDefault="00A751BB">
            <w:pPr>
              <w:spacing w:after="0" w:line="240" w:lineRule="auto"/>
            </w:pPr>
            <w:r>
              <w:t>45GB</w:t>
            </w:r>
          </w:p>
        </w:tc>
        <w:tc>
          <w:tcPr>
            <w:tcW w:w="3008" w:type="dxa"/>
          </w:tcPr>
          <w:p w:rsidR="00ED4294" w:rsidRDefault="00A751BB">
            <w:pPr>
              <w:spacing w:after="0" w:line="240" w:lineRule="auto"/>
            </w:pPr>
            <w:r>
              <w:t>£32.85</w:t>
            </w:r>
          </w:p>
        </w:tc>
      </w:tr>
      <w:tr w:rsidR="00ED4294">
        <w:tc>
          <w:tcPr>
            <w:tcW w:w="3008" w:type="dxa"/>
          </w:tcPr>
          <w:p w:rsidR="00ED4294" w:rsidRDefault="00A751BB">
            <w:pPr>
              <w:spacing w:after="0" w:line="240" w:lineRule="auto"/>
            </w:pPr>
            <w:r>
              <w:t>FTTP Business 90</w:t>
            </w:r>
          </w:p>
        </w:tc>
        <w:tc>
          <w:tcPr>
            <w:tcW w:w="3008" w:type="dxa"/>
          </w:tcPr>
          <w:p w:rsidR="00ED4294" w:rsidRDefault="00A751BB">
            <w:pPr>
              <w:spacing w:after="0" w:line="240" w:lineRule="auto"/>
            </w:pPr>
            <w:r>
              <w:t>90GB</w:t>
            </w:r>
          </w:p>
        </w:tc>
        <w:tc>
          <w:tcPr>
            <w:tcW w:w="3008" w:type="dxa"/>
          </w:tcPr>
          <w:p w:rsidR="00ED4294" w:rsidRDefault="00A751BB">
            <w:pPr>
              <w:spacing w:after="0" w:line="240" w:lineRule="auto"/>
            </w:pPr>
            <w:r>
              <w:t>£42.00</w:t>
            </w:r>
          </w:p>
        </w:tc>
      </w:tr>
      <w:tr w:rsidR="00ED4294">
        <w:tc>
          <w:tcPr>
            <w:tcW w:w="3008" w:type="dxa"/>
          </w:tcPr>
          <w:p w:rsidR="00ED4294" w:rsidRDefault="00A751BB">
            <w:pPr>
              <w:spacing w:after="0" w:line="240" w:lineRule="auto"/>
            </w:pPr>
            <w:r>
              <w:t>FTTP Business 135</w:t>
            </w:r>
          </w:p>
        </w:tc>
        <w:tc>
          <w:tcPr>
            <w:tcW w:w="3008" w:type="dxa"/>
          </w:tcPr>
          <w:p w:rsidR="00ED4294" w:rsidRDefault="00A751BB">
            <w:pPr>
              <w:spacing w:after="0" w:line="240" w:lineRule="auto"/>
            </w:pPr>
            <w:r>
              <w:t>135GB</w:t>
            </w:r>
          </w:p>
        </w:tc>
        <w:tc>
          <w:tcPr>
            <w:tcW w:w="3008" w:type="dxa"/>
          </w:tcPr>
          <w:p w:rsidR="00ED4294" w:rsidRDefault="00A751BB">
            <w:pPr>
              <w:spacing w:after="0" w:line="240" w:lineRule="auto"/>
            </w:pPr>
            <w:r>
              <w:t>£53.85</w:t>
            </w:r>
          </w:p>
        </w:tc>
      </w:tr>
      <w:tr w:rsidR="00ED4294">
        <w:tc>
          <w:tcPr>
            <w:tcW w:w="3008" w:type="dxa"/>
            <w:tcBorders>
              <w:bottom w:val="single" w:sz="4" w:space="0" w:color="000000"/>
            </w:tcBorders>
          </w:tcPr>
          <w:p w:rsidR="00ED4294" w:rsidRDefault="00A751BB">
            <w:pPr>
              <w:spacing w:after="0" w:line="240" w:lineRule="auto"/>
            </w:pPr>
            <w:r>
              <w:t>FTTP Business 180</w:t>
            </w:r>
          </w:p>
        </w:tc>
        <w:tc>
          <w:tcPr>
            <w:tcW w:w="3008" w:type="dxa"/>
            <w:tcBorders>
              <w:bottom w:val="single" w:sz="4" w:space="0" w:color="000000"/>
            </w:tcBorders>
          </w:tcPr>
          <w:p w:rsidR="00ED4294" w:rsidRDefault="00A751BB">
            <w:pPr>
              <w:spacing w:after="0" w:line="240" w:lineRule="auto"/>
            </w:pPr>
            <w:r>
              <w:t>180GB</w:t>
            </w:r>
          </w:p>
        </w:tc>
        <w:tc>
          <w:tcPr>
            <w:tcW w:w="3008" w:type="dxa"/>
            <w:tcBorders>
              <w:bottom w:val="single" w:sz="4" w:space="0" w:color="000000"/>
            </w:tcBorders>
          </w:tcPr>
          <w:p w:rsidR="00ED4294" w:rsidRDefault="00A751BB">
            <w:pPr>
              <w:spacing w:after="0" w:line="240" w:lineRule="auto"/>
            </w:pPr>
            <w:r>
              <w:t>£63.85</w:t>
            </w:r>
          </w:p>
        </w:tc>
      </w:tr>
      <w:tr w:rsidR="00ED4294">
        <w:tc>
          <w:tcPr>
            <w:tcW w:w="3008" w:type="dxa"/>
          </w:tcPr>
          <w:p w:rsidR="00ED4294" w:rsidRDefault="00A751BB">
            <w:pPr>
              <w:spacing w:after="0" w:line="240" w:lineRule="auto"/>
            </w:pPr>
            <w:r>
              <w:t>FTTP Business 360</w:t>
            </w:r>
          </w:p>
        </w:tc>
        <w:tc>
          <w:tcPr>
            <w:tcW w:w="3008" w:type="dxa"/>
          </w:tcPr>
          <w:p w:rsidR="00ED4294" w:rsidRDefault="00A751BB">
            <w:pPr>
              <w:spacing w:after="0" w:line="240" w:lineRule="auto"/>
            </w:pPr>
            <w:r>
              <w:t>360GB</w:t>
            </w:r>
          </w:p>
        </w:tc>
        <w:tc>
          <w:tcPr>
            <w:tcW w:w="3008" w:type="dxa"/>
          </w:tcPr>
          <w:p w:rsidR="00ED4294" w:rsidRDefault="00A751BB">
            <w:pPr>
              <w:spacing w:after="0" w:line="240" w:lineRule="auto"/>
            </w:pPr>
            <w:r>
              <w:t>£127.70</w:t>
            </w:r>
          </w:p>
        </w:tc>
      </w:tr>
    </w:tbl>
    <w:p w:rsidR="00ED4294" w:rsidRDefault="00ED4294">
      <w:pPr>
        <w:spacing w:after="0"/>
      </w:pPr>
    </w:p>
    <w:p w:rsidR="00ED4294" w:rsidRDefault="00A751BB">
      <w:pPr>
        <w:spacing w:after="0"/>
      </w:pPr>
      <w:r>
        <w:rPr>
          <w:b/>
          <w:sz w:val="18"/>
          <w:szCs w:val="18"/>
        </w:rPr>
        <w:t xml:space="preserve">This pricing includes an upload speed of up to 2Mbps and a download speed of up to 40Mbps. </w:t>
      </w:r>
    </w:p>
    <w:p w:rsidR="00ED4294" w:rsidRDefault="00A751BB">
      <w:pPr>
        <w:spacing w:after="0"/>
      </w:pPr>
      <w:r>
        <w:rPr>
          <w:sz w:val="18"/>
          <w:szCs w:val="18"/>
        </w:rPr>
        <w:t>The monthly bandwidth allowance for Business packages is consumed between</w:t>
      </w:r>
      <w:r>
        <w:rPr>
          <w:color w:val="FF0000"/>
          <w:sz w:val="18"/>
          <w:szCs w:val="18"/>
        </w:rPr>
        <w:t xml:space="preserve"> </w:t>
      </w:r>
      <w:r>
        <w:rPr>
          <w:sz w:val="18"/>
          <w:szCs w:val="18"/>
        </w:rPr>
        <w:t>08:00hrs to 20:00hrs Monday to Friday. Bandwidth usage outside of these time periods is uncharged. The packages receive priority during allowance</w:t>
      </w:r>
      <w:r>
        <w:rPr>
          <w:color w:val="FF0000"/>
          <w:sz w:val="18"/>
          <w:szCs w:val="18"/>
        </w:rPr>
        <w:t xml:space="preserve"> </w:t>
      </w:r>
      <w:r>
        <w:rPr>
          <w:sz w:val="18"/>
          <w:szCs w:val="18"/>
        </w:rPr>
        <w:t xml:space="preserve">times only. </w:t>
      </w:r>
    </w:p>
    <w:p w:rsidR="00ED4294" w:rsidRDefault="00ED4294"/>
    <w:p w:rsidR="00ED4294" w:rsidRDefault="00A751BB">
      <w:r>
        <w:rPr>
          <w:b/>
          <w:i/>
          <w:sz w:val="28"/>
          <w:szCs w:val="28"/>
        </w:rPr>
        <w:t>Family Packages</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rsidR="00ED4294" w:rsidRDefault="00A751BB">
      <w:pPr>
        <w:spacing w:after="0"/>
      </w:pPr>
      <w:r>
        <w:t xml:space="preserve">Our Family packages are available in a range of monthly allowance options ranging from just 30GB to 90GB. </w:t>
      </w:r>
    </w:p>
    <w:p w:rsidR="00ED4294" w:rsidRDefault="00ED4294">
      <w:pPr>
        <w:spacing w:after="0"/>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ED4294">
        <w:tc>
          <w:tcPr>
            <w:tcW w:w="3008" w:type="dxa"/>
          </w:tcPr>
          <w:p w:rsidR="00ED4294" w:rsidRDefault="00A751BB">
            <w:pPr>
              <w:spacing w:after="0" w:line="240" w:lineRule="auto"/>
            </w:pPr>
            <w:r>
              <w:rPr>
                <w:b/>
              </w:rPr>
              <w:t>Product</w:t>
            </w:r>
          </w:p>
        </w:tc>
        <w:tc>
          <w:tcPr>
            <w:tcW w:w="3008" w:type="dxa"/>
          </w:tcPr>
          <w:p w:rsidR="00ED4294" w:rsidRDefault="00A751BB">
            <w:pPr>
              <w:spacing w:after="0" w:line="240" w:lineRule="auto"/>
            </w:pPr>
            <w:r>
              <w:rPr>
                <w:b/>
              </w:rPr>
              <w:t xml:space="preserve">Monthly </w:t>
            </w:r>
          </w:p>
          <w:p w:rsidR="00ED4294" w:rsidRDefault="00A751BB">
            <w:pPr>
              <w:spacing w:after="0" w:line="240" w:lineRule="auto"/>
            </w:pPr>
            <w:r>
              <w:rPr>
                <w:b/>
              </w:rPr>
              <w:t>Allowance</w:t>
            </w:r>
          </w:p>
        </w:tc>
        <w:tc>
          <w:tcPr>
            <w:tcW w:w="3008" w:type="dxa"/>
          </w:tcPr>
          <w:p w:rsidR="00ED4294" w:rsidRDefault="00A751BB">
            <w:pPr>
              <w:spacing w:after="0" w:line="240" w:lineRule="auto"/>
            </w:pPr>
            <w:r>
              <w:rPr>
                <w:b/>
              </w:rPr>
              <w:t>Pricing Per Month</w:t>
            </w:r>
          </w:p>
          <w:p w:rsidR="00ED4294" w:rsidRDefault="00A751BB">
            <w:pPr>
              <w:spacing w:after="0" w:line="240" w:lineRule="auto"/>
            </w:pPr>
            <w:r>
              <w:rPr>
                <w:b/>
              </w:rPr>
              <w:t>(ex VAT)</w:t>
            </w:r>
          </w:p>
        </w:tc>
      </w:tr>
      <w:tr w:rsidR="00ED4294">
        <w:tc>
          <w:tcPr>
            <w:tcW w:w="3008" w:type="dxa"/>
          </w:tcPr>
          <w:p w:rsidR="00ED4294" w:rsidRDefault="00A751BB">
            <w:pPr>
              <w:spacing w:after="0" w:line="240" w:lineRule="auto"/>
            </w:pPr>
            <w:r>
              <w:t>FTTC Family 30</w:t>
            </w:r>
          </w:p>
        </w:tc>
        <w:tc>
          <w:tcPr>
            <w:tcW w:w="3008" w:type="dxa"/>
          </w:tcPr>
          <w:p w:rsidR="00ED4294" w:rsidRDefault="00A751BB">
            <w:pPr>
              <w:spacing w:after="0" w:line="240" w:lineRule="auto"/>
            </w:pPr>
            <w:r>
              <w:t>30GB</w:t>
            </w:r>
          </w:p>
        </w:tc>
        <w:tc>
          <w:tcPr>
            <w:tcW w:w="3008" w:type="dxa"/>
          </w:tcPr>
          <w:p w:rsidR="00ED4294" w:rsidRDefault="00A751BB">
            <w:pPr>
              <w:spacing w:after="0" w:line="240" w:lineRule="auto"/>
            </w:pPr>
            <w:r>
              <w:t>£21.58</w:t>
            </w:r>
          </w:p>
        </w:tc>
      </w:tr>
      <w:tr w:rsidR="00ED4294">
        <w:tc>
          <w:tcPr>
            <w:tcW w:w="3008" w:type="dxa"/>
          </w:tcPr>
          <w:p w:rsidR="00ED4294" w:rsidRDefault="00A751BB">
            <w:pPr>
              <w:spacing w:after="0" w:line="240" w:lineRule="auto"/>
            </w:pPr>
            <w:r>
              <w:t>FTTC Family 45</w:t>
            </w:r>
          </w:p>
        </w:tc>
        <w:tc>
          <w:tcPr>
            <w:tcW w:w="3008" w:type="dxa"/>
          </w:tcPr>
          <w:p w:rsidR="00ED4294" w:rsidRDefault="00A751BB">
            <w:pPr>
              <w:spacing w:after="0" w:line="240" w:lineRule="auto"/>
            </w:pPr>
            <w:r>
              <w:t>45GB</w:t>
            </w:r>
          </w:p>
        </w:tc>
        <w:tc>
          <w:tcPr>
            <w:tcW w:w="3008" w:type="dxa"/>
          </w:tcPr>
          <w:p w:rsidR="00ED4294" w:rsidRDefault="00A751BB">
            <w:pPr>
              <w:spacing w:after="0" w:line="240" w:lineRule="auto"/>
            </w:pPr>
            <w:r>
              <w:t>£29.16</w:t>
            </w:r>
          </w:p>
        </w:tc>
      </w:tr>
      <w:tr w:rsidR="00ED4294">
        <w:tc>
          <w:tcPr>
            <w:tcW w:w="3008" w:type="dxa"/>
          </w:tcPr>
          <w:p w:rsidR="00ED4294" w:rsidRDefault="00A751BB">
            <w:pPr>
              <w:spacing w:after="0" w:line="240" w:lineRule="auto"/>
            </w:pPr>
            <w:r>
              <w:t>FTTC Family 90</w:t>
            </w:r>
          </w:p>
        </w:tc>
        <w:tc>
          <w:tcPr>
            <w:tcW w:w="3008" w:type="dxa"/>
          </w:tcPr>
          <w:p w:rsidR="00ED4294" w:rsidRDefault="00A751BB">
            <w:pPr>
              <w:spacing w:after="0" w:line="240" w:lineRule="auto"/>
            </w:pPr>
            <w:r>
              <w:t>90GB</w:t>
            </w:r>
          </w:p>
        </w:tc>
        <w:tc>
          <w:tcPr>
            <w:tcW w:w="3008" w:type="dxa"/>
          </w:tcPr>
          <w:p w:rsidR="00ED4294" w:rsidRDefault="00A751BB">
            <w:pPr>
              <w:spacing w:after="0" w:line="240" w:lineRule="auto"/>
            </w:pPr>
            <w:r>
              <w:t>£39.99</w:t>
            </w:r>
          </w:p>
        </w:tc>
      </w:tr>
    </w:tbl>
    <w:p w:rsidR="00ED4294" w:rsidRDefault="00ED4294">
      <w:pPr>
        <w:spacing w:after="0"/>
      </w:pPr>
    </w:p>
    <w:p w:rsidR="00ED4294" w:rsidRDefault="00A751BB">
      <w:pPr>
        <w:spacing w:after="0"/>
      </w:pPr>
      <w:r>
        <w:rPr>
          <w:b/>
          <w:sz w:val="18"/>
          <w:szCs w:val="18"/>
        </w:rPr>
        <w:t xml:space="preserve">This pricing includes an upload speed of up to 2Mbps and a download speed of up to 40Mbps. </w:t>
      </w:r>
    </w:p>
    <w:p w:rsidR="00ED4294" w:rsidRDefault="00A751BB">
      <w:pPr>
        <w:spacing w:after="0"/>
      </w:pPr>
      <w:r>
        <w:rPr>
          <w:sz w:val="18"/>
          <w:szCs w:val="18"/>
        </w:rPr>
        <w:t>The monthly bandwidth allowance for Family packages is consumed between</w:t>
      </w:r>
      <w:r>
        <w:rPr>
          <w:color w:val="FF0000"/>
          <w:sz w:val="18"/>
          <w:szCs w:val="18"/>
        </w:rPr>
        <w:t xml:space="preserve"> </w:t>
      </w:r>
      <w:r>
        <w:rPr>
          <w:sz w:val="18"/>
          <w:szCs w:val="18"/>
        </w:rPr>
        <w:t xml:space="preserve">08:00hrs to 00:00hrs Monday to Friday. Bandwidth usage outside of these times is uncharged. The packages receive traffic priority between 20:00hrs and 00:00hrs Monday to Friday only. </w:t>
      </w:r>
    </w:p>
    <w:p w:rsidR="00ED4294" w:rsidRDefault="00ED4294">
      <w:pPr>
        <w:spacing w:after="0"/>
      </w:pPr>
    </w:p>
    <w:p w:rsidR="00ED4294" w:rsidRDefault="00A751BB">
      <w:pPr>
        <w:spacing w:after="0"/>
      </w:pPr>
      <w:r>
        <w:rPr>
          <w:b/>
          <w:i/>
          <w:sz w:val="28"/>
          <w:szCs w:val="28"/>
        </w:rPr>
        <w:t xml:space="preserve">FTTC Upgrade Options </w:t>
      </w:r>
    </w:p>
    <w:p w:rsidR="00ED4294" w:rsidRDefault="00A751BB">
      <w:r>
        <w:lastRenderedPageBreak/>
        <w:t>The standard FTTC based services shown above include an upload speed of up to 2Mbps and a download speed of up to 40Mbps. To increase your connection speeds the following charges apply.</w:t>
      </w: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ED4294">
        <w:tc>
          <w:tcPr>
            <w:tcW w:w="3008" w:type="dxa"/>
          </w:tcPr>
          <w:p w:rsidR="00ED4294" w:rsidRDefault="00A751BB">
            <w:pPr>
              <w:spacing w:after="0" w:line="240" w:lineRule="auto"/>
            </w:pPr>
            <w:r>
              <w:rPr>
                <w:b/>
              </w:rPr>
              <w:t>Product</w:t>
            </w:r>
          </w:p>
        </w:tc>
        <w:tc>
          <w:tcPr>
            <w:tcW w:w="3008" w:type="dxa"/>
          </w:tcPr>
          <w:p w:rsidR="00ED4294" w:rsidRDefault="00A751BB">
            <w:pPr>
              <w:spacing w:after="0" w:line="240" w:lineRule="auto"/>
            </w:pPr>
            <w:r>
              <w:rPr>
                <w:b/>
              </w:rPr>
              <w:t xml:space="preserve">Profile (up to downstream/ </w:t>
            </w:r>
          </w:p>
          <w:p w:rsidR="00ED4294" w:rsidRDefault="00A751BB">
            <w:pPr>
              <w:spacing w:after="0" w:line="240" w:lineRule="auto"/>
            </w:pPr>
            <w:r>
              <w:rPr>
                <w:b/>
              </w:rPr>
              <w:t>up to upstream)</w:t>
            </w:r>
          </w:p>
        </w:tc>
        <w:tc>
          <w:tcPr>
            <w:tcW w:w="3008" w:type="dxa"/>
          </w:tcPr>
          <w:p w:rsidR="00ED4294" w:rsidRDefault="00A751BB">
            <w:pPr>
              <w:spacing w:after="0" w:line="240" w:lineRule="auto"/>
            </w:pPr>
            <w:r>
              <w:rPr>
                <w:b/>
              </w:rPr>
              <w:t>Pricing Per Month</w:t>
            </w:r>
          </w:p>
          <w:p w:rsidR="00ED4294" w:rsidRDefault="00A751BB">
            <w:pPr>
              <w:spacing w:after="0" w:line="240" w:lineRule="auto"/>
            </w:pPr>
            <w:r>
              <w:rPr>
                <w:b/>
              </w:rPr>
              <w:t>(ex VAT)</w:t>
            </w:r>
          </w:p>
        </w:tc>
      </w:tr>
      <w:tr w:rsidR="00ED4294">
        <w:tc>
          <w:tcPr>
            <w:tcW w:w="3008" w:type="dxa"/>
          </w:tcPr>
          <w:p w:rsidR="00ED4294" w:rsidRDefault="00A751BB">
            <w:pPr>
              <w:spacing w:after="0" w:line="240" w:lineRule="auto"/>
            </w:pPr>
            <w:r>
              <w:t>FTTP Upload Upgrade</w:t>
            </w:r>
          </w:p>
        </w:tc>
        <w:tc>
          <w:tcPr>
            <w:tcW w:w="3008" w:type="dxa"/>
          </w:tcPr>
          <w:p w:rsidR="00ED4294" w:rsidRDefault="00A751BB">
            <w:pPr>
              <w:spacing w:after="0" w:line="240" w:lineRule="auto"/>
            </w:pPr>
            <w:r>
              <w:t>40Mbps/10Mbps</w:t>
            </w:r>
          </w:p>
        </w:tc>
        <w:tc>
          <w:tcPr>
            <w:tcW w:w="3008" w:type="dxa"/>
          </w:tcPr>
          <w:p w:rsidR="00ED4294" w:rsidRDefault="00A751BB">
            <w:pPr>
              <w:spacing w:after="0" w:line="240" w:lineRule="auto"/>
            </w:pPr>
            <w:r>
              <w:t>£1.25</w:t>
            </w:r>
          </w:p>
        </w:tc>
      </w:tr>
      <w:tr w:rsidR="00ED4294">
        <w:tc>
          <w:tcPr>
            <w:tcW w:w="3008" w:type="dxa"/>
          </w:tcPr>
          <w:p w:rsidR="00ED4294" w:rsidRDefault="00A751BB">
            <w:pPr>
              <w:spacing w:after="0" w:line="240" w:lineRule="auto"/>
            </w:pPr>
            <w:r>
              <w:t>FTTP 80Mbps Upgrade</w:t>
            </w:r>
          </w:p>
        </w:tc>
        <w:tc>
          <w:tcPr>
            <w:tcW w:w="3008" w:type="dxa"/>
          </w:tcPr>
          <w:p w:rsidR="00ED4294" w:rsidRDefault="00A751BB">
            <w:pPr>
              <w:spacing w:after="0" w:line="240" w:lineRule="auto"/>
            </w:pPr>
            <w:r>
              <w:t>80Mbps/20Mbps</w:t>
            </w:r>
          </w:p>
        </w:tc>
        <w:tc>
          <w:tcPr>
            <w:tcW w:w="3008" w:type="dxa"/>
          </w:tcPr>
          <w:p w:rsidR="00ED4294" w:rsidRDefault="00A751BB">
            <w:pPr>
              <w:spacing w:after="0" w:line="240" w:lineRule="auto"/>
            </w:pPr>
            <w:r>
              <w:t>£4.25</w:t>
            </w:r>
          </w:p>
        </w:tc>
      </w:tr>
    </w:tbl>
    <w:p w:rsidR="00ED4294" w:rsidRDefault="00ED4294">
      <w:pPr>
        <w:spacing w:after="0"/>
      </w:pPr>
    </w:p>
    <w:p w:rsidR="00ED4294" w:rsidRDefault="00A751BB">
      <w:pPr>
        <w:spacing w:after="0"/>
      </w:pPr>
      <w:r>
        <w:rPr>
          <w:sz w:val="18"/>
          <w:szCs w:val="18"/>
        </w:rPr>
        <w:t>Actual throughput may vary as it is dependent upon numerous factors including the capabilities of the content server and network and also of the customer’s internal and supplier network.</w:t>
      </w:r>
    </w:p>
    <w:p w:rsidR="00ED4294" w:rsidRDefault="00ED4294">
      <w:pPr>
        <w:spacing w:after="0"/>
      </w:pPr>
    </w:p>
    <w:p w:rsidR="00ED4294" w:rsidRDefault="00A751BB">
      <w:pPr>
        <w:spacing w:after="0"/>
      </w:pPr>
      <w:r>
        <w:rPr>
          <w:b/>
          <w:i/>
          <w:sz w:val="28"/>
          <w:szCs w:val="28"/>
        </w:rPr>
        <w:t>Non-Entanet PSTN Charge</w:t>
      </w:r>
    </w:p>
    <w:p w:rsidR="00ED4294" w:rsidRDefault="00A751BB">
      <w:pPr>
        <w:spacing w:after="0"/>
      </w:pPr>
      <w:r>
        <w:t>Where an FTTP connection is provided without an Entanet PSTN line to the premises, an additional monthly charge will be applied.</w:t>
      </w:r>
    </w:p>
    <w:p w:rsidR="00ED4294" w:rsidRDefault="00ED4294">
      <w:pPr>
        <w:spacing w:after="0"/>
      </w:pPr>
    </w:p>
    <w:tbl>
      <w:tblPr>
        <w:tblStyle w:val="a2"/>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D4294">
        <w:tc>
          <w:tcPr>
            <w:tcW w:w="4513" w:type="dxa"/>
          </w:tcPr>
          <w:p w:rsidR="00ED4294" w:rsidRDefault="00A751BB">
            <w:pPr>
              <w:spacing w:after="0" w:line="240" w:lineRule="auto"/>
            </w:pPr>
            <w:r>
              <w:rPr>
                <w:b/>
              </w:rPr>
              <w:t>Product</w:t>
            </w:r>
          </w:p>
        </w:tc>
        <w:tc>
          <w:tcPr>
            <w:tcW w:w="4513" w:type="dxa"/>
          </w:tcPr>
          <w:p w:rsidR="00ED4294" w:rsidRDefault="00A751BB">
            <w:pPr>
              <w:spacing w:after="0" w:line="240" w:lineRule="auto"/>
            </w:pPr>
            <w:r>
              <w:rPr>
                <w:b/>
              </w:rPr>
              <w:t>Pricing Per Month</w:t>
            </w:r>
          </w:p>
          <w:p w:rsidR="00ED4294" w:rsidRDefault="00A751BB">
            <w:pPr>
              <w:spacing w:after="0" w:line="240" w:lineRule="auto"/>
            </w:pPr>
            <w:r>
              <w:rPr>
                <w:b/>
              </w:rPr>
              <w:t>(ex VAT)</w:t>
            </w:r>
          </w:p>
        </w:tc>
      </w:tr>
      <w:tr w:rsidR="00ED4294">
        <w:tc>
          <w:tcPr>
            <w:tcW w:w="4513" w:type="dxa"/>
          </w:tcPr>
          <w:p w:rsidR="00ED4294" w:rsidRDefault="00A751BB">
            <w:pPr>
              <w:spacing w:after="0" w:line="240" w:lineRule="auto"/>
            </w:pPr>
            <w:r>
              <w:t>Without Entanet PSTN</w:t>
            </w:r>
          </w:p>
        </w:tc>
        <w:tc>
          <w:tcPr>
            <w:tcW w:w="4513" w:type="dxa"/>
          </w:tcPr>
          <w:p w:rsidR="00ED4294" w:rsidRDefault="00A751BB">
            <w:pPr>
              <w:spacing w:after="0" w:line="240" w:lineRule="auto"/>
            </w:pPr>
            <w:r>
              <w:t>£10.00</w:t>
            </w:r>
          </w:p>
        </w:tc>
      </w:tr>
    </w:tbl>
    <w:p w:rsidR="00ED4294" w:rsidRDefault="00ED4294">
      <w:pPr>
        <w:spacing w:after="0"/>
      </w:pPr>
    </w:p>
    <w:p w:rsidR="00ED4294" w:rsidRDefault="00A751BB">
      <w:pPr>
        <w:spacing w:after="0"/>
      </w:pPr>
      <w:r>
        <w:rPr>
          <w:b/>
          <w:i/>
          <w:sz w:val="28"/>
          <w:szCs w:val="28"/>
        </w:rPr>
        <w:t>Overuse Options</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rsidR="00ED4294" w:rsidRDefault="00A751BB">
      <w:pPr>
        <w:spacing w:after="0"/>
      </w:pPr>
      <w:r>
        <w:t>You can choose between two flexible overuse options; either purchase additional pre-pay top-ups as and when you need them or post-pay on a per 1GB basis, setting a maximum limit. Top-ups do not expire unless you cease the connection or move to an alternative provider and range from 10GB to 100GB.</w:t>
      </w:r>
    </w:p>
    <w:p w:rsidR="00ED4294" w:rsidRDefault="00ED4294">
      <w:pPr>
        <w:spacing w:after="0"/>
      </w:pPr>
    </w:p>
    <w:tbl>
      <w:tblPr>
        <w:tblStyle w:val="a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ED4294">
        <w:tc>
          <w:tcPr>
            <w:tcW w:w="3008" w:type="dxa"/>
          </w:tcPr>
          <w:p w:rsidR="00ED4294" w:rsidRDefault="00A751BB">
            <w:pPr>
              <w:spacing w:after="0" w:line="240" w:lineRule="auto"/>
            </w:pPr>
            <w:r>
              <w:rPr>
                <w:b/>
              </w:rPr>
              <w:t>Overuse*</w:t>
            </w:r>
          </w:p>
        </w:tc>
        <w:tc>
          <w:tcPr>
            <w:tcW w:w="3008" w:type="dxa"/>
          </w:tcPr>
          <w:p w:rsidR="00ED4294" w:rsidRDefault="00A751BB">
            <w:pPr>
              <w:spacing w:after="0" w:line="240" w:lineRule="auto"/>
            </w:pPr>
            <w:r>
              <w:rPr>
                <w:b/>
              </w:rPr>
              <w:t>Allowance</w:t>
            </w:r>
          </w:p>
        </w:tc>
        <w:tc>
          <w:tcPr>
            <w:tcW w:w="3008" w:type="dxa"/>
          </w:tcPr>
          <w:p w:rsidR="00ED4294" w:rsidRDefault="00A751BB">
            <w:pPr>
              <w:spacing w:after="0" w:line="240" w:lineRule="auto"/>
            </w:pPr>
            <w:r>
              <w:rPr>
                <w:b/>
              </w:rPr>
              <w:t>Pricing (ex VAT)</w:t>
            </w:r>
          </w:p>
        </w:tc>
      </w:tr>
      <w:tr w:rsidR="00ED4294">
        <w:tc>
          <w:tcPr>
            <w:tcW w:w="3008" w:type="dxa"/>
          </w:tcPr>
          <w:p w:rsidR="00ED4294" w:rsidRDefault="00A751BB">
            <w:pPr>
              <w:spacing w:after="0" w:line="240" w:lineRule="auto"/>
            </w:pPr>
            <w:r>
              <w:t>Top-up 10</w:t>
            </w:r>
          </w:p>
        </w:tc>
        <w:tc>
          <w:tcPr>
            <w:tcW w:w="3008" w:type="dxa"/>
          </w:tcPr>
          <w:p w:rsidR="00ED4294" w:rsidRDefault="00A751BB">
            <w:pPr>
              <w:spacing w:after="0" w:line="240" w:lineRule="auto"/>
            </w:pPr>
            <w:r>
              <w:t>10GB</w:t>
            </w:r>
          </w:p>
        </w:tc>
        <w:tc>
          <w:tcPr>
            <w:tcW w:w="3008" w:type="dxa"/>
          </w:tcPr>
          <w:p w:rsidR="00ED4294" w:rsidRDefault="00A751BB">
            <w:pPr>
              <w:spacing w:after="0" w:line="240" w:lineRule="auto"/>
            </w:pPr>
            <w:r>
              <w:t>£8.65</w:t>
            </w:r>
          </w:p>
        </w:tc>
      </w:tr>
      <w:tr w:rsidR="00ED4294">
        <w:tc>
          <w:tcPr>
            <w:tcW w:w="3008" w:type="dxa"/>
          </w:tcPr>
          <w:p w:rsidR="00ED4294" w:rsidRDefault="00A751BB">
            <w:pPr>
              <w:spacing w:after="0" w:line="240" w:lineRule="auto"/>
            </w:pPr>
            <w:r>
              <w:t>Top-up 25</w:t>
            </w:r>
          </w:p>
        </w:tc>
        <w:tc>
          <w:tcPr>
            <w:tcW w:w="3008" w:type="dxa"/>
          </w:tcPr>
          <w:p w:rsidR="00ED4294" w:rsidRDefault="00A751BB">
            <w:pPr>
              <w:spacing w:after="0" w:line="240" w:lineRule="auto"/>
            </w:pPr>
            <w:r>
              <w:t>25GB</w:t>
            </w:r>
          </w:p>
        </w:tc>
        <w:tc>
          <w:tcPr>
            <w:tcW w:w="3008" w:type="dxa"/>
          </w:tcPr>
          <w:p w:rsidR="00ED4294" w:rsidRDefault="00A751BB">
            <w:pPr>
              <w:spacing w:after="0" w:line="240" w:lineRule="auto"/>
            </w:pPr>
            <w:r>
              <w:t>£20.82</w:t>
            </w:r>
          </w:p>
        </w:tc>
      </w:tr>
      <w:tr w:rsidR="00ED4294">
        <w:tc>
          <w:tcPr>
            <w:tcW w:w="3008" w:type="dxa"/>
          </w:tcPr>
          <w:p w:rsidR="00ED4294" w:rsidRDefault="00A751BB">
            <w:pPr>
              <w:spacing w:after="0" w:line="240" w:lineRule="auto"/>
            </w:pPr>
            <w:r>
              <w:t>Top-up 50</w:t>
            </w:r>
          </w:p>
        </w:tc>
        <w:tc>
          <w:tcPr>
            <w:tcW w:w="3008" w:type="dxa"/>
          </w:tcPr>
          <w:p w:rsidR="00ED4294" w:rsidRDefault="00A751BB">
            <w:pPr>
              <w:spacing w:after="0" w:line="240" w:lineRule="auto"/>
            </w:pPr>
            <w:r>
              <w:t>50GB</w:t>
            </w:r>
          </w:p>
        </w:tc>
        <w:tc>
          <w:tcPr>
            <w:tcW w:w="3008" w:type="dxa"/>
          </w:tcPr>
          <w:p w:rsidR="00ED4294" w:rsidRDefault="00A751BB">
            <w:pPr>
              <w:spacing w:after="0" w:line="240" w:lineRule="auto"/>
            </w:pPr>
            <w:r>
              <w:t>£40.83</w:t>
            </w:r>
          </w:p>
        </w:tc>
      </w:tr>
      <w:tr w:rsidR="00ED4294">
        <w:tc>
          <w:tcPr>
            <w:tcW w:w="3008" w:type="dxa"/>
          </w:tcPr>
          <w:p w:rsidR="00ED4294" w:rsidRDefault="00A751BB">
            <w:pPr>
              <w:spacing w:after="0" w:line="240" w:lineRule="auto"/>
            </w:pPr>
            <w:r>
              <w:t>Top-up 75</w:t>
            </w:r>
          </w:p>
        </w:tc>
        <w:tc>
          <w:tcPr>
            <w:tcW w:w="3008" w:type="dxa"/>
          </w:tcPr>
          <w:p w:rsidR="00ED4294" w:rsidRDefault="00A751BB">
            <w:pPr>
              <w:spacing w:after="0" w:line="240" w:lineRule="auto"/>
            </w:pPr>
            <w:r>
              <w:t>75GB</w:t>
            </w:r>
          </w:p>
        </w:tc>
        <w:tc>
          <w:tcPr>
            <w:tcW w:w="3008" w:type="dxa"/>
          </w:tcPr>
          <w:p w:rsidR="00ED4294" w:rsidRDefault="00A751BB">
            <w:pPr>
              <w:spacing w:after="0" w:line="240" w:lineRule="auto"/>
            </w:pPr>
            <w:r>
              <w:t>£60.83</w:t>
            </w:r>
          </w:p>
        </w:tc>
      </w:tr>
      <w:tr w:rsidR="00ED4294">
        <w:tc>
          <w:tcPr>
            <w:tcW w:w="3008" w:type="dxa"/>
          </w:tcPr>
          <w:p w:rsidR="00ED4294" w:rsidRDefault="00A751BB">
            <w:pPr>
              <w:spacing w:after="0" w:line="240" w:lineRule="auto"/>
            </w:pPr>
            <w:r>
              <w:t>Top-up 100</w:t>
            </w:r>
          </w:p>
        </w:tc>
        <w:tc>
          <w:tcPr>
            <w:tcW w:w="3008" w:type="dxa"/>
          </w:tcPr>
          <w:p w:rsidR="00ED4294" w:rsidRDefault="00A751BB">
            <w:pPr>
              <w:spacing w:after="0" w:line="240" w:lineRule="auto"/>
            </w:pPr>
            <w:r>
              <w:t>100GB</w:t>
            </w:r>
          </w:p>
        </w:tc>
        <w:tc>
          <w:tcPr>
            <w:tcW w:w="3008" w:type="dxa"/>
          </w:tcPr>
          <w:p w:rsidR="00ED4294" w:rsidRDefault="00A751BB">
            <w:pPr>
              <w:spacing w:after="0" w:line="240" w:lineRule="auto"/>
            </w:pPr>
            <w:r>
              <w:t>£79.96</w:t>
            </w:r>
          </w:p>
        </w:tc>
      </w:tr>
      <w:tr w:rsidR="00ED4294">
        <w:tc>
          <w:tcPr>
            <w:tcW w:w="3008" w:type="dxa"/>
          </w:tcPr>
          <w:p w:rsidR="00ED4294" w:rsidRDefault="00A751BB">
            <w:pPr>
              <w:spacing w:after="0" w:line="240" w:lineRule="auto"/>
            </w:pPr>
            <w:r>
              <w:t>Overuse</w:t>
            </w:r>
          </w:p>
        </w:tc>
        <w:tc>
          <w:tcPr>
            <w:tcW w:w="3008" w:type="dxa"/>
          </w:tcPr>
          <w:p w:rsidR="00ED4294" w:rsidRDefault="00A751BB">
            <w:pPr>
              <w:spacing w:after="0" w:line="240" w:lineRule="auto"/>
            </w:pPr>
            <w:r>
              <w:t>Per 1GB</w:t>
            </w:r>
          </w:p>
        </w:tc>
        <w:tc>
          <w:tcPr>
            <w:tcW w:w="3008" w:type="dxa"/>
          </w:tcPr>
          <w:p w:rsidR="00ED4294" w:rsidRDefault="00A751BB">
            <w:pPr>
              <w:spacing w:after="0" w:line="240" w:lineRule="auto"/>
            </w:pPr>
            <w:r>
              <w:t>£1.09</w:t>
            </w:r>
          </w:p>
        </w:tc>
      </w:tr>
    </w:tbl>
    <w:p w:rsidR="00ED4294" w:rsidRDefault="00ED4294">
      <w:pPr>
        <w:spacing w:after="0"/>
      </w:pPr>
    </w:p>
    <w:p w:rsidR="00ED4294" w:rsidRDefault="00A751BB">
      <w:pPr>
        <w:spacing w:after="0"/>
      </w:pPr>
      <w:r>
        <w:rPr>
          <w:sz w:val="18"/>
          <w:szCs w:val="18"/>
        </w:rPr>
        <w:t>*Upon consumption of the customer’s monthly allowance and all remaining top-up the connection will be rate limited to 128Kbps with an additional 1GB. Upon consumption of the additional 1GB the connection will be blocked until the customer purchases a top-up or reaches their next billing period start date.  Upon reaching the pre-set limit for per 1GB usage the connection will be blocked until the start of the customers next billing period.</w:t>
      </w:r>
    </w:p>
    <w:p w:rsidR="00ED4294" w:rsidRDefault="00A751BB">
      <w:pPr>
        <w:spacing w:after="0"/>
      </w:pPr>
      <w:r>
        <w:rPr>
          <w:b/>
          <w:sz w:val="24"/>
          <w:szCs w:val="24"/>
        </w:rPr>
        <w:t xml:space="preserve"> </w:t>
      </w:r>
    </w:p>
    <w:p w:rsidR="00ED4294" w:rsidRDefault="00A751BB">
      <w:r>
        <w:rPr>
          <w:b/>
          <w:i/>
          <w:sz w:val="28"/>
          <w:szCs w:val="28"/>
        </w:rPr>
        <w:t>Additional Options</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4"/>
          <w:szCs w:val="24"/>
        </w:rPr>
        <w:br/>
      </w:r>
      <w:r>
        <w:t xml:space="preserve">The additional services listed below are available to both Business and Family customers. Enhanced </w:t>
      </w:r>
      <w:r>
        <w:lastRenderedPageBreak/>
        <w:t xml:space="preserve">Care provides a reduced clear time of 20hours in the event of a fault, with </w:t>
      </w:r>
      <w:proofErr w:type="spellStart"/>
      <w:r>
        <w:t>Openreach</w:t>
      </w:r>
      <w:proofErr w:type="spellEnd"/>
      <w:r>
        <w:t xml:space="preserve"> engineers available 24/7. Standard Care provides a clear time of 40 hours. Customers must have 24/7 access to their premises to be able to take advantage of the 20hr clear time.</w:t>
      </w:r>
    </w:p>
    <w:p w:rsidR="00ED4294" w:rsidRDefault="00A751BB">
      <w:pPr>
        <w:spacing w:after="0"/>
      </w:pPr>
      <w:r>
        <w:t>Elevated Best Efforts (EBE) provides a minimum “Best Efforts” downstream throughput over the BT network (subject to line sync rate) for 90% of the time over the busiest 3 hour period.</w:t>
      </w:r>
    </w:p>
    <w:p w:rsidR="00ED4294" w:rsidRDefault="00ED4294">
      <w:pPr>
        <w:spacing w:after="0"/>
      </w:pPr>
    </w:p>
    <w:tbl>
      <w:tblPr>
        <w:tblStyle w:val="a4"/>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ED4294">
        <w:tc>
          <w:tcPr>
            <w:tcW w:w="3008" w:type="dxa"/>
          </w:tcPr>
          <w:p w:rsidR="00ED4294" w:rsidRDefault="00A751BB">
            <w:pPr>
              <w:spacing w:after="0" w:line="240" w:lineRule="auto"/>
              <w:jc w:val="center"/>
            </w:pPr>
            <w:r>
              <w:rPr>
                <w:b/>
              </w:rPr>
              <w:t>Product</w:t>
            </w:r>
          </w:p>
        </w:tc>
        <w:tc>
          <w:tcPr>
            <w:tcW w:w="3008" w:type="dxa"/>
          </w:tcPr>
          <w:p w:rsidR="00ED4294" w:rsidRDefault="00A751BB">
            <w:pPr>
              <w:spacing w:after="0" w:line="240" w:lineRule="auto"/>
              <w:jc w:val="center"/>
            </w:pPr>
            <w:r>
              <w:rPr>
                <w:b/>
              </w:rPr>
              <w:t xml:space="preserve">Pricing Per Month </w:t>
            </w:r>
          </w:p>
          <w:p w:rsidR="00ED4294" w:rsidRDefault="00A751BB">
            <w:pPr>
              <w:spacing w:after="0" w:line="240" w:lineRule="auto"/>
              <w:jc w:val="center"/>
            </w:pPr>
            <w:r>
              <w:rPr>
                <w:b/>
              </w:rPr>
              <w:t>(Ex VAT)</w:t>
            </w:r>
          </w:p>
        </w:tc>
        <w:tc>
          <w:tcPr>
            <w:tcW w:w="3008" w:type="dxa"/>
          </w:tcPr>
          <w:p w:rsidR="00ED4294" w:rsidRDefault="00A751BB">
            <w:pPr>
              <w:spacing w:after="0" w:line="240" w:lineRule="auto"/>
              <w:jc w:val="center"/>
            </w:pPr>
            <w:r>
              <w:rPr>
                <w:b/>
              </w:rPr>
              <w:t>Product</w:t>
            </w:r>
          </w:p>
        </w:tc>
      </w:tr>
      <w:tr w:rsidR="00ED4294">
        <w:tc>
          <w:tcPr>
            <w:tcW w:w="3008" w:type="dxa"/>
          </w:tcPr>
          <w:p w:rsidR="00ED4294" w:rsidRDefault="00A751BB">
            <w:pPr>
              <w:spacing w:after="0" w:line="240" w:lineRule="auto"/>
              <w:jc w:val="center"/>
            </w:pPr>
            <w:r>
              <w:t>Enhanced Care (FTTC only)</w:t>
            </w:r>
          </w:p>
        </w:tc>
        <w:tc>
          <w:tcPr>
            <w:tcW w:w="3008" w:type="dxa"/>
          </w:tcPr>
          <w:p w:rsidR="00ED4294" w:rsidRDefault="00A751BB">
            <w:pPr>
              <w:spacing w:after="0" w:line="240" w:lineRule="auto"/>
              <w:jc w:val="center"/>
            </w:pPr>
            <w:r>
              <w:t>£12.50</w:t>
            </w:r>
          </w:p>
        </w:tc>
        <w:tc>
          <w:tcPr>
            <w:tcW w:w="3008" w:type="dxa"/>
          </w:tcPr>
          <w:p w:rsidR="00ED4294" w:rsidRDefault="00A751BB">
            <w:pPr>
              <w:spacing w:after="0" w:line="240" w:lineRule="auto"/>
              <w:jc w:val="center"/>
            </w:pPr>
            <w:r>
              <w:t>Enhanced Care (FTTC only)</w:t>
            </w:r>
          </w:p>
        </w:tc>
      </w:tr>
      <w:tr w:rsidR="00ED4294">
        <w:tc>
          <w:tcPr>
            <w:tcW w:w="3008" w:type="dxa"/>
          </w:tcPr>
          <w:p w:rsidR="00ED4294" w:rsidRDefault="00A751BB">
            <w:pPr>
              <w:spacing w:after="0" w:line="240" w:lineRule="auto"/>
              <w:jc w:val="center"/>
            </w:pPr>
            <w:r>
              <w:t>Elevated Best Efforts</w:t>
            </w:r>
          </w:p>
        </w:tc>
        <w:tc>
          <w:tcPr>
            <w:tcW w:w="3008" w:type="dxa"/>
          </w:tcPr>
          <w:p w:rsidR="00ED4294" w:rsidRDefault="00A751BB">
            <w:pPr>
              <w:spacing w:after="0" w:line="240" w:lineRule="auto"/>
              <w:jc w:val="center"/>
            </w:pPr>
            <w:r>
              <w:t>£5.80</w:t>
            </w:r>
          </w:p>
        </w:tc>
        <w:tc>
          <w:tcPr>
            <w:tcW w:w="3008" w:type="dxa"/>
          </w:tcPr>
          <w:p w:rsidR="00ED4294" w:rsidRDefault="00A751BB">
            <w:pPr>
              <w:spacing w:after="0" w:line="240" w:lineRule="auto"/>
              <w:jc w:val="center"/>
            </w:pPr>
            <w:r>
              <w:t>Elevated Best Efforts</w:t>
            </w:r>
          </w:p>
        </w:tc>
      </w:tr>
    </w:tbl>
    <w:p w:rsidR="00ED4294" w:rsidRDefault="00ED4294">
      <w:pPr>
        <w:spacing w:after="0"/>
      </w:pPr>
    </w:p>
    <w:p w:rsidR="00ED4294" w:rsidRDefault="00A751BB">
      <w:pPr>
        <w:spacing w:after="0"/>
      </w:pPr>
      <w:r>
        <w:rPr>
          <w:b/>
          <w:i/>
          <w:sz w:val="28"/>
          <w:szCs w:val="28"/>
        </w:rPr>
        <w:t xml:space="preserve">IP Addresses </w:t>
      </w:r>
    </w:p>
    <w:p w:rsidR="00ED4294" w:rsidRDefault="00A751BB">
      <w:pPr>
        <w:spacing w:after="0"/>
      </w:pPr>
      <w:r>
        <w:t>All broadband connections include 1 IP address free of charge. Additional IP addresses (NAT options) can be purchased for an additional one off charge as shown below.</w:t>
      </w:r>
    </w:p>
    <w:p w:rsidR="00ED4294" w:rsidRDefault="00ED4294">
      <w:pPr>
        <w:spacing w:after="0"/>
      </w:pPr>
    </w:p>
    <w:tbl>
      <w:tblPr>
        <w:tblStyle w:val="a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D4294">
        <w:tc>
          <w:tcPr>
            <w:tcW w:w="4513" w:type="dxa"/>
          </w:tcPr>
          <w:p w:rsidR="00ED4294" w:rsidRDefault="00A751BB">
            <w:pPr>
              <w:spacing w:after="0" w:line="240" w:lineRule="auto"/>
              <w:jc w:val="center"/>
            </w:pPr>
            <w:r>
              <w:rPr>
                <w:b/>
              </w:rPr>
              <w:t>NAT Option</w:t>
            </w:r>
          </w:p>
        </w:tc>
        <w:tc>
          <w:tcPr>
            <w:tcW w:w="4513" w:type="dxa"/>
          </w:tcPr>
          <w:p w:rsidR="00ED4294" w:rsidRDefault="00A751BB">
            <w:pPr>
              <w:spacing w:after="0" w:line="240" w:lineRule="auto"/>
              <w:jc w:val="center"/>
            </w:pPr>
            <w:r>
              <w:rPr>
                <w:b/>
              </w:rPr>
              <w:t>Pricing (Ex VAT)</w:t>
            </w:r>
          </w:p>
        </w:tc>
      </w:tr>
      <w:tr w:rsidR="00ED4294">
        <w:tc>
          <w:tcPr>
            <w:tcW w:w="4513" w:type="dxa"/>
          </w:tcPr>
          <w:p w:rsidR="00ED4294" w:rsidRDefault="00A751BB">
            <w:pPr>
              <w:spacing w:after="0" w:line="240" w:lineRule="auto"/>
              <w:jc w:val="center"/>
            </w:pPr>
            <w:r>
              <w:t>No NAT 8</w:t>
            </w:r>
          </w:p>
        </w:tc>
        <w:tc>
          <w:tcPr>
            <w:tcW w:w="4513" w:type="dxa"/>
          </w:tcPr>
          <w:p w:rsidR="00ED4294" w:rsidRDefault="00A751BB">
            <w:pPr>
              <w:spacing w:after="0" w:line="240" w:lineRule="auto"/>
              <w:jc w:val="center"/>
            </w:pPr>
            <w:r>
              <w:t>£13.00</w:t>
            </w:r>
          </w:p>
        </w:tc>
      </w:tr>
    </w:tbl>
    <w:p w:rsidR="00ED4294" w:rsidRDefault="00ED4294">
      <w:pPr>
        <w:spacing w:after="0"/>
      </w:pPr>
    </w:p>
    <w:p w:rsidR="00ED4294" w:rsidRDefault="00A751BB">
      <w:pPr>
        <w:spacing w:after="0"/>
      </w:pPr>
      <w:r>
        <w:rPr>
          <w:b/>
          <w:i/>
          <w:sz w:val="28"/>
          <w:szCs w:val="28"/>
        </w:rPr>
        <w:t>Other Charges</w:t>
      </w:r>
      <w:r>
        <w:rPr>
          <w:b/>
          <w:i/>
          <w:sz w:val="28"/>
          <w:szCs w:val="28"/>
        </w:rPr>
        <w:tab/>
      </w:r>
      <w:r>
        <w:rPr>
          <w:b/>
          <w:i/>
          <w:sz w:val="28"/>
          <w:szCs w:val="28"/>
        </w:rPr>
        <w:br/>
      </w:r>
      <w:r>
        <w:t xml:space="preserve">Other important charges you should be aware of are detailed below. </w:t>
      </w:r>
    </w:p>
    <w:p w:rsidR="00ED4294" w:rsidRDefault="00ED4294">
      <w:pPr>
        <w:spacing w:after="0"/>
      </w:pPr>
    </w:p>
    <w:tbl>
      <w:tblPr>
        <w:tblStyle w:val="a6"/>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D4294">
        <w:tc>
          <w:tcPr>
            <w:tcW w:w="4513" w:type="dxa"/>
          </w:tcPr>
          <w:p w:rsidR="00ED4294" w:rsidRDefault="00A751BB">
            <w:pPr>
              <w:spacing w:after="0" w:line="240" w:lineRule="auto"/>
            </w:pPr>
            <w:r>
              <w:rPr>
                <w:b/>
              </w:rPr>
              <w:t>Option</w:t>
            </w:r>
          </w:p>
        </w:tc>
        <w:tc>
          <w:tcPr>
            <w:tcW w:w="4513" w:type="dxa"/>
          </w:tcPr>
          <w:p w:rsidR="00ED4294" w:rsidRDefault="00A751BB">
            <w:pPr>
              <w:spacing w:after="0" w:line="240" w:lineRule="auto"/>
            </w:pPr>
            <w:r>
              <w:rPr>
                <w:b/>
              </w:rPr>
              <w:t>Pricing (Ex VAT)</w:t>
            </w:r>
          </w:p>
        </w:tc>
      </w:tr>
      <w:tr w:rsidR="0076737B">
        <w:tc>
          <w:tcPr>
            <w:tcW w:w="4513" w:type="dxa"/>
          </w:tcPr>
          <w:p w:rsidR="0076737B" w:rsidRDefault="0076737B">
            <w:pPr>
              <w:spacing w:after="0" w:line="240" w:lineRule="auto"/>
            </w:pPr>
            <w:r>
              <w:t>Activation</w:t>
            </w:r>
          </w:p>
        </w:tc>
        <w:tc>
          <w:tcPr>
            <w:tcW w:w="4513" w:type="dxa"/>
          </w:tcPr>
          <w:p w:rsidR="0076737B" w:rsidRDefault="0076737B" w:rsidP="0076737B">
            <w:pPr>
              <w:spacing w:after="0" w:line="240" w:lineRule="auto"/>
            </w:pPr>
            <w:r>
              <w:t>£97.00</w:t>
            </w:r>
          </w:p>
        </w:tc>
      </w:tr>
      <w:tr w:rsidR="00ED4294">
        <w:tc>
          <w:tcPr>
            <w:tcW w:w="4513" w:type="dxa"/>
          </w:tcPr>
          <w:p w:rsidR="00ED4294" w:rsidRDefault="00A751BB">
            <w:pPr>
              <w:spacing w:after="0" w:line="240" w:lineRule="auto"/>
            </w:pPr>
            <w:r>
              <w:t>Order Cancellation Charge</w:t>
            </w:r>
            <w:r>
              <w:rPr>
                <w:vertAlign w:val="superscript"/>
              </w:rPr>
              <w:t>†</w:t>
            </w:r>
          </w:p>
        </w:tc>
        <w:tc>
          <w:tcPr>
            <w:tcW w:w="4513" w:type="dxa"/>
          </w:tcPr>
          <w:p w:rsidR="00ED4294" w:rsidRDefault="00A751BB">
            <w:pPr>
              <w:spacing w:after="0" w:line="240" w:lineRule="auto"/>
            </w:pPr>
            <w:r>
              <w:t>£22.00</w:t>
            </w:r>
          </w:p>
        </w:tc>
      </w:tr>
      <w:tr w:rsidR="00ED4294">
        <w:tc>
          <w:tcPr>
            <w:tcW w:w="4513" w:type="dxa"/>
          </w:tcPr>
          <w:p w:rsidR="00ED4294" w:rsidRDefault="00A751BB">
            <w:pPr>
              <w:spacing w:after="0" w:line="240" w:lineRule="auto"/>
            </w:pPr>
            <w:r>
              <w:t>Cease</w:t>
            </w:r>
            <w:r>
              <w:rPr>
                <w:vertAlign w:val="superscript"/>
              </w:rPr>
              <w:t>††</w:t>
            </w:r>
          </w:p>
        </w:tc>
        <w:tc>
          <w:tcPr>
            <w:tcW w:w="4513" w:type="dxa"/>
          </w:tcPr>
          <w:p w:rsidR="00ED4294" w:rsidRDefault="00A751BB">
            <w:pPr>
              <w:spacing w:after="0" w:line="240" w:lineRule="auto"/>
            </w:pPr>
            <w:r>
              <w:t>£31.12</w:t>
            </w:r>
          </w:p>
        </w:tc>
      </w:tr>
      <w:tr w:rsidR="00ED4294">
        <w:tc>
          <w:tcPr>
            <w:tcW w:w="4513" w:type="dxa"/>
          </w:tcPr>
          <w:p w:rsidR="00ED4294" w:rsidRDefault="00A751BB">
            <w:pPr>
              <w:spacing w:after="0" w:line="240" w:lineRule="auto"/>
            </w:pPr>
            <w:r>
              <w:t>Upstream Modify</w:t>
            </w:r>
            <w:r>
              <w:rPr>
                <w:vertAlign w:val="superscript"/>
              </w:rPr>
              <w:t>†††</w:t>
            </w:r>
          </w:p>
        </w:tc>
        <w:tc>
          <w:tcPr>
            <w:tcW w:w="4513" w:type="dxa"/>
          </w:tcPr>
          <w:p w:rsidR="00ED4294" w:rsidRDefault="00A751BB">
            <w:pPr>
              <w:spacing w:after="0" w:line="240" w:lineRule="auto"/>
            </w:pPr>
            <w:r>
              <w:t>£15.00</w:t>
            </w:r>
          </w:p>
        </w:tc>
      </w:tr>
      <w:tr w:rsidR="00ED4294">
        <w:tc>
          <w:tcPr>
            <w:tcW w:w="4513" w:type="dxa"/>
          </w:tcPr>
          <w:p w:rsidR="00ED4294" w:rsidRDefault="00A751BB">
            <w:pPr>
              <w:spacing w:after="0" w:line="240" w:lineRule="auto"/>
            </w:pPr>
            <w:r>
              <w:t>Aborted Visit Charge</w:t>
            </w:r>
          </w:p>
        </w:tc>
        <w:tc>
          <w:tcPr>
            <w:tcW w:w="4513" w:type="dxa"/>
          </w:tcPr>
          <w:p w:rsidR="00ED4294" w:rsidRDefault="00A751BB">
            <w:pPr>
              <w:spacing w:after="0" w:line="240" w:lineRule="auto"/>
            </w:pPr>
            <w:r>
              <w:t>£90.00</w:t>
            </w:r>
          </w:p>
        </w:tc>
      </w:tr>
      <w:tr w:rsidR="00ED4294">
        <w:tc>
          <w:tcPr>
            <w:tcW w:w="4513" w:type="dxa"/>
          </w:tcPr>
          <w:p w:rsidR="00ED4294" w:rsidRDefault="00A751BB">
            <w:pPr>
              <w:spacing w:after="0" w:line="240" w:lineRule="auto"/>
            </w:pPr>
            <w:r>
              <w:t>Special Fault Investigation</w:t>
            </w:r>
          </w:p>
        </w:tc>
        <w:tc>
          <w:tcPr>
            <w:tcW w:w="4513" w:type="dxa"/>
          </w:tcPr>
          <w:p w:rsidR="00ED4294" w:rsidRDefault="00A751BB">
            <w:pPr>
              <w:spacing w:after="0" w:line="240" w:lineRule="auto"/>
            </w:pPr>
            <w:r>
              <w:t>£165.00</w:t>
            </w:r>
          </w:p>
        </w:tc>
      </w:tr>
    </w:tbl>
    <w:p w:rsidR="00ED4294" w:rsidRDefault="00ED4294">
      <w:pPr>
        <w:spacing w:after="0"/>
      </w:pPr>
    </w:p>
    <w:p w:rsidR="00ED4294" w:rsidRDefault="00A751BB">
      <w:pPr>
        <w:spacing w:after="0"/>
      </w:pPr>
      <w:r>
        <w:rPr>
          <w:vertAlign w:val="superscript"/>
        </w:rPr>
        <w:t>†</w:t>
      </w:r>
      <w:r>
        <w:rPr>
          <w:sz w:val="18"/>
          <w:szCs w:val="18"/>
        </w:rPr>
        <w:t xml:space="preserve">This charge is applied where a line provision order which has already been progressed to </w:t>
      </w:r>
      <w:proofErr w:type="spellStart"/>
      <w:r>
        <w:rPr>
          <w:sz w:val="18"/>
          <w:szCs w:val="18"/>
        </w:rPr>
        <w:t>Openreach</w:t>
      </w:r>
      <w:proofErr w:type="spellEnd"/>
      <w:r>
        <w:rPr>
          <w:sz w:val="18"/>
          <w:szCs w:val="18"/>
        </w:rPr>
        <w:t xml:space="preserve"> is cancelled prior to the order delivery date.</w:t>
      </w:r>
    </w:p>
    <w:p w:rsidR="00ED4294" w:rsidRDefault="00A751BB">
      <w:pPr>
        <w:spacing w:after="0"/>
      </w:pPr>
      <w:r>
        <w:rPr>
          <w:vertAlign w:val="superscript"/>
        </w:rPr>
        <w:t>††</w:t>
      </w:r>
      <w:r>
        <w:rPr>
          <w:sz w:val="18"/>
          <w:szCs w:val="18"/>
        </w:rPr>
        <w:t>A cease charge will also apply where a cease results from a migration to LLU where the published migration process has not been correctly followed.</w:t>
      </w:r>
      <w:r>
        <w:rPr>
          <w:vertAlign w:val="superscript"/>
        </w:rPr>
        <w:t xml:space="preserve"> </w:t>
      </w:r>
    </w:p>
    <w:p w:rsidR="00ED4294" w:rsidRDefault="00A751BB">
      <w:pPr>
        <w:spacing w:after="0"/>
      </w:pPr>
      <w:r>
        <w:rPr>
          <w:vertAlign w:val="superscript"/>
        </w:rPr>
        <w:t>†††</w:t>
      </w:r>
      <w:r>
        <w:rPr>
          <w:sz w:val="18"/>
          <w:szCs w:val="18"/>
        </w:rPr>
        <w:t>This charge applies when the upstream speed is modified from 2Mbps to 10Mbps, the downstream speed is modified from 40Mbps to 80Mbps or vice versa.</w:t>
      </w:r>
      <w:r>
        <w:rPr>
          <w:sz w:val="18"/>
          <w:szCs w:val="18"/>
          <w:vertAlign w:val="superscript"/>
        </w:rPr>
        <w:t xml:space="preserve"> </w:t>
      </w:r>
    </w:p>
    <w:p w:rsidR="00ED4294" w:rsidRDefault="00A751BB">
      <w:pPr>
        <w:spacing w:after="0"/>
      </w:pPr>
      <w:r>
        <w:rPr>
          <w:sz w:val="18"/>
          <w:szCs w:val="18"/>
        </w:rPr>
        <w:t>There is no expedite option for FTTP.</w:t>
      </w:r>
    </w:p>
    <w:p w:rsidR="00ED4294" w:rsidRDefault="00A751BB">
      <w:pPr>
        <w:spacing w:after="0"/>
      </w:pPr>
      <w:r>
        <w:rPr>
          <w:sz w:val="18"/>
          <w:szCs w:val="18"/>
        </w:rPr>
        <w:t>There is no migration path from one FTTP provider to another.</w:t>
      </w:r>
    </w:p>
    <w:p w:rsidR="00ED4294" w:rsidRDefault="00A751BB" w:rsidP="0076737B">
      <w:r>
        <w:rPr>
          <w:sz w:val="18"/>
          <w:szCs w:val="18"/>
        </w:rPr>
        <w:t>There is no migration path from traditional DSL/FTTC to FTTP.</w:t>
      </w:r>
    </w:p>
    <w:sectPr w:rsidR="00ED4294">
      <w:headerReference w:type="even" r:id="rId6"/>
      <w:headerReference w:type="default" r:id="rId7"/>
      <w:footerReference w:type="even" r:id="rId8"/>
      <w:footerReference w:type="default" r:id="rId9"/>
      <w:headerReference w:type="first" r:id="rId10"/>
      <w:footerReference w:type="first" r:id="rId11"/>
      <w:pgSz w:w="11906" w:h="16838"/>
      <w:pgMar w:top="1005"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6D3" w:rsidRDefault="00DF26D3">
      <w:pPr>
        <w:spacing w:after="0" w:line="240" w:lineRule="auto"/>
      </w:pPr>
      <w:r>
        <w:separator/>
      </w:r>
    </w:p>
  </w:endnote>
  <w:endnote w:type="continuationSeparator" w:id="0">
    <w:p w:rsidR="00DF26D3" w:rsidRDefault="00DF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3E" w:rsidRDefault="00417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94" w:rsidRDefault="00ED4294">
    <w:pPr>
      <w:spacing w:after="0"/>
    </w:pPr>
  </w:p>
  <w:p w:rsidR="00ED4294" w:rsidRDefault="00A751BB">
    <w:pPr>
      <w:spacing w:after="0"/>
    </w:pPr>
    <w:r>
      <w:rPr>
        <w:sz w:val="18"/>
        <w:szCs w:val="18"/>
      </w:rPr>
      <w:t>A minimum contract period of 12 months applies. All prices exclude VAT unless otherwise stated and are shown in GBP.</w:t>
    </w:r>
    <w:r>
      <w:rPr>
        <w:noProof/>
      </w:rPr>
      <w:drawing>
        <wp:anchor distT="0" distB="0" distL="114300" distR="114300" simplePos="0" relativeHeight="251659264" behindDoc="0" locked="0" layoutInCell="0" hidden="0" allowOverlap="0">
          <wp:simplePos x="0" y="0"/>
          <wp:positionH relativeFrom="margin">
            <wp:posOffset>-38099</wp:posOffset>
          </wp:positionH>
          <wp:positionV relativeFrom="paragraph">
            <wp:posOffset>-38099</wp:posOffset>
          </wp:positionV>
          <wp:extent cx="5689600" cy="12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689600" cy="12700"/>
                  </a:xfrm>
                  <a:prstGeom prst="rect">
                    <a:avLst/>
                  </a:prstGeom>
                  <a:ln/>
                </pic:spPr>
              </pic:pic>
            </a:graphicData>
          </a:graphic>
        </wp:anchor>
      </w:drawing>
    </w:r>
  </w:p>
  <w:p w:rsidR="00ED4294" w:rsidRDefault="00A751BB">
    <w:pPr>
      <w:spacing w:after="0"/>
    </w:pPr>
    <w:r>
      <w:rPr>
        <w:sz w:val="18"/>
        <w:szCs w:val="18"/>
      </w:rPr>
      <w:t xml:space="preserve">E &amp; OE. </w:t>
    </w:r>
  </w:p>
  <w:p w:rsidR="00ED4294" w:rsidRDefault="00ED4294">
    <w:pPr>
      <w:spacing w:after="0"/>
    </w:pPr>
  </w:p>
  <w:p w:rsidR="00ED4294" w:rsidRDefault="00A751BB">
    <w:pPr>
      <w:spacing w:after="708"/>
    </w:pPr>
    <w:r>
      <w:rPr>
        <w:b/>
        <w:sz w:val="18"/>
        <w:szCs w:val="18"/>
      </w:rPr>
      <w:t>Contact:</w:t>
    </w:r>
    <w:r>
      <w:rPr>
        <w:b/>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3E" w:rsidRDefault="00417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6D3" w:rsidRDefault="00DF26D3">
      <w:pPr>
        <w:spacing w:after="0" w:line="240" w:lineRule="auto"/>
      </w:pPr>
      <w:r>
        <w:separator/>
      </w:r>
    </w:p>
  </w:footnote>
  <w:footnote w:type="continuationSeparator" w:id="0">
    <w:p w:rsidR="00DF26D3" w:rsidRDefault="00DF2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3E" w:rsidRDefault="00417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94" w:rsidRDefault="00A751BB">
    <w:pPr>
      <w:spacing w:before="708" w:after="0"/>
    </w:pPr>
    <w:r>
      <w:rPr>
        <w:b/>
        <w:sz w:val="28"/>
        <w:szCs w:val="28"/>
      </w:rPr>
      <w:t>Fibre Broadband Pricing</w:t>
    </w:r>
    <w:r>
      <w:rPr>
        <w:noProof/>
      </w:rPr>
      <w:drawing>
        <wp:anchor distT="0" distB="0" distL="114300" distR="114300" simplePos="0" relativeHeight="251658240" behindDoc="0" locked="0" layoutInCell="0" hidden="0" allowOverlap="0">
          <wp:simplePos x="0" y="0"/>
          <wp:positionH relativeFrom="margin">
            <wp:posOffset>0</wp:posOffset>
          </wp:positionH>
          <wp:positionV relativeFrom="paragraph">
            <wp:posOffset>228600</wp:posOffset>
          </wp:positionV>
          <wp:extent cx="5689600" cy="12700"/>
          <wp:effectExtent l="0" t="0" r="0" b="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5689600" cy="12700"/>
                  </a:xfrm>
                  <a:prstGeom prst="rect">
                    <a:avLst/>
                  </a:prstGeom>
                  <a:ln/>
                </pic:spPr>
              </pic:pic>
            </a:graphicData>
          </a:graphic>
        </wp:anchor>
      </w:drawing>
    </w:r>
  </w:p>
  <w:p w:rsidR="00ED4294" w:rsidRDefault="00ED4294">
    <w:pP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3E" w:rsidRDefault="00417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94"/>
    <w:rsid w:val="0041773E"/>
    <w:rsid w:val="0076737B"/>
    <w:rsid w:val="00A751BB"/>
    <w:rsid w:val="00D667F1"/>
    <w:rsid w:val="00DF26D3"/>
    <w:rsid w:val="00ED4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BalloonText">
    <w:name w:val="Balloon Text"/>
    <w:basedOn w:val="Normal"/>
    <w:link w:val="BalloonTextChar"/>
    <w:uiPriority w:val="99"/>
    <w:semiHidden/>
    <w:unhideWhenUsed/>
    <w:rsid w:val="00767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7B"/>
    <w:rPr>
      <w:rFonts w:ascii="Segoe UI" w:hAnsi="Segoe UI" w:cs="Segoe UI"/>
      <w:sz w:val="18"/>
      <w:szCs w:val="18"/>
    </w:rPr>
  </w:style>
  <w:style w:type="paragraph" w:styleId="Header">
    <w:name w:val="header"/>
    <w:basedOn w:val="Normal"/>
    <w:link w:val="HeaderChar"/>
    <w:uiPriority w:val="99"/>
    <w:unhideWhenUsed/>
    <w:rsid w:val="00417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73E"/>
  </w:style>
  <w:style w:type="paragraph" w:styleId="Footer">
    <w:name w:val="footer"/>
    <w:basedOn w:val="Normal"/>
    <w:link w:val="FooterChar"/>
    <w:uiPriority w:val="99"/>
    <w:unhideWhenUsed/>
    <w:rsid w:val="00417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2016-02-22T09:57:00Z</dcterms:created>
  <dcterms:modified xsi:type="dcterms:W3CDTF">2016-02-22T09:57:00Z</dcterms:modified>
</cp:coreProperties>
</file>