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719" w:rsidRDefault="000D4275" w:rsidP="000D4275">
      <w:pPr>
        <w:jc w:val="center"/>
        <w:rPr>
          <w:rFonts w:ascii="Tahoma" w:hAnsi="Tahoma" w:cs="Tahoma"/>
          <w:b/>
          <w:sz w:val="56"/>
          <w:szCs w:val="56"/>
        </w:rPr>
      </w:pPr>
      <w:r>
        <w:rPr>
          <w:rFonts w:ascii="Tahoma" w:hAnsi="Tahoma" w:cs="Tahoma"/>
          <w:b/>
          <w:sz w:val="56"/>
          <w:szCs w:val="56"/>
        </w:rPr>
        <w:t>Exposition</w:t>
      </w:r>
    </w:p>
    <w:p w:rsidR="000D4275" w:rsidRPr="000C5468" w:rsidRDefault="000D4275" w:rsidP="000C5468">
      <w:pPr>
        <w:pStyle w:val="NoSpacing"/>
        <w:jc w:val="center"/>
        <w:rPr>
          <w:rFonts w:ascii="Tahoma" w:hAnsi="Tahoma" w:cs="Tahoma"/>
          <w:sz w:val="24"/>
          <w:szCs w:val="24"/>
        </w:rPr>
      </w:pPr>
      <w:r w:rsidRPr="000C5468">
        <w:rPr>
          <w:rFonts w:ascii="Tahoma" w:hAnsi="Tahoma" w:cs="Tahoma"/>
          <w:sz w:val="24"/>
          <w:szCs w:val="24"/>
        </w:rPr>
        <w:t>5:30 pm – 8:00 pm Wednesday November 4</w:t>
      </w:r>
    </w:p>
    <w:p w:rsidR="000D4275" w:rsidRPr="000C5468" w:rsidRDefault="000D4275" w:rsidP="000C5468">
      <w:pPr>
        <w:pStyle w:val="NoSpacing"/>
        <w:jc w:val="center"/>
        <w:rPr>
          <w:rFonts w:ascii="Tahoma" w:hAnsi="Tahoma" w:cs="Tahoma"/>
          <w:sz w:val="24"/>
          <w:szCs w:val="24"/>
        </w:rPr>
      </w:pPr>
      <w:r w:rsidRPr="000C5468">
        <w:rPr>
          <w:rFonts w:ascii="Tahoma" w:hAnsi="Tahoma" w:cs="Tahoma"/>
          <w:sz w:val="24"/>
          <w:szCs w:val="24"/>
        </w:rPr>
        <w:t>9:00 am – 6:00 pm Thursday November 5</w:t>
      </w:r>
    </w:p>
    <w:p w:rsidR="001B40B8" w:rsidRPr="000C5468" w:rsidRDefault="000D4275" w:rsidP="000C5468">
      <w:pPr>
        <w:pStyle w:val="NoSpacing"/>
        <w:jc w:val="center"/>
        <w:rPr>
          <w:rFonts w:ascii="Tahoma" w:hAnsi="Tahoma" w:cs="Tahoma"/>
          <w:sz w:val="24"/>
          <w:szCs w:val="24"/>
        </w:rPr>
      </w:pPr>
      <w:r w:rsidRPr="000C5468">
        <w:rPr>
          <w:rFonts w:ascii="Tahoma" w:hAnsi="Tahoma" w:cs="Tahoma"/>
          <w:sz w:val="24"/>
          <w:szCs w:val="24"/>
        </w:rPr>
        <w:t>10:30 am – 4:</w:t>
      </w:r>
      <w:r w:rsidR="001B40B8" w:rsidRPr="000C5468">
        <w:rPr>
          <w:rFonts w:ascii="Tahoma" w:hAnsi="Tahoma" w:cs="Tahoma"/>
          <w:sz w:val="24"/>
          <w:szCs w:val="24"/>
        </w:rPr>
        <w:t>00 pm Friday November</w:t>
      </w:r>
    </w:p>
    <w:p w:rsidR="001B40B8" w:rsidRPr="000C5468" w:rsidRDefault="001B40B8" w:rsidP="000C5468">
      <w:pPr>
        <w:pStyle w:val="NoSpacing"/>
        <w:jc w:val="center"/>
        <w:rPr>
          <w:rFonts w:ascii="Tahoma" w:hAnsi="Tahoma" w:cs="Tahoma"/>
          <w:sz w:val="24"/>
          <w:szCs w:val="24"/>
        </w:rPr>
      </w:pPr>
    </w:p>
    <w:p w:rsidR="000D4275" w:rsidRPr="000C5468" w:rsidRDefault="000D4275" w:rsidP="000C5468">
      <w:pPr>
        <w:pStyle w:val="NoSpacing"/>
        <w:jc w:val="center"/>
        <w:rPr>
          <w:rFonts w:ascii="Tahoma" w:hAnsi="Tahoma" w:cs="Tahoma"/>
          <w:sz w:val="24"/>
          <w:szCs w:val="24"/>
        </w:rPr>
      </w:pPr>
      <w:r w:rsidRPr="000C5468">
        <w:rPr>
          <w:rFonts w:ascii="Tahoma" w:hAnsi="Tahoma" w:cs="Tahoma"/>
          <w:sz w:val="24"/>
          <w:szCs w:val="24"/>
        </w:rPr>
        <w:t xml:space="preserve">West Mezzanine - Cotton Row </w:t>
      </w:r>
      <w:r w:rsidR="001B40B8" w:rsidRPr="000C5468">
        <w:rPr>
          <w:rFonts w:ascii="Tahoma" w:hAnsi="Tahoma" w:cs="Tahoma"/>
          <w:sz w:val="24"/>
          <w:szCs w:val="24"/>
        </w:rPr>
        <w:t>–</w:t>
      </w:r>
      <w:r w:rsidRPr="000C5468">
        <w:rPr>
          <w:rFonts w:ascii="Tahoma" w:hAnsi="Tahoma" w:cs="Tahoma"/>
          <w:sz w:val="24"/>
          <w:szCs w:val="24"/>
        </w:rPr>
        <w:t xml:space="preserve"> Steamboat</w:t>
      </w:r>
    </w:p>
    <w:p w:rsidR="000C5468" w:rsidRDefault="000C5468" w:rsidP="000D4275">
      <w:pPr>
        <w:pStyle w:val="NoSpacing"/>
        <w:rPr>
          <w:rFonts w:ascii="Tahoma" w:hAnsi="Tahoma" w:cs="Tahoma"/>
          <w:sz w:val="32"/>
          <w:szCs w:val="32"/>
        </w:rPr>
      </w:pPr>
    </w:p>
    <w:p w:rsidR="000C5468" w:rsidRPr="000C5468" w:rsidRDefault="000C5468" w:rsidP="000C5468">
      <w:pPr>
        <w:jc w:val="center"/>
        <w:rPr>
          <w:rFonts w:ascii="Tahoma" w:hAnsi="Tahoma" w:cs="Tahoma"/>
          <w:sz w:val="24"/>
          <w:szCs w:val="24"/>
        </w:rPr>
      </w:pPr>
      <w:r w:rsidRPr="000C5468">
        <w:rPr>
          <w:rFonts w:ascii="Tahoma" w:hAnsi="Tahoma" w:cs="Tahoma"/>
          <w:sz w:val="24"/>
          <w:szCs w:val="24"/>
        </w:rPr>
        <w:t>Be sure to complete your scavenger hunt card and turn in at the Registration Desk.</w:t>
      </w:r>
    </w:p>
    <w:p w:rsidR="000C5468" w:rsidRPr="000C5468" w:rsidRDefault="000C5468" w:rsidP="000C5468">
      <w:pPr>
        <w:jc w:val="center"/>
        <w:rPr>
          <w:rFonts w:ascii="Tahoma" w:hAnsi="Tahoma" w:cs="Tahoma"/>
          <w:sz w:val="24"/>
          <w:szCs w:val="24"/>
        </w:rPr>
      </w:pPr>
      <w:r w:rsidRPr="000C5468">
        <w:rPr>
          <w:rFonts w:asciiTheme="majorHAnsi" w:hAnsiTheme="majorHAnsi"/>
          <w:b/>
          <w:noProof/>
          <w:sz w:val="24"/>
        </w:rPr>
        <w:drawing>
          <wp:anchor distT="0" distB="0" distL="114300" distR="114300" simplePos="0" relativeHeight="251659264" behindDoc="0" locked="0" layoutInCell="1" allowOverlap="1" wp14:anchorId="2375F4F6" wp14:editId="7F4348FF">
            <wp:simplePos x="0" y="0"/>
            <wp:positionH relativeFrom="margin">
              <wp:posOffset>951865</wp:posOffset>
            </wp:positionH>
            <wp:positionV relativeFrom="margin">
              <wp:posOffset>2143125</wp:posOffset>
            </wp:positionV>
            <wp:extent cx="3740785" cy="62007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46236" t="8117" r="34325" b="16558"/>
                    <a:stretch>
                      <a:fillRect/>
                    </a:stretch>
                  </pic:blipFill>
                  <pic:spPr bwMode="auto">
                    <a:xfrm>
                      <a:off x="0" y="0"/>
                      <a:ext cx="3740785" cy="6200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0C5468" w:rsidRPr="000C5468" w:rsidRDefault="000C5468" w:rsidP="000C5468">
      <w:pPr>
        <w:jc w:val="center"/>
        <w:rPr>
          <w:rFonts w:ascii="Tahoma" w:hAnsi="Tahoma" w:cs="Tahoma"/>
          <w:sz w:val="24"/>
          <w:szCs w:val="24"/>
        </w:rPr>
      </w:pPr>
    </w:p>
    <w:p w:rsidR="001B40B8" w:rsidRDefault="001B40B8" w:rsidP="000D4275">
      <w:pPr>
        <w:pStyle w:val="NoSpacing"/>
        <w:rPr>
          <w:rFonts w:ascii="Tahoma" w:hAnsi="Tahoma" w:cs="Tahoma"/>
          <w:b/>
          <w:sz w:val="36"/>
          <w:szCs w:val="36"/>
        </w:rPr>
      </w:pPr>
      <w:r>
        <w:rPr>
          <w:rFonts w:ascii="Tahoma" w:hAnsi="Tahoma" w:cs="Tahoma"/>
          <w:b/>
          <w:sz w:val="36"/>
          <w:szCs w:val="36"/>
        </w:rPr>
        <w:lastRenderedPageBreak/>
        <w:t xml:space="preserve">      </w:t>
      </w:r>
      <w:r w:rsidRPr="001B40B8">
        <w:rPr>
          <w:rFonts w:ascii="Tahoma" w:hAnsi="Tahoma" w:cs="Tahoma"/>
          <w:b/>
          <w:sz w:val="36"/>
          <w:szCs w:val="36"/>
        </w:rPr>
        <w:t>Alphabetical Listing of Exposition Exhibitors</w:t>
      </w:r>
    </w:p>
    <w:p w:rsidR="001B40B8" w:rsidRDefault="001B40B8" w:rsidP="000D4275">
      <w:pPr>
        <w:pStyle w:val="NoSpacing"/>
        <w:rPr>
          <w:rFonts w:ascii="Tahoma" w:hAnsi="Tahoma" w:cs="Tahoma"/>
          <w:b/>
          <w:sz w:val="20"/>
          <w:szCs w:val="20"/>
        </w:rPr>
      </w:pPr>
    </w:p>
    <w:p w:rsidR="00FE5027" w:rsidRDefault="00FE5027" w:rsidP="000D4275">
      <w:pPr>
        <w:pStyle w:val="NoSpacing"/>
        <w:rPr>
          <w:rFonts w:ascii="Tahoma" w:hAnsi="Tahoma" w:cs="Tahoma"/>
          <w:b/>
          <w:sz w:val="20"/>
          <w:szCs w:val="20"/>
        </w:rPr>
      </w:pPr>
    </w:p>
    <w:p w:rsidR="000402B1" w:rsidRDefault="00A767DD" w:rsidP="000D4275">
      <w:pPr>
        <w:pStyle w:val="NoSpacing"/>
        <w:rPr>
          <w:rFonts w:ascii="Tahoma" w:hAnsi="Tahoma" w:cs="Tahoma"/>
          <w:sz w:val="24"/>
          <w:szCs w:val="24"/>
        </w:rPr>
      </w:pPr>
      <w:r>
        <w:rPr>
          <w:rFonts w:ascii="Tahoma" w:hAnsi="Tahoma" w:cs="Tahoma"/>
          <w:sz w:val="24"/>
          <w:szCs w:val="24"/>
        </w:rPr>
        <w:t>ACS Ambassador Challenge Game – Booth 14 and 15</w:t>
      </w:r>
    </w:p>
    <w:p w:rsidR="00A767DD" w:rsidRDefault="00A767DD" w:rsidP="000D4275">
      <w:pPr>
        <w:pStyle w:val="NoSpacing"/>
        <w:rPr>
          <w:rFonts w:ascii="Tahoma" w:hAnsi="Tahoma" w:cs="Tahoma"/>
          <w:sz w:val="24"/>
          <w:szCs w:val="24"/>
        </w:rPr>
      </w:pPr>
    </w:p>
    <w:p w:rsidR="000402B1" w:rsidRDefault="000402B1" w:rsidP="00FD0838">
      <w:pPr>
        <w:pStyle w:val="NoSpacing"/>
      </w:pPr>
      <w:r w:rsidRPr="000402B1">
        <w:t>Welcome to the beta-test of the ACS Ambassador Challenge Game! This is a fun way to be a Chemistry Ambassador--do outreach, connect chemistry with the public--and earn points, badges and recognition for making a difference!  The top ten point-getters as of Dec. 14, 2015, will each earn $50 gift cards. Also practice Speaking Simply about your research and earn points on the spot!</w:t>
      </w:r>
    </w:p>
    <w:p w:rsidR="00FD0838" w:rsidRPr="000402B1" w:rsidRDefault="00FD0838" w:rsidP="00FD0838">
      <w:pPr>
        <w:pStyle w:val="NoSpacing"/>
      </w:pPr>
    </w:p>
    <w:p w:rsidR="002434F5" w:rsidRDefault="002434F5" w:rsidP="000D4275">
      <w:pPr>
        <w:pStyle w:val="NoSpacing"/>
        <w:rPr>
          <w:rFonts w:ascii="Tahoma" w:hAnsi="Tahoma" w:cs="Tahoma"/>
          <w:sz w:val="24"/>
          <w:szCs w:val="24"/>
        </w:rPr>
      </w:pPr>
      <w:r>
        <w:rPr>
          <w:rFonts w:ascii="Tahoma" w:hAnsi="Tahoma" w:cs="Tahoma"/>
          <w:sz w:val="24"/>
          <w:szCs w:val="24"/>
        </w:rPr>
        <w:t>ACS – Undergraduate Programs – Booth 3</w:t>
      </w:r>
    </w:p>
    <w:p w:rsidR="002434F5" w:rsidRDefault="002434F5" w:rsidP="000D4275">
      <w:pPr>
        <w:pStyle w:val="NoSpacing"/>
        <w:rPr>
          <w:rFonts w:ascii="Tahoma" w:hAnsi="Tahoma" w:cs="Tahoma"/>
          <w:sz w:val="24"/>
          <w:szCs w:val="24"/>
        </w:rPr>
      </w:pPr>
    </w:p>
    <w:p w:rsidR="002434F5" w:rsidRDefault="002434F5" w:rsidP="000D4275">
      <w:pPr>
        <w:pStyle w:val="NoSpacing"/>
        <w:rPr>
          <w:rFonts w:ascii="Tahoma" w:hAnsi="Tahoma" w:cs="Tahoma"/>
          <w:sz w:val="24"/>
          <w:szCs w:val="24"/>
        </w:rPr>
      </w:pPr>
      <w:proofErr w:type="spellStart"/>
      <w:r>
        <w:rPr>
          <w:rFonts w:ascii="Tahoma" w:hAnsi="Tahoma" w:cs="Tahoma"/>
          <w:sz w:val="24"/>
          <w:szCs w:val="24"/>
        </w:rPr>
        <w:t>Advion</w:t>
      </w:r>
      <w:proofErr w:type="spellEnd"/>
      <w:r>
        <w:rPr>
          <w:rFonts w:ascii="Tahoma" w:hAnsi="Tahoma" w:cs="Tahoma"/>
          <w:sz w:val="24"/>
          <w:szCs w:val="24"/>
        </w:rPr>
        <w:t xml:space="preserve"> – Booth 18</w:t>
      </w:r>
    </w:p>
    <w:p w:rsidR="002434F5" w:rsidRDefault="002434F5" w:rsidP="000D4275">
      <w:pPr>
        <w:pStyle w:val="NoSpacing"/>
        <w:rPr>
          <w:rFonts w:ascii="Tahoma" w:hAnsi="Tahoma" w:cs="Tahoma"/>
          <w:sz w:val="24"/>
          <w:szCs w:val="24"/>
        </w:rPr>
      </w:pPr>
    </w:p>
    <w:p w:rsidR="00FE5027" w:rsidRDefault="00FE5027" w:rsidP="000D4275">
      <w:pPr>
        <w:pStyle w:val="NoSpacing"/>
        <w:rPr>
          <w:rFonts w:ascii="Tahoma" w:hAnsi="Tahoma" w:cs="Tahoma"/>
          <w:sz w:val="24"/>
          <w:szCs w:val="24"/>
        </w:rPr>
      </w:pPr>
      <w:r>
        <w:rPr>
          <w:rFonts w:ascii="Tahoma" w:hAnsi="Tahoma" w:cs="Tahoma"/>
          <w:sz w:val="24"/>
          <w:szCs w:val="24"/>
        </w:rPr>
        <w:t xml:space="preserve">Anasazi </w:t>
      </w:r>
      <w:r w:rsidR="00DF17C4">
        <w:rPr>
          <w:rFonts w:ascii="Tahoma" w:hAnsi="Tahoma" w:cs="Tahoma"/>
          <w:sz w:val="24"/>
          <w:szCs w:val="24"/>
        </w:rPr>
        <w:t xml:space="preserve">Instruments, Inc. </w:t>
      </w:r>
      <w:r>
        <w:rPr>
          <w:rFonts w:ascii="Tahoma" w:hAnsi="Tahoma" w:cs="Tahoma"/>
          <w:sz w:val="24"/>
          <w:szCs w:val="24"/>
        </w:rPr>
        <w:t xml:space="preserve">– </w:t>
      </w:r>
      <w:r w:rsidR="000402B1">
        <w:rPr>
          <w:rFonts w:ascii="Tahoma" w:hAnsi="Tahoma" w:cs="Tahoma"/>
          <w:sz w:val="24"/>
          <w:szCs w:val="24"/>
        </w:rPr>
        <w:t>B</w:t>
      </w:r>
      <w:r>
        <w:rPr>
          <w:rFonts w:ascii="Tahoma" w:hAnsi="Tahoma" w:cs="Tahoma"/>
          <w:sz w:val="24"/>
          <w:szCs w:val="24"/>
        </w:rPr>
        <w:t>ooth 21</w:t>
      </w:r>
    </w:p>
    <w:p w:rsidR="00FD0838" w:rsidRDefault="00FD0838" w:rsidP="000D4275">
      <w:pPr>
        <w:pStyle w:val="NoSpacing"/>
        <w:rPr>
          <w:rFonts w:ascii="Tahoma" w:hAnsi="Tahoma" w:cs="Tahoma"/>
          <w:sz w:val="24"/>
          <w:szCs w:val="24"/>
        </w:rPr>
      </w:pPr>
    </w:p>
    <w:p w:rsidR="00FD0838" w:rsidRDefault="00FD0838" w:rsidP="00FD0838">
      <w:pPr>
        <w:pStyle w:val="NoSpacing"/>
      </w:pPr>
      <w:r>
        <w:t>The market leader in permanent magnet NMR instruments with</w:t>
      </w:r>
      <w:proofErr w:type="gramStart"/>
      <w:r>
        <w:t>  over</w:t>
      </w:r>
      <w:proofErr w:type="gramEnd"/>
      <w:r>
        <w:t xml:space="preserve"> 700 installations.</w:t>
      </w:r>
    </w:p>
    <w:p w:rsidR="00FD0838" w:rsidRDefault="00FD0838" w:rsidP="00FD0838">
      <w:pPr>
        <w:pStyle w:val="NoSpacing"/>
      </w:pPr>
      <w:r>
        <w:t>The EFT spectrometer offers the highest sensitivity and resolution of any 60 or 90 MHz NMR instrument.</w:t>
      </w:r>
    </w:p>
    <w:p w:rsidR="00FD0838" w:rsidRDefault="00FD0838" w:rsidP="00FD0838">
      <w:pPr>
        <w:pStyle w:val="NoSpacing"/>
      </w:pPr>
      <w:r>
        <w:t xml:space="preserve">The EFT spectrometer has the widest range of experiments for 1H, 13C, and </w:t>
      </w:r>
    </w:p>
    <w:p w:rsidR="00FD0838" w:rsidRDefault="00FD0838" w:rsidP="00FD0838">
      <w:pPr>
        <w:pStyle w:val="NoSpacing"/>
      </w:pPr>
      <w:proofErr w:type="gramStart"/>
      <w:r>
        <w:t>multiple</w:t>
      </w:r>
      <w:proofErr w:type="gramEnd"/>
      <w:r>
        <w:t xml:space="preserve"> nuclei (19F, 31P, 11B, 29Si and more) in a single instrument.</w:t>
      </w:r>
    </w:p>
    <w:p w:rsidR="00FE5027" w:rsidRDefault="00FE5027" w:rsidP="000D4275">
      <w:pPr>
        <w:pStyle w:val="NoSpacing"/>
        <w:rPr>
          <w:rFonts w:ascii="Tahoma" w:hAnsi="Tahoma" w:cs="Tahoma"/>
          <w:sz w:val="24"/>
          <w:szCs w:val="24"/>
        </w:rPr>
      </w:pPr>
    </w:p>
    <w:p w:rsidR="00FE5027" w:rsidRDefault="00FE5027" w:rsidP="000D4275">
      <w:pPr>
        <w:pStyle w:val="NoSpacing"/>
        <w:rPr>
          <w:rFonts w:ascii="Tahoma" w:hAnsi="Tahoma" w:cs="Tahoma"/>
          <w:sz w:val="24"/>
          <w:szCs w:val="24"/>
        </w:rPr>
      </w:pPr>
      <w:proofErr w:type="spellStart"/>
      <w:r>
        <w:rPr>
          <w:rFonts w:ascii="Tahoma" w:hAnsi="Tahoma" w:cs="Tahoma"/>
          <w:sz w:val="24"/>
          <w:szCs w:val="24"/>
        </w:rPr>
        <w:t>Biotage</w:t>
      </w:r>
      <w:proofErr w:type="spellEnd"/>
      <w:r>
        <w:rPr>
          <w:rFonts w:ascii="Tahoma" w:hAnsi="Tahoma" w:cs="Tahoma"/>
          <w:sz w:val="24"/>
          <w:szCs w:val="24"/>
        </w:rPr>
        <w:t xml:space="preserve"> – Booth 16</w:t>
      </w:r>
    </w:p>
    <w:p w:rsidR="00A767DD" w:rsidRDefault="00A767DD" w:rsidP="000D4275">
      <w:pPr>
        <w:pStyle w:val="NoSpacing"/>
        <w:rPr>
          <w:rFonts w:ascii="Tahoma" w:hAnsi="Tahoma" w:cs="Tahoma"/>
          <w:sz w:val="24"/>
          <w:szCs w:val="24"/>
        </w:rPr>
      </w:pPr>
    </w:p>
    <w:p w:rsidR="00A767DD" w:rsidRPr="00B87E7E" w:rsidRDefault="00B87E7E" w:rsidP="000D4275">
      <w:pPr>
        <w:pStyle w:val="NoSpacing"/>
        <w:rPr>
          <w:rFonts w:cs="Tahoma"/>
        </w:rPr>
      </w:pPr>
      <w:proofErr w:type="spellStart"/>
      <w:r w:rsidRPr="00B87E7E">
        <w:rPr>
          <w:rFonts w:cs="Tahoma"/>
        </w:rPr>
        <w:t>Biotage</w:t>
      </w:r>
      <w:proofErr w:type="spellEnd"/>
      <w:r w:rsidRPr="00B87E7E">
        <w:rPr>
          <w:rFonts w:cs="Tahoma"/>
        </w:rPr>
        <w:t xml:space="preserve"> is a leading provider of Instruments and Consumables for use in Analytical Testing, Medicinal Chemistry, Organic Chemistry, and Peptide Synthesis. </w:t>
      </w:r>
    </w:p>
    <w:p w:rsidR="00FE5027" w:rsidRDefault="00FE5027" w:rsidP="000D4275">
      <w:pPr>
        <w:pStyle w:val="NoSpacing"/>
        <w:rPr>
          <w:rFonts w:ascii="Tahoma" w:hAnsi="Tahoma" w:cs="Tahoma"/>
          <w:sz w:val="24"/>
          <w:szCs w:val="24"/>
        </w:rPr>
      </w:pPr>
    </w:p>
    <w:p w:rsidR="00FE5027" w:rsidRDefault="00FE5027" w:rsidP="000D4275">
      <w:pPr>
        <w:pStyle w:val="NoSpacing"/>
        <w:rPr>
          <w:rFonts w:ascii="Tahoma" w:hAnsi="Tahoma" w:cs="Tahoma"/>
          <w:sz w:val="24"/>
          <w:szCs w:val="24"/>
        </w:rPr>
      </w:pPr>
      <w:r>
        <w:rPr>
          <w:rFonts w:ascii="Tahoma" w:hAnsi="Tahoma" w:cs="Tahoma"/>
          <w:sz w:val="24"/>
          <w:szCs w:val="24"/>
        </w:rPr>
        <w:t>Bruker Corporation – Booth 36</w:t>
      </w:r>
    </w:p>
    <w:p w:rsidR="00FE5027" w:rsidRDefault="00FE5027" w:rsidP="000D4275">
      <w:pPr>
        <w:pStyle w:val="NoSpacing"/>
        <w:rPr>
          <w:rFonts w:ascii="Tahoma" w:hAnsi="Tahoma" w:cs="Tahoma"/>
          <w:sz w:val="24"/>
          <w:szCs w:val="24"/>
        </w:rPr>
      </w:pPr>
    </w:p>
    <w:p w:rsidR="00A024CB" w:rsidRDefault="00A024CB" w:rsidP="00FD0838">
      <w:pPr>
        <w:pStyle w:val="NoSpacing"/>
      </w:pPr>
      <w:r>
        <w:t xml:space="preserve">Bruker designs and manufactures analytical instrumentation for elemental analysis, materials research, structural and surface investigations.  Bruker’s range of technologies contains XRD, SAXS, SC-XRD, X-ray Micro-CT, XRF, Micro-XRF, TXRF, FT-IR, NMR, and mass spectrometry.  The Bruker portfolio also includes compact, powerful, robust, yet east-to-use instrumentation specially developed for scientific education purposes.  These instruments are ideal for use by both students and experts in an academic setting.  Bruker is strongly committed to fully meet customers’ needs and continue to develop innovative solutions for today’s analytical questions. </w:t>
      </w:r>
      <w:hyperlink r:id="rId6" w:history="1">
        <w:r>
          <w:rPr>
            <w:rStyle w:val="Hyperlink"/>
          </w:rPr>
          <w:t>www.bruker.com</w:t>
        </w:r>
      </w:hyperlink>
      <w:r>
        <w:t xml:space="preserve"> </w:t>
      </w:r>
    </w:p>
    <w:p w:rsidR="00FD0838" w:rsidRDefault="00FD0838" w:rsidP="00FD0838">
      <w:pPr>
        <w:pStyle w:val="NoSpacing"/>
        <w:rPr>
          <w:rFonts w:ascii="Times New Roman" w:hAnsi="Times New Roman"/>
          <w:sz w:val="24"/>
          <w:szCs w:val="24"/>
        </w:rPr>
      </w:pPr>
    </w:p>
    <w:p w:rsidR="00FE5027" w:rsidRDefault="00FE5027" w:rsidP="000D4275">
      <w:pPr>
        <w:pStyle w:val="NoSpacing"/>
        <w:rPr>
          <w:rFonts w:ascii="Tahoma" w:hAnsi="Tahoma" w:cs="Tahoma"/>
          <w:sz w:val="24"/>
          <w:szCs w:val="24"/>
        </w:rPr>
      </w:pPr>
      <w:r>
        <w:rPr>
          <w:rFonts w:ascii="Tahoma" w:hAnsi="Tahoma" w:cs="Tahoma"/>
          <w:sz w:val="24"/>
          <w:szCs w:val="24"/>
        </w:rPr>
        <w:t xml:space="preserve">Bruker </w:t>
      </w:r>
      <w:r w:rsidR="000A0C5F">
        <w:rPr>
          <w:rFonts w:ascii="Tahoma" w:hAnsi="Tahoma" w:cs="Tahoma"/>
          <w:sz w:val="24"/>
          <w:szCs w:val="24"/>
        </w:rPr>
        <w:t>Corporation</w:t>
      </w:r>
      <w:r>
        <w:rPr>
          <w:rFonts w:ascii="Tahoma" w:hAnsi="Tahoma" w:cs="Tahoma"/>
          <w:sz w:val="24"/>
          <w:szCs w:val="24"/>
        </w:rPr>
        <w:t xml:space="preserve"> – Booth 35</w:t>
      </w:r>
    </w:p>
    <w:p w:rsidR="00FE5027" w:rsidRDefault="00FE5027" w:rsidP="000D4275">
      <w:pPr>
        <w:pStyle w:val="NoSpacing"/>
        <w:rPr>
          <w:rFonts w:ascii="Tahoma" w:hAnsi="Tahoma" w:cs="Tahoma"/>
          <w:sz w:val="24"/>
          <w:szCs w:val="24"/>
        </w:rPr>
      </w:pPr>
    </w:p>
    <w:p w:rsidR="00A024CB" w:rsidRDefault="00A024CB" w:rsidP="00FD0838">
      <w:pPr>
        <w:pStyle w:val="NoSpacing"/>
      </w:pPr>
      <w:r>
        <w:t xml:space="preserve">Bruker designs and manufactures analytical instrumentation for elemental analysis, materials research, structural and surface investigations.  Bruker’s range of technologies contains XRD, SAXS, SC-XRD, X-ray Micro-CT, XRF, Micro-XRF, TXRF, FT-IR, NMR, and mass spectrometry.  The Bruker portfolio also includes compact, powerful, robust, yet east-to-use instrumentation specially developed for scientific education purposes.  These instruments are ideal for use by both students and experts in an academic setting.  Bruker is strongly committed to fully meet customers’ needs and continue to develop innovative solutions for today’s analytical questions. </w:t>
      </w:r>
      <w:hyperlink r:id="rId7" w:history="1">
        <w:r>
          <w:rPr>
            <w:rStyle w:val="Hyperlink"/>
          </w:rPr>
          <w:t>www.bruker.com</w:t>
        </w:r>
      </w:hyperlink>
      <w:r>
        <w:t xml:space="preserve"> </w:t>
      </w:r>
    </w:p>
    <w:p w:rsidR="00FD0838" w:rsidRDefault="00FD0838" w:rsidP="00FD0838">
      <w:pPr>
        <w:pStyle w:val="NoSpacing"/>
        <w:rPr>
          <w:rFonts w:ascii="Times New Roman" w:hAnsi="Times New Roman"/>
          <w:sz w:val="24"/>
          <w:szCs w:val="24"/>
        </w:rPr>
      </w:pPr>
    </w:p>
    <w:p w:rsidR="00FE5027" w:rsidRDefault="00A024CB" w:rsidP="000D4275">
      <w:pPr>
        <w:pStyle w:val="NoSpacing"/>
        <w:rPr>
          <w:rFonts w:ascii="Tahoma" w:hAnsi="Tahoma" w:cs="Tahoma"/>
          <w:sz w:val="24"/>
          <w:szCs w:val="24"/>
        </w:rPr>
      </w:pPr>
      <w:r>
        <w:rPr>
          <w:rFonts w:ascii="Tahoma" w:hAnsi="Tahoma" w:cs="Tahoma"/>
          <w:sz w:val="24"/>
          <w:szCs w:val="24"/>
        </w:rPr>
        <w:t>C</w:t>
      </w:r>
      <w:r w:rsidR="000C5468">
        <w:rPr>
          <w:rFonts w:ascii="Tahoma" w:hAnsi="Tahoma" w:cs="Tahoma"/>
          <w:sz w:val="24"/>
          <w:szCs w:val="24"/>
        </w:rPr>
        <w:t>hemical Abstract</w:t>
      </w:r>
      <w:r w:rsidR="000A0C5F">
        <w:rPr>
          <w:rFonts w:ascii="Tahoma" w:hAnsi="Tahoma" w:cs="Tahoma"/>
          <w:sz w:val="24"/>
          <w:szCs w:val="24"/>
        </w:rPr>
        <w:t>s</w:t>
      </w:r>
      <w:r w:rsidR="000C5468">
        <w:rPr>
          <w:rFonts w:ascii="Tahoma" w:hAnsi="Tahoma" w:cs="Tahoma"/>
          <w:sz w:val="24"/>
          <w:szCs w:val="24"/>
        </w:rPr>
        <w:t xml:space="preserve"> Service (</w:t>
      </w:r>
      <w:r w:rsidR="00FE5027">
        <w:rPr>
          <w:rFonts w:ascii="Tahoma" w:hAnsi="Tahoma" w:cs="Tahoma"/>
          <w:sz w:val="24"/>
          <w:szCs w:val="24"/>
        </w:rPr>
        <w:t>CAS</w:t>
      </w:r>
      <w:r w:rsidR="000C5468">
        <w:rPr>
          <w:rFonts w:ascii="Tahoma" w:hAnsi="Tahoma" w:cs="Tahoma"/>
          <w:sz w:val="24"/>
          <w:szCs w:val="24"/>
        </w:rPr>
        <w:t>)</w:t>
      </w:r>
      <w:r w:rsidR="00FE5027">
        <w:rPr>
          <w:rFonts w:ascii="Tahoma" w:hAnsi="Tahoma" w:cs="Tahoma"/>
          <w:sz w:val="24"/>
          <w:szCs w:val="24"/>
        </w:rPr>
        <w:t xml:space="preserve"> – Booth 33</w:t>
      </w:r>
    </w:p>
    <w:p w:rsidR="00FE5027" w:rsidRDefault="00FE5027" w:rsidP="000D4275">
      <w:pPr>
        <w:pStyle w:val="NoSpacing"/>
        <w:rPr>
          <w:rFonts w:ascii="Tahoma" w:hAnsi="Tahoma" w:cs="Tahoma"/>
          <w:sz w:val="24"/>
          <w:szCs w:val="24"/>
        </w:rPr>
      </w:pPr>
    </w:p>
    <w:p w:rsidR="00FE5027" w:rsidRDefault="00FE5027" w:rsidP="000D4275">
      <w:pPr>
        <w:pStyle w:val="NoSpacing"/>
        <w:rPr>
          <w:rFonts w:ascii="Tahoma" w:hAnsi="Tahoma" w:cs="Tahoma"/>
          <w:sz w:val="24"/>
          <w:szCs w:val="24"/>
        </w:rPr>
      </w:pPr>
      <w:r>
        <w:rPr>
          <w:rFonts w:ascii="Tahoma" w:hAnsi="Tahoma" w:cs="Tahoma"/>
          <w:sz w:val="24"/>
          <w:szCs w:val="24"/>
        </w:rPr>
        <w:t>Eastman Chemical Company – Booth 5</w:t>
      </w:r>
    </w:p>
    <w:p w:rsidR="00FE5027" w:rsidRDefault="00FE5027" w:rsidP="000D4275">
      <w:pPr>
        <w:pStyle w:val="NoSpacing"/>
        <w:rPr>
          <w:rFonts w:ascii="Tahoma" w:hAnsi="Tahoma" w:cs="Tahoma"/>
          <w:sz w:val="24"/>
          <w:szCs w:val="24"/>
        </w:rPr>
      </w:pPr>
    </w:p>
    <w:p w:rsidR="00C55B76" w:rsidRDefault="00C55B76" w:rsidP="00C55B76">
      <w:pPr>
        <w:pStyle w:val="PlainText"/>
      </w:pPr>
      <w:r>
        <w:t xml:space="preserve">Eastman is a global specialty chemical company that produces a broad range of products found in items people use every day. With a portfolio of specialty businesses, Eastman works with customers to deliver innovative products and solutions while maintaining a commitment to safety and sustainability. Its </w:t>
      </w:r>
      <w:r>
        <w:lastRenderedPageBreak/>
        <w:t xml:space="preserve">market-driven approaches take advantage of world-class technology platforms and leading positions in attractive end-markets such as transportation, building and construction, and consumables. Eastman focuses on creating consistent, superior value for all stakeholders. As a globally diverse company, Eastman serves customers in approximately 100 countries and had 2014 revenues of approximately $9.5 billion. The company is headquartered in Kingsport, Tennessee, USA and employs approximately 15,000 people around the world. For more information, visit </w:t>
      </w:r>
      <w:hyperlink r:id="rId8" w:history="1">
        <w:r>
          <w:rPr>
            <w:rStyle w:val="Hyperlink"/>
          </w:rPr>
          <w:t>www.eastman.com</w:t>
        </w:r>
      </w:hyperlink>
      <w:r>
        <w:t>.</w:t>
      </w:r>
    </w:p>
    <w:p w:rsidR="00C55B76" w:rsidRDefault="00C55B76" w:rsidP="00C55B76">
      <w:pPr>
        <w:pStyle w:val="PlainText"/>
      </w:pPr>
    </w:p>
    <w:p w:rsidR="00824B51" w:rsidRDefault="001D7257" w:rsidP="000D4275">
      <w:pPr>
        <w:pStyle w:val="NoSpacing"/>
        <w:rPr>
          <w:rFonts w:ascii="Tahoma" w:hAnsi="Tahoma" w:cs="Tahoma"/>
          <w:sz w:val="24"/>
          <w:szCs w:val="24"/>
        </w:rPr>
      </w:pPr>
      <w:r>
        <w:rPr>
          <w:rFonts w:ascii="Tahoma" w:hAnsi="Tahoma" w:cs="Tahoma"/>
          <w:sz w:val="24"/>
          <w:szCs w:val="24"/>
        </w:rPr>
        <w:t>Emerging Measurements (</w:t>
      </w:r>
      <w:r w:rsidR="00824B51">
        <w:rPr>
          <w:rFonts w:ascii="Tahoma" w:hAnsi="Tahoma" w:cs="Tahoma"/>
          <w:sz w:val="24"/>
          <w:szCs w:val="24"/>
        </w:rPr>
        <w:t>EMCO</w:t>
      </w:r>
      <w:r>
        <w:rPr>
          <w:rFonts w:ascii="Tahoma" w:hAnsi="Tahoma" w:cs="Tahoma"/>
          <w:sz w:val="24"/>
          <w:szCs w:val="24"/>
        </w:rPr>
        <w:t>)</w:t>
      </w:r>
      <w:r w:rsidR="00824B51">
        <w:rPr>
          <w:rFonts w:ascii="Tahoma" w:hAnsi="Tahoma" w:cs="Tahoma"/>
          <w:sz w:val="24"/>
          <w:szCs w:val="24"/>
        </w:rPr>
        <w:t xml:space="preserve"> – Booth 12</w:t>
      </w:r>
    </w:p>
    <w:p w:rsidR="00CE5D4A" w:rsidRDefault="00CE5D4A" w:rsidP="00FD0838">
      <w:pPr>
        <w:pStyle w:val="NoSpacing"/>
      </w:pPr>
      <w:r w:rsidRPr="009B3BC3">
        <w:t xml:space="preserve">Emerging Measurements showcases </w:t>
      </w:r>
      <w:r w:rsidRPr="009B3BC3">
        <w:rPr>
          <w:i/>
          <w:iCs/>
        </w:rPr>
        <w:t xml:space="preserve">The </w:t>
      </w:r>
      <w:proofErr w:type="spellStart"/>
      <w:r w:rsidRPr="009B3BC3">
        <w:rPr>
          <w:i/>
          <w:iCs/>
        </w:rPr>
        <w:t>Thermographic</w:t>
      </w:r>
      <w:proofErr w:type="spellEnd"/>
      <w:r w:rsidRPr="009B3BC3">
        <w:rPr>
          <w:i/>
          <w:iCs/>
        </w:rPr>
        <w:t xml:space="preserve"> Phosphor </w:t>
      </w:r>
      <w:proofErr w:type="spellStart"/>
      <w:r w:rsidRPr="009B3BC3">
        <w:rPr>
          <w:i/>
          <w:iCs/>
        </w:rPr>
        <w:t>LabKit</w:t>
      </w:r>
      <w:proofErr w:type="spellEnd"/>
      <w:r w:rsidRPr="009B3BC3">
        <w:t xml:space="preserve">. This instrument is a teaching tool for advanced undergraduates. Students will learn fundamentals of fluorescence by studying the temperature dependence of fluorescence decay time of a phosphor. The </w:t>
      </w:r>
      <w:proofErr w:type="spellStart"/>
      <w:r w:rsidRPr="009B3BC3">
        <w:t>LabKit</w:t>
      </w:r>
      <w:proofErr w:type="spellEnd"/>
      <w:r w:rsidRPr="009B3BC3">
        <w:t xml:space="preserve"> is also a flexible laboratory tool, adaptable for </w:t>
      </w:r>
      <w:proofErr w:type="spellStart"/>
      <w:r w:rsidRPr="009B3BC3">
        <w:t>thermographic</w:t>
      </w:r>
      <w:proofErr w:type="spellEnd"/>
      <w:r w:rsidRPr="009B3BC3">
        <w:t xml:space="preserve"> phosphor thermometry.</w:t>
      </w:r>
    </w:p>
    <w:p w:rsidR="00FD0838" w:rsidRPr="009B3BC3" w:rsidRDefault="00FD0838" w:rsidP="00FD0838">
      <w:pPr>
        <w:pStyle w:val="NoSpacing"/>
      </w:pPr>
    </w:p>
    <w:p w:rsidR="00FE5027" w:rsidRDefault="00FE5027" w:rsidP="000D4275">
      <w:pPr>
        <w:pStyle w:val="NoSpacing"/>
        <w:rPr>
          <w:rFonts w:ascii="Tahoma" w:hAnsi="Tahoma" w:cs="Tahoma"/>
          <w:sz w:val="24"/>
          <w:szCs w:val="24"/>
        </w:rPr>
      </w:pPr>
      <w:r>
        <w:rPr>
          <w:rFonts w:ascii="Tahoma" w:hAnsi="Tahoma" w:cs="Tahoma"/>
          <w:sz w:val="24"/>
          <w:szCs w:val="24"/>
        </w:rPr>
        <w:t>Horiba Scientific – Booth 32</w:t>
      </w:r>
    </w:p>
    <w:p w:rsidR="001D7257" w:rsidRDefault="001D7257" w:rsidP="000D4275">
      <w:pPr>
        <w:pStyle w:val="NoSpacing"/>
        <w:rPr>
          <w:rFonts w:ascii="Calibri" w:hAnsi="Calibri"/>
        </w:rPr>
      </w:pPr>
      <w:r>
        <w:br/>
      </w:r>
      <w:r>
        <w:rPr>
          <w:rFonts w:ascii="Calibri" w:hAnsi="Calibri"/>
        </w:rPr>
        <w:t xml:space="preserve">HORIBA Scientific is the leading manufacturer of modular and miniature spectrometer systems with CCD, </w:t>
      </w:r>
      <w:proofErr w:type="spellStart"/>
      <w:r>
        <w:rPr>
          <w:rFonts w:ascii="Calibri" w:hAnsi="Calibri"/>
        </w:rPr>
        <w:t>InGaAs</w:t>
      </w:r>
      <w:proofErr w:type="spellEnd"/>
      <w:r>
        <w:rPr>
          <w:rFonts w:ascii="Calibri" w:hAnsi="Calibri"/>
        </w:rPr>
        <w:t xml:space="preserve"> and </w:t>
      </w:r>
      <w:proofErr w:type="spellStart"/>
      <w:r>
        <w:rPr>
          <w:rFonts w:ascii="Calibri" w:hAnsi="Calibri"/>
        </w:rPr>
        <w:t>and</w:t>
      </w:r>
      <w:proofErr w:type="spellEnd"/>
      <w:r>
        <w:rPr>
          <w:rFonts w:ascii="Calibri" w:hAnsi="Calibri"/>
        </w:rPr>
        <w:t xml:space="preserve"> </w:t>
      </w:r>
      <w:proofErr w:type="spellStart"/>
      <w:r>
        <w:rPr>
          <w:rFonts w:ascii="Calibri" w:hAnsi="Calibri"/>
        </w:rPr>
        <w:t>spectrofluorometers</w:t>
      </w:r>
      <w:proofErr w:type="spellEnd"/>
      <w:r>
        <w:rPr>
          <w:rFonts w:ascii="Calibri" w:hAnsi="Calibri"/>
        </w:rPr>
        <w:t xml:space="preserve">.  We offer scientific imaging EMCCD and CMOS cameras, CCD and PDA mini spectrometers, deep-cooled CCD cameras, hybrid and modular Raman, FLIM and EDXRF microscopy, </w:t>
      </w:r>
      <w:proofErr w:type="spellStart"/>
      <w:r>
        <w:rPr>
          <w:rFonts w:ascii="Calibri" w:hAnsi="Calibri"/>
        </w:rPr>
        <w:t>Cathodoluminescence</w:t>
      </w:r>
      <w:proofErr w:type="spellEnd"/>
      <w:r>
        <w:rPr>
          <w:rFonts w:ascii="Calibri" w:hAnsi="Calibri"/>
        </w:rPr>
        <w:t xml:space="preserve"> for SEM, steady-state &amp; lifetime </w:t>
      </w:r>
      <w:proofErr w:type="spellStart"/>
      <w:r>
        <w:rPr>
          <w:rFonts w:ascii="Calibri" w:hAnsi="Calibri"/>
        </w:rPr>
        <w:t>fluorometers</w:t>
      </w:r>
      <w:proofErr w:type="spellEnd"/>
      <w:r>
        <w:rPr>
          <w:rFonts w:ascii="Calibri" w:hAnsi="Calibri"/>
        </w:rPr>
        <w:t xml:space="preserve">, </w:t>
      </w:r>
      <w:proofErr w:type="spellStart"/>
      <w:r>
        <w:rPr>
          <w:rFonts w:ascii="Calibri" w:hAnsi="Calibri"/>
        </w:rPr>
        <w:t>MicOS</w:t>
      </w:r>
      <w:proofErr w:type="spellEnd"/>
      <w:r>
        <w:rPr>
          <w:rFonts w:ascii="Calibri" w:hAnsi="Calibri"/>
        </w:rPr>
        <w:t xml:space="preserve"> Microscope Optical Spectrometer for luminescence, TCSPC components, light sources, laser diodes and single-photon detectors.</w:t>
      </w:r>
    </w:p>
    <w:p w:rsidR="00FD0838" w:rsidRDefault="00FD0838" w:rsidP="000D4275">
      <w:pPr>
        <w:pStyle w:val="NoSpacing"/>
        <w:rPr>
          <w:rFonts w:ascii="Calibri" w:hAnsi="Calibri"/>
        </w:rPr>
      </w:pPr>
    </w:p>
    <w:p w:rsidR="00FD0838" w:rsidRDefault="00FD0838" w:rsidP="000D4275">
      <w:pPr>
        <w:pStyle w:val="NoSpacing"/>
        <w:rPr>
          <w:rFonts w:ascii="Tahoma" w:hAnsi="Tahoma" w:cs="Tahoma"/>
          <w:sz w:val="24"/>
          <w:szCs w:val="24"/>
        </w:rPr>
      </w:pPr>
      <w:proofErr w:type="spellStart"/>
      <w:r w:rsidRPr="00FD0838">
        <w:rPr>
          <w:rFonts w:ascii="Tahoma" w:hAnsi="Tahoma" w:cs="Tahoma"/>
          <w:sz w:val="24"/>
          <w:szCs w:val="24"/>
        </w:rPr>
        <w:t>Interchim</w:t>
      </w:r>
      <w:proofErr w:type="spellEnd"/>
      <w:r w:rsidRPr="00FD0838">
        <w:rPr>
          <w:rFonts w:ascii="Tahoma" w:hAnsi="Tahoma" w:cs="Tahoma"/>
          <w:sz w:val="24"/>
          <w:szCs w:val="24"/>
        </w:rPr>
        <w:t>, Inc.</w:t>
      </w:r>
      <w:r>
        <w:rPr>
          <w:rFonts w:ascii="Tahoma" w:hAnsi="Tahoma" w:cs="Tahoma"/>
          <w:sz w:val="24"/>
          <w:szCs w:val="24"/>
        </w:rPr>
        <w:t xml:space="preserve"> – Booth 17</w:t>
      </w:r>
    </w:p>
    <w:p w:rsidR="00FD0838" w:rsidRDefault="00FD0838" w:rsidP="000D4275">
      <w:pPr>
        <w:pStyle w:val="NoSpacing"/>
        <w:rPr>
          <w:rFonts w:ascii="Tahoma" w:hAnsi="Tahoma" w:cs="Tahoma"/>
          <w:sz w:val="24"/>
          <w:szCs w:val="24"/>
        </w:rPr>
      </w:pPr>
    </w:p>
    <w:p w:rsidR="00FD0838" w:rsidRDefault="00FD0838" w:rsidP="00FD0838">
      <w:pPr>
        <w:pStyle w:val="NoSpacing"/>
      </w:pPr>
      <w:proofErr w:type="spellStart"/>
      <w:r>
        <w:t>Interchim</w:t>
      </w:r>
      <w:proofErr w:type="spellEnd"/>
      <w:r>
        <w:t xml:space="preserve"> is a global company, which manufactures chromatography products to support purification, analytical and sample preparation in the field of life science.  Purification instruments are capable of running Flash and Prep HPLC in a single unit.  Enhanced detection includes MS, ELSD, UV-Vis and RI.  All units are well suited for supporting organic synthesis and bio-purification.  The column product range is comprised of Flash, Prep HPLC, SPE, and HPLC.    Flash columns are available in 30 different bonded </w:t>
      </w:r>
      <w:proofErr w:type="gramStart"/>
      <w:r>
        <w:t>phase</w:t>
      </w:r>
      <w:proofErr w:type="gramEnd"/>
      <w:r>
        <w:t xml:space="preserve"> for normal and reverse phase, ion-exchange and chiral chromatography.  The company continues to introduce innovative products to support the demands of speed and efficiency for discovery and analytical chemists.</w:t>
      </w:r>
    </w:p>
    <w:p w:rsidR="00FD0838" w:rsidRDefault="00FD0838" w:rsidP="00FD0838">
      <w:pPr>
        <w:pStyle w:val="NoSpacing"/>
      </w:pPr>
    </w:p>
    <w:p w:rsidR="00824B51" w:rsidRDefault="00824B51" w:rsidP="000D4275">
      <w:pPr>
        <w:pStyle w:val="NoSpacing"/>
        <w:rPr>
          <w:rFonts w:ascii="Tahoma" w:hAnsi="Tahoma" w:cs="Tahoma"/>
          <w:sz w:val="24"/>
          <w:szCs w:val="24"/>
        </w:rPr>
      </w:pPr>
      <w:r>
        <w:rPr>
          <w:rFonts w:ascii="Tahoma" w:hAnsi="Tahoma" w:cs="Tahoma"/>
          <w:sz w:val="24"/>
          <w:szCs w:val="24"/>
        </w:rPr>
        <w:t>ISS – Booth 2</w:t>
      </w:r>
    </w:p>
    <w:p w:rsidR="00824B51" w:rsidRDefault="00824B51" w:rsidP="000D4275">
      <w:pPr>
        <w:pStyle w:val="NoSpacing"/>
        <w:rPr>
          <w:rFonts w:ascii="Tahoma" w:hAnsi="Tahoma" w:cs="Tahoma"/>
          <w:sz w:val="24"/>
          <w:szCs w:val="24"/>
        </w:rPr>
      </w:pPr>
    </w:p>
    <w:p w:rsidR="00194267" w:rsidRDefault="00194267" w:rsidP="00FD0838">
      <w:pPr>
        <w:pStyle w:val="NoSpacing"/>
        <w:rPr>
          <w:color w:val="FF0000"/>
        </w:rPr>
      </w:pPr>
      <w:r w:rsidRPr="00194267">
        <w:t xml:space="preserve">ISS manufactures fluorescence instrumentation for time-resolved and steady-state measurements including a line of modular components for </w:t>
      </w:r>
      <w:proofErr w:type="spellStart"/>
      <w:r w:rsidRPr="00194267">
        <w:t>fluorometers</w:t>
      </w:r>
      <w:proofErr w:type="spellEnd"/>
      <w:r w:rsidRPr="00194267">
        <w:t xml:space="preserve"> and microscopy.  Applications include Fluorescence Resonance Energy Transfer (FRET), Fluorescence Lifetime Imaging (FLIM), Fluorescence fluctuation Spectroscopy (FCS, FCCS, </w:t>
      </w:r>
      <w:proofErr w:type="gramStart"/>
      <w:r w:rsidRPr="00194267">
        <w:t>PCII</w:t>
      </w:r>
      <w:proofErr w:type="gramEnd"/>
      <w:r w:rsidRPr="00194267">
        <w:t>), super resolution imaging, particle tracking with nanometer precision, tissue oxygenation, and Optical Topography (NIRS</w:t>
      </w:r>
      <w:r>
        <w:rPr>
          <w:color w:val="FF0000"/>
        </w:rPr>
        <w:t>).</w:t>
      </w:r>
    </w:p>
    <w:p w:rsidR="00824B51" w:rsidRDefault="00194267" w:rsidP="00B87E7E">
      <w:pPr>
        <w:rPr>
          <w:rFonts w:ascii="Tahoma" w:hAnsi="Tahoma" w:cs="Tahoma"/>
          <w:sz w:val="24"/>
          <w:szCs w:val="24"/>
        </w:rPr>
      </w:pPr>
      <w:r>
        <w:rPr>
          <w:rFonts w:ascii="Calibri" w:hAnsi="Calibri"/>
          <w:color w:val="1F497D"/>
        </w:rPr>
        <w:t> </w:t>
      </w:r>
      <w:r w:rsidR="00824B51">
        <w:rPr>
          <w:rFonts w:ascii="Tahoma" w:hAnsi="Tahoma" w:cs="Tahoma"/>
          <w:sz w:val="24"/>
          <w:szCs w:val="24"/>
        </w:rPr>
        <w:t>JEOL</w:t>
      </w:r>
      <w:r w:rsidR="00B87E7E">
        <w:rPr>
          <w:rFonts w:ascii="Tahoma" w:hAnsi="Tahoma" w:cs="Tahoma"/>
          <w:sz w:val="24"/>
          <w:szCs w:val="24"/>
        </w:rPr>
        <w:t xml:space="preserve"> USA, Inc.</w:t>
      </w:r>
      <w:r w:rsidR="00824B51">
        <w:rPr>
          <w:rFonts w:ascii="Tahoma" w:hAnsi="Tahoma" w:cs="Tahoma"/>
          <w:sz w:val="24"/>
          <w:szCs w:val="24"/>
        </w:rPr>
        <w:t xml:space="preserve"> – Booth 13</w:t>
      </w:r>
    </w:p>
    <w:p w:rsidR="00B87E7E" w:rsidRPr="00B87E7E" w:rsidRDefault="00B87E7E" w:rsidP="00B87E7E">
      <w:pPr>
        <w:pStyle w:val="NoSpacing"/>
      </w:pPr>
      <w:r>
        <w:t>JEOL is a world leader in analytical instrumentation- NMR, GC/MS, SEM, TEM, and more.  We recently introduced our ECZ NMR series which has an ultra-compact design and improved performance.</w:t>
      </w:r>
    </w:p>
    <w:p w:rsidR="00B87E7E" w:rsidRDefault="00B87E7E" w:rsidP="000D4275">
      <w:pPr>
        <w:pStyle w:val="NoSpacing"/>
        <w:rPr>
          <w:rFonts w:ascii="Tahoma" w:hAnsi="Tahoma" w:cs="Tahoma"/>
          <w:sz w:val="24"/>
          <w:szCs w:val="24"/>
        </w:rPr>
      </w:pPr>
    </w:p>
    <w:p w:rsidR="00FE5027" w:rsidRDefault="00FE5027" w:rsidP="000D4275">
      <w:pPr>
        <w:pStyle w:val="NoSpacing"/>
        <w:rPr>
          <w:rFonts w:ascii="Tahoma" w:hAnsi="Tahoma" w:cs="Tahoma"/>
          <w:sz w:val="24"/>
          <w:szCs w:val="24"/>
        </w:rPr>
      </w:pPr>
      <w:proofErr w:type="spellStart"/>
      <w:r>
        <w:rPr>
          <w:rFonts w:ascii="Tahoma" w:hAnsi="Tahoma" w:cs="Tahoma"/>
          <w:sz w:val="24"/>
          <w:szCs w:val="24"/>
        </w:rPr>
        <w:t>Magritek</w:t>
      </w:r>
      <w:proofErr w:type="spellEnd"/>
      <w:r>
        <w:rPr>
          <w:rFonts w:ascii="Tahoma" w:hAnsi="Tahoma" w:cs="Tahoma"/>
          <w:sz w:val="24"/>
          <w:szCs w:val="24"/>
        </w:rPr>
        <w:t>, Inc. – Booth 25</w:t>
      </w:r>
    </w:p>
    <w:p w:rsidR="001D7257" w:rsidRDefault="001D7257" w:rsidP="00FD0838">
      <w:pPr>
        <w:pStyle w:val="NoSpacing"/>
      </w:pPr>
      <w:proofErr w:type="spellStart"/>
      <w:r w:rsidRPr="001D7257">
        <w:rPr>
          <w:i/>
          <w:iCs/>
        </w:rPr>
        <w:lastRenderedPageBreak/>
        <w:t>Magritek</w:t>
      </w:r>
      <w:proofErr w:type="spellEnd"/>
      <w:r w:rsidRPr="001D7257">
        <w:t xml:space="preserve"> is a world leading company developing and manufacturing portable NMR solutions for education, research and industrial applications.</w:t>
      </w:r>
      <w:r w:rsidRPr="001D7257">
        <w:rPr>
          <w:i/>
          <w:iCs/>
        </w:rPr>
        <w:t xml:space="preserve"> </w:t>
      </w:r>
      <w:proofErr w:type="spellStart"/>
      <w:r w:rsidRPr="001D7257">
        <w:t>Spinsolve</w:t>
      </w:r>
      <w:r w:rsidRPr="001D7257">
        <w:rPr>
          <w:vertAlign w:val="superscript"/>
        </w:rPr>
        <w:t>TM</w:t>
      </w:r>
      <w:proofErr w:type="spellEnd"/>
      <w:r w:rsidRPr="001D7257">
        <w:t xml:space="preserve"> is the first </w:t>
      </w:r>
      <w:proofErr w:type="spellStart"/>
      <w:r w:rsidRPr="001D7257">
        <w:t>benchtop</w:t>
      </w:r>
      <w:proofErr w:type="spellEnd"/>
      <w:r w:rsidRPr="001D7257">
        <w:t xml:space="preserve"> NMR instrument capable of multinuclear (1H, 19F, 31P, 13C) and multidimensional NMR that does not require cryogenics and is maintenance free. Intuitive and beautiful software allows students to conduct their own experiments, providing hands on learning of basic and advanced NMR spectroscopy. </w:t>
      </w:r>
    </w:p>
    <w:p w:rsidR="00FD0838" w:rsidRPr="001D7257" w:rsidRDefault="00FD0838" w:rsidP="00FD0838">
      <w:pPr>
        <w:pStyle w:val="NoSpacing"/>
      </w:pPr>
    </w:p>
    <w:p w:rsidR="00824B51" w:rsidRDefault="00824B51" w:rsidP="000D4275">
      <w:pPr>
        <w:pStyle w:val="NoSpacing"/>
        <w:rPr>
          <w:rFonts w:ascii="Tahoma" w:hAnsi="Tahoma" w:cs="Tahoma"/>
          <w:sz w:val="24"/>
          <w:szCs w:val="24"/>
        </w:rPr>
      </w:pPr>
      <w:proofErr w:type="spellStart"/>
      <w:r>
        <w:rPr>
          <w:rFonts w:ascii="Tahoma" w:hAnsi="Tahoma" w:cs="Tahoma"/>
          <w:sz w:val="24"/>
          <w:szCs w:val="24"/>
        </w:rPr>
        <w:t>MicroLab</w:t>
      </w:r>
      <w:proofErr w:type="spellEnd"/>
      <w:r w:rsidR="00B87E7E">
        <w:rPr>
          <w:rFonts w:ascii="Tahoma" w:hAnsi="Tahoma" w:cs="Tahoma"/>
          <w:sz w:val="24"/>
          <w:szCs w:val="24"/>
        </w:rPr>
        <w:t>, Inc.</w:t>
      </w:r>
      <w:r>
        <w:rPr>
          <w:rFonts w:ascii="Tahoma" w:hAnsi="Tahoma" w:cs="Tahoma"/>
          <w:sz w:val="24"/>
          <w:szCs w:val="24"/>
        </w:rPr>
        <w:t xml:space="preserve"> – Booth 6</w:t>
      </w:r>
    </w:p>
    <w:p w:rsidR="00824B51" w:rsidRDefault="00824B51" w:rsidP="000D4275">
      <w:pPr>
        <w:pStyle w:val="NoSpacing"/>
        <w:rPr>
          <w:rFonts w:ascii="Tahoma" w:hAnsi="Tahoma" w:cs="Tahoma"/>
          <w:sz w:val="24"/>
          <w:szCs w:val="24"/>
        </w:rPr>
      </w:pPr>
    </w:p>
    <w:p w:rsidR="000402B1" w:rsidRDefault="000402B1" w:rsidP="00FD0838">
      <w:pPr>
        <w:pStyle w:val="NoSpacing"/>
      </w:pPr>
      <w:proofErr w:type="spellStart"/>
      <w:r w:rsidRPr="000402B1">
        <w:t>MicroLab’s</w:t>
      </w:r>
      <w:proofErr w:type="spellEnd"/>
      <w:r w:rsidRPr="000402B1">
        <w:t xml:space="preserve"> </w:t>
      </w:r>
      <w:r w:rsidRPr="000402B1">
        <w:rPr>
          <w:b/>
          <w:bCs/>
          <w:i/>
          <w:iCs/>
        </w:rPr>
        <w:t>new</w:t>
      </w:r>
      <w:r w:rsidRPr="000402B1">
        <w:t xml:space="preserve"> FS-528 Laboratory Data System combines a </w:t>
      </w:r>
      <w:proofErr w:type="spellStart"/>
      <w:r w:rsidRPr="000402B1">
        <w:rPr>
          <w:b/>
          <w:bCs/>
          <w:i/>
          <w:iCs/>
        </w:rPr>
        <w:t>FASTspec</w:t>
      </w:r>
      <w:proofErr w:type="spellEnd"/>
      <w:r w:rsidRPr="000402B1">
        <w:rPr>
          <w:b/>
          <w:bCs/>
          <w:i/>
          <w:iCs/>
        </w:rPr>
        <w:t>™</w:t>
      </w:r>
      <w:r w:rsidRPr="000402B1">
        <w:t xml:space="preserve"> 360-880 nm scanning spectrophotometer with other popular sensors to create an affordable, high quality instrument that will make almost every instrumental measurement required in general chemistry.  Integrated sensors guarantee reliability and prevent cluttered bench tops.  High-resolution measurements make possible small, safe, low cost chemical samples.   </w:t>
      </w:r>
      <w:proofErr w:type="spellStart"/>
      <w:r w:rsidRPr="000402B1">
        <w:t>MicroLab</w:t>
      </w:r>
      <w:proofErr w:type="spellEnd"/>
      <w:r w:rsidRPr="000402B1">
        <w:t xml:space="preserve"> is also used in analytical, physical, and biochemistry courses, and in undergraduate research.   </w:t>
      </w:r>
      <w:proofErr w:type="spellStart"/>
      <w:r w:rsidRPr="000402B1">
        <w:t>MicroLab’s</w:t>
      </w:r>
      <w:proofErr w:type="spellEnd"/>
      <w:r w:rsidRPr="000402B1">
        <w:t xml:space="preserve"> powerful, user-friendly software engages students in real science.   </w:t>
      </w:r>
    </w:p>
    <w:p w:rsidR="00FD0838" w:rsidRPr="000402B1" w:rsidRDefault="00FD0838" w:rsidP="00FD0838">
      <w:pPr>
        <w:pStyle w:val="NoSpacing"/>
      </w:pPr>
    </w:p>
    <w:p w:rsidR="001D7257" w:rsidRDefault="001D7257" w:rsidP="001D7257">
      <w:pPr>
        <w:pStyle w:val="NoSpacing"/>
        <w:rPr>
          <w:rFonts w:ascii="Tahoma" w:hAnsi="Tahoma" w:cs="Tahoma"/>
          <w:sz w:val="24"/>
          <w:szCs w:val="24"/>
        </w:rPr>
      </w:pPr>
      <w:proofErr w:type="spellStart"/>
      <w:r>
        <w:rPr>
          <w:rFonts w:ascii="Tahoma" w:hAnsi="Tahoma" w:cs="Tahoma"/>
          <w:sz w:val="24"/>
          <w:szCs w:val="24"/>
        </w:rPr>
        <w:t>Nanalysis</w:t>
      </w:r>
      <w:proofErr w:type="spellEnd"/>
      <w:r>
        <w:rPr>
          <w:rFonts w:ascii="Tahoma" w:hAnsi="Tahoma" w:cs="Tahoma"/>
          <w:sz w:val="24"/>
          <w:szCs w:val="24"/>
        </w:rPr>
        <w:t xml:space="preserve"> – Booth 34</w:t>
      </w:r>
    </w:p>
    <w:p w:rsidR="001D7257" w:rsidRDefault="001D7257" w:rsidP="001D7257">
      <w:pPr>
        <w:pStyle w:val="NoSpacing"/>
        <w:rPr>
          <w:rFonts w:ascii="Tahoma" w:hAnsi="Tahoma" w:cs="Tahoma"/>
          <w:sz w:val="24"/>
          <w:szCs w:val="24"/>
        </w:rPr>
      </w:pPr>
    </w:p>
    <w:p w:rsidR="00FE5027" w:rsidRDefault="001D7257" w:rsidP="000D4275">
      <w:pPr>
        <w:pStyle w:val="NoSpacing"/>
        <w:rPr>
          <w:rFonts w:ascii="Tahoma" w:hAnsi="Tahoma" w:cs="Tahoma"/>
          <w:sz w:val="24"/>
          <w:szCs w:val="24"/>
        </w:rPr>
      </w:pPr>
      <w:proofErr w:type="spellStart"/>
      <w:r>
        <w:rPr>
          <w:rFonts w:eastAsia="Times New Roman"/>
        </w:rPr>
        <w:t>Nanalysis</w:t>
      </w:r>
      <w:proofErr w:type="spellEnd"/>
      <w:r>
        <w:rPr>
          <w:rFonts w:eastAsia="Times New Roman"/>
        </w:rPr>
        <w:t xml:space="preserve"> develops and manufactures portable Nuclear Magnetic Resonance (NMR) spectrometers for the laboratory instrumentation market. </w:t>
      </w:r>
      <w:proofErr w:type="spellStart"/>
      <w:r>
        <w:rPr>
          <w:rFonts w:eastAsia="Times New Roman"/>
        </w:rPr>
        <w:t>NMReady</w:t>
      </w:r>
      <w:proofErr w:type="spellEnd"/>
      <w:r>
        <w:rPr>
          <w:rFonts w:eastAsia="Times New Roman"/>
        </w:rPr>
        <w:t xml:space="preserve"> is a revolutionary </w:t>
      </w:r>
      <w:proofErr w:type="gramStart"/>
      <w:r>
        <w:rPr>
          <w:rFonts w:eastAsia="Times New Roman"/>
        </w:rPr>
        <w:t>60Mhz</w:t>
      </w:r>
      <w:proofErr w:type="gramEnd"/>
      <w:r>
        <w:rPr>
          <w:rFonts w:eastAsia="Times New Roman"/>
        </w:rPr>
        <w:t xml:space="preserve">, </w:t>
      </w:r>
      <w:proofErr w:type="spellStart"/>
      <w:r>
        <w:rPr>
          <w:rFonts w:eastAsia="Times New Roman"/>
        </w:rPr>
        <w:t>benchtop</w:t>
      </w:r>
      <w:proofErr w:type="spellEnd"/>
      <w:r>
        <w:rPr>
          <w:rFonts w:eastAsia="Times New Roman"/>
        </w:rPr>
        <w:t xml:space="preserve"> NMR spectrometer that only weighs 53 pounds. As the only all-in-one instrument available, it has a built-in touchscreen computer with an easy-to-use interface that makes data acquisition &amp; processing simple. </w:t>
      </w:r>
      <w:r>
        <w:rPr>
          <w:rFonts w:eastAsia="Times New Roman"/>
        </w:rPr>
        <w:br/>
      </w:r>
      <w:r>
        <w:rPr>
          <w:rFonts w:eastAsia="Times New Roman"/>
        </w:rPr>
        <w:br/>
      </w:r>
      <w:r w:rsidR="00FE5027">
        <w:rPr>
          <w:rFonts w:ascii="Tahoma" w:hAnsi="Tahoma" w:cs="Tahoma"/>
          <w:sz w:val="24"/>
          <w:szCs w:val="24"/>
        </w:rPr>
        <w:t xml:space="preserve">Pine Research </w:t>
      </w:r>
      <w:r w:rsidR="00A024CB">
        <w:rPr>
          <w:rFonts w:ascii="Tahoma" w:hAnsi="Tahoma" w:cs="Tahoma"/>
          <w:sz w:val="24"/>
          <w:szCs w:val="24"/>
        </w:rPr>
        <w:t xml:space="preserve">Instrumentation </w:t>
      </w:r>
      <w:r w:rsidR="00FE5027">
        <w:rPr>
          <w:rFonts w:ascii="Tahoma" w:hAnsi="Tahoma" w:cs="Tahoma"/>
          <w:sz w:val="24"/>
          <w:szCs w:val="24"/>
        </w:rPr>
        <w:t>– Booth 8</w:t>
      </w:r>
    </w:p>
    <w:p w:rsidR="00FE5027" w:rsidRDefault="00FE5027" w:rsidP="000D4275">
      <w:pPr>
        <w:pStyle w:val="NoSpacing"/>
        <w:rPr>
          <w:rFonts w:ascii="Tahoma" w:hAnsi="Tahoma" w:cs="Tahoma"/>
          <w:sz w:val="24"/>
          <w:szCs w:val="24"/>
        </w:rPr>
      </w:pPr>
    </w:p>
    <w:p w:rsidR="000402B1" w:rsidRDefault="000402B1" w:rsidP="00FD0838">
      <w:pPr>
        <w:pStyle w:val="NoSpacing"/>
      </w:pPr>
      <w:r>
        <w:rPr>
          <w:rStyle w:val="Strong"/>
        </w:rPr>
        <w:t>Pine Research Instrumentation</w:t>
      </w:r>
      <w:r>
        <w:t xml:space="preserve"> manufactures a full line of affordable, durable and reliable electrochemical research equipment.  Pine offers </w:t>
      </w:r>
      <w:proofErr w:type="spellStart"/>
      <w:r>
        <w:t>benchtop</w:t>
      </w:r>
      <w:proofErr w:type="spellEnd"/>
      <w:r>
        <w:t xml:space="preserve"> </w:t>
      </w:r>
      <w:proofErr w:type="spellStart"/>
      <w:r>
        <w:t>bipotentiostat</w:t>
      </w:r>
      <w:proofErr w:type="spellEnd"/>
      <w:r>
        <w:t>/</w:t>
      </w:r>
      <w:proofErr w:type="spellStart"/>
      <w:r>
        <w:t>galvanostat</w:t>
      </w:r>
      <w:proofErr w:type="spellEnd"/>
      <w:r>
        <w:t xml:space="preserve"> instruments as well as portable USB </w:t>
      </w:r>
      <w:proofErr w:type="spellStart"/>
      <w:r>
        <w:t>potentiostat</w:t>
      </w:r>
      <w:proofErr w:type="spellEnd"/>
      <w:r>
        <w:t xml:space="preserve"> systems, all of which are controlled using our powerful </w:t>
      </w:r>
      <w:proofErr w:type="spellStart"/>
      <w:r>
        <w:t>AfterMath</w:t>
      </w:r>
      <w:proofErr w:type="spellEnd"/>
      <w:r>
        <w:t xml:space="preserve"> software package.  We offer unique quartz electrochemical cells for </w:t>
      </w:r>
      <w:proofErr w:type="spellStart"/>
      <w:r>
        <w:t>photoelectrochemistry</w:t>
      </w:r>
      <w:proofErr w:type="spellEnd"/>
      <w:r>
        <w:t xml:space="preserve"> and </w:t>
      </w:r>
      <w:proofErr w:type="spellStart"/>
      <w:r>
        <w:t>spectroelectrochemistry</w:t>
      </w:r>
      <w:proofErr w:type="spellEnd"/>
      <w:r>
        <w:t xml:space="preserve">, and we are the world leader in rotating disk, ring-disk, and cylinder electrode instrumentation.  Our line of compact voltammetry cells, featuring screen-printed patterned electrodes, provides a quick and easy way to perform routine electrochemical measurements.   </w:t>
      </w:r>
      <w:hyperlink r:id="rId9" w:history="1">
        <w:r w:rsidR="00FD0838" w:rsidRPr="00096719">
          <w:rPr>
            <w:rStyle w:val="Hyperlink"/>
          </w:rPr>
          <w:t>www.pineinst.com/echem</w:t>
        </w:r>
      </w:hyperlink>
    </w:p>
    <w:p w:rsidR="00FD0838" w:rsidRDefault="00FD0838" w:rsidP="00FD0838">
      <w:pPr>
        <w:pStyle w:val="NoSpacing"/>
      </w:pPr>
    </w:p>
    <w:p w:rsidR="00FE5027" w:rsidRDefault="00FE5027" w:rsidP="000D4275">
      <w:pPr>
        <w:pStyle w:val="NoSpacing"/>
        <w:rPr>
          <w:rFonts w:ascii="Tahoma" w:hAnsi="Tahoma" w:cs="Tahoma"/>
          <w:sz w:val="24"/>
          <w:szCs w:val="24"/>
        </w:rPr>
      </w:pPr>
      <w:proofErr w:type="gramStart"/>
      <w:r>
        <w:rPr>
          <w:rFonts w:ascii="Tahoma" w:hAnsi="Tahoma" w:cs="Tahoma"/>
          <w:sz w:val="24"/>
          <w:szCs w:val="24"/>
        </w:rPr>
        <w:t>360 glassware – Booth 7</w:t>
      </w:r>
      <w:proofErr w:type="gramEnd"/>
    </w:p>
    <w:p w:rsidR="00A024CB" w:rsidRDefault="00A024CB" w:rsidP="00A024CB">
      <w:pPr>
        <w:pStyle w:val="Default"/>
      </w:pPr>
    </w:p>
    <w:p w:rsidR="00A024CB" w:rsidRPr="00A024CB" w:rsidRDefault="00A024CB" w:rsidP="00FD0838">
      <w:pPr>
        <w:pStyle w:val="NoSpacing"/>
      </w:pPr>
      <w:r w:rsidRPr="00A024CB">
        <w:t xml:space="preserve">360 Glassware is compiled of a group of chemists and engineers with a fond appreciation of the traditional art of custom scientific glassblowing hoping to make this art more accessible to the current generation of scientists and engineers via “virtual” glassblowing. </w:t>
      </w:r>
    </w:p>
    <w:p w:rsidR="00A024CB" w:rsidRPr="00A024CB" w:rsidRDefault="00A024CB" w:rsidP="00FD0838">
      <w:pPr>
        <w:pStyle w:val="NoSpacing"/>
        <w:rPr>
          <w:rFonts w:cs="Tahoma"/>
        </w:rPr>
      </w:pPr>
      <w:r w:rsidRPr="00A024CB">
        <w:t>Virtual glassblowing allows a researcher to rapidly engineer key pieces of glassware needed for special experiments, challenging chemical syntheses, and replacement parts for existing scientific apparatus.  Try out the 3D design experience at www.360glassware.com.</w:t>
      </w:r>
    </w:p>
    <w:p w:rsidR="00FE5027" w:rsidRPr="00A024CB" w:rsidRDefault="00FE5027" w:rsidP="00FD0838">
      <w:pPr>
        <w:pStyle w:val="NoSpacing"/>
        <w:rPr>
          <w:rFonts w:cs="Tahoma"/>
        </w:rPr>
      </w:pPr>
    </w:p>
    <w:p w:rsidR="00824B51" w:rsidRDefault="00824B51" w:rsidP="000D4275">
      <w:pPr>
        <w:pStyle w:val="NoSpacing"/>
        <w:rPr>
          <w:rFonts w:ascii="Tahoma" w:hAnsi="Tahoma" w:cs="Tahoma"/>
          <w:sz w:val="24"/>
          <w:szCs w:val="24"/>
        </w:rPr>
      </w:pPr>
      <w:proofErr w:type="spellStart"/>
      <w:r>
        <w:rPr>
          <w:rFonts w:ascii="Tahoma" w:hAnsi="Tahoma" w:cs="Tahoma"/>
          <w:sz w:val="24"/>
          <w:szCs w:val="24"/>
        </w:rPr>
        <w:t>Rigaku</w:t>
      </w:r>
      <w:proofErr w:type="spellEnd"/>
      <w:r>
        <w:rPr>
          <w:rFonts w:ascii="Tahoma" w:hAnsi="Tahoma" w:cs="Tahoma"/>
          <w:sz w:val="24"/>
          <w:szCs w:val="24"/>
        </w:rPr>
        <w:t xml:space="preserve"> Oxford Diffraction – </w:t>
      </w:r>
      <w:r w:rsidR="00A024CB">
        <w:rPr>
          <w:rFonts w:ascii="Tahoma" w:hAnsi="Tahoma" w:cs="Tahoma"/>
          <w:sz w:val="24"/>
          <w:szCs w:val="24"/>
        </w:rPr>
        <w:t>B</w:t>
      </w:r>
      <w:r>
        <w:rPr>
          <w:rFonts w:ascii="Tahoma" w:hAnsi="Tahoma" w:cs="Tahoma"/>
          <w:sz w:val="24"/>
          <w:szCs w:val="24"/>
        </w:rPr>
        <w:t>ooth 1</w:t>
      </w:r>
    </w:p>
    <w:p w:rsidR="009B3BC3" w:rsidRDefault="009B3BC3" w:rsidP="000D4275">
      <w:pPr>
        <w:pStyle w:val="NoSpacing"/>
        <w:rPr>
          <w:rFonts w:ascii="Tahoma" w:hAnsi="Tahoma" w:cs="Tahoma"/>
          <w:sz w:val="24"/>
          <w:szCs w:val="24"/>
        </w:rPr>
      </w:pPr>
    </w:p>
    <w:p w:rsidR="009B3BC3" w:rsidRDefault="009B3BC3" w:rsidP="000D4275">
      <w:pPr>
        <w:pStyle w:val="NoSpacing"/>
        <w:rPr>
          <w:rFonts w:ascii="Tahoma" w:hAnsi="Tahoma" w:cs="Tahoma"/>
          <w:sz w:val="24"/>
          <w:szCs w:val="24"/>
        </w:rPr>
      </w:pPr>
      <w:r>
        <w:rPr>
          <w:rFonts w:ascii="Tahoma" w:hAnsi="Tahoma" w:cs="Tahoma"/>
          <w:sz w:val="24"/>
          <w:szCs w:val="24"/>
        </w:rPr>
        <w:t>SERMACS 2016 – Booth 27</w:t>
      </w:r>
    </w:p>
    <w:p w:rsidR="009B3BC3" w:rsidRDefault="009B3BC3" w:rsidP="000D4275">
      <w:pPr>
        <w:pStyle w:val="NoSpacing"/>
        <w:rPr>
          <w:rFonts w:ascii="Tahoma" w:hAnsi="Tahoma" w:cs="Tahoma"/>
          <w:sz w:val="24"/>
          <w:szCs w:val="24"/>
        </w:rPr>
      </w:pPr>
    </w:p>
    <w:p w:rsidR="009B3BC3" w:rsidRDefault="009B3BC3" w:rsidP="000D4275">
      <w:pPr>
        <w:pStyle w:val="NoSpacing"/>
        <w:rPr>
          <w:rFonts w:ascii="Tahoma" w:hAnsi="Tahoma" w:cs="Tahoma"/>
          <w:sz w:val="24"/>
          <w:szCs w:val="24"/>
        </w:rPr>
      </w:pPr>
      <w:r>
        <w:rPr>
          <w:rFonts w:ascii="Tahoma" w:hAnsi="Tahoma" w:cs="Tahoma"/>
          <w:sz w:val="24"/>
          <w:szCs w:val="24"/>
        </w:rPr>
        <w:lastRenderedPageBreak/>
        <w:t>SERMACS 2017/2018 – Booth 26</w:t>
      </w:r>
    </w:p>
    <w:p w:rsidR="00824B51" w:rsidRDefault="00824B51" w:rsidP="000D4275">
      <w:pPr>
        <w:pStyle w:val="NoSpacing"/>
        <w:rPr>
          <w:rFonts w:ascii="Tahoma" w:hAnsi="Tahoma" w:cs="Tahoma"/>
          <w:sz w:val="24"/>
          <w:szCs w:val="24"/>
        </w:rPr>
      </w:pPr>
    </w:p>
    <w:p w:rsidR="00824B51" w:rsidRDefault="00824B51" w:rsidP="000D4275">
      <w:pPr>
        <w:pStyle w:val="NoSpacing"/>
        <w:rPr>
          <w:rFonts w:ascii="Tahoma" w:hAnsi="Tahoma" w:cs="Tahoma"/>
          <w:sz w:val="24"/>
          <w:szCs w:val="24"/>
        </w:rPr>
      </w:pPr>
      <w:r>
        <w:rPr>
          <w:rFonts w:ascii="Tahoma" w:hAnsi="Tahoma" w:cs="Tahoma"/>
          <w:sz w:val="24"/>
          <w:szCs w:val="24"/>
        </w:rPr>
        <w:t>Sigma-Aldrich – Booth 30</w:t>
      </w:r>
    </w:p>
    <w:p w:rsidR="00824B51" w:rsidRDefault="00824B51" w:rsidP="000D4275">
      <w:pPr>
        <w:pStyle w:val="NoSpacing"/>
        <w:rPr>
          <w:rFonts w:ascii="Tahoma" w:hAnsi="Tahoma" w:cs="Tahoma"/>
          <w:sz w:val="24"/>
          <w:szCs w:val="24"/>
        </w:rPr>
      </w:pPr>
    </w:p>
    <w:p w:rsidR="007F40B7" w:rsidRPr="007F40B7" w:rsidRDefault="007F40B7" w:rsidP="000D4275">
      <w:pPr>
        <w:pStyle w:val="NoSpacing"/>
        <w:rPr>
          <w:rFonts w:cs="Tahoma"/>
        </w:rPr>
      </w:pPr>
      <w:r w:rsidRPr="007F40B7">
        <w:rPr>
          <w:rFonts w:cs="Tahoma"/>
        </w:rPr>
        <w:t xml:space="preserve">Sigma-Aldrich, a leading Life Science Technology company focused on human health and safety, manufactures and distributes 250,000 chemicals, </w:t>
      </w:r>
      <w:proofErr w:type="spellStart"/>
      <w:r w:rsidRPr="007F40B7">
        <w:rPr>
          <w:rFonts w:cs="Tahoma"/>
        </w:rPr>
        <w:t>biochemicals</w:t>
      </w:r>
      <w:proofErr w:type="spellEnd"/>
      <w:r w:rsidRPr="007F40B7">
        <w:rPr>
          <w:rFonts w:cs="Tahoma"/>
        </w:rPr>
        <w:t xml:space="preserve"> and other essential products to </w:t>
      </w:r>
      <w:proofErr w:type="gramStart"/>
      <w:r w:rsidRPr="007F40B7">
        <w:rPr>
          <w:rFonts w:cs="Tahoma"/>
        </w:rPr>
        <w:t>customers</w:t>
      </w:r>
      <w:proofErr w:type="gramEnd"/>
      <w:r w:rsidRPr="007F40B7">
        <w:rPr>
          <w:rFonts w:cs="Tahoma"/>
        </w:rPr>
        <w:t xml:space="preserve"> globally in research and applied labs and in industrial and commercial markets.</w:t>
      </w:r>
    </w:p>
    <w:p w:rsidR="007F40B7" w:rsidRPr="007F40B7" w:rsidRDefault="007F40B7" w:rsidP="000D4275">
      <w:pPr>
        <w:pStyle w:val="NoSpacing"/>
        <w:rPr>
          <w:rFonts w:cs="Tahoma"/>
        </w:rPr>
      </w:pPr>
    </w:p>
    <w:p w:rsidR="00FE5027" w:rsidRDefault="00FE5027" w:rsidP="000D4275">
      <w:pPr>
        <w:pStyle w:val="NoSpacing"/>
        <w:rPr>
          <w:rFonts w:ascii="Tahoma" w:hAnsi="Tahoma" w:cs="Tahoma"/>
          <w:sz w:val="24"/>
          <w:szCs w:val="24"/>
        </w:rPr>
      </w:pPr>
      <w:r>
        <w:rPr>
          <w:rFonts w:ascii="Tahoma" w:hAnsi="Tahoma" w:cs="Tahoma"/>
          <w:sz w:val="24"/>
          <w:szCs w:val="24"/>
        </w:rPr>
        <w:t>Sorb</w:t>
      </w:r>
      <w:r w:rsidR="007F40B7">
        <w:rPr>
          <w:rFonts w:ascii="Tahoma" w:hAnsi="Tahoma" w:cs="Tahoma"/>
          <w:sz w:val="24"/>
          <w:szCs w:val="24"/>
        </w:rPr>
        <w:t>ent Technologies, Inc.</w:t>
      </w:r>
      <w:r>
        <w:rPr>
          <w:rFonts w:ascii="Tahoma" w:hAnsi="Tahoma" w:cs="Tahoma"/>
          <w:sz w:val="24"/>
          <w:szCs w:val="24"/>
        </w:rPr>
        <w:t xml:space="preserve"> – Booth 29</w:t>
      </w:r>
    </w:p>
    <w:p w:rsidR="007F40B7" w:rsidRDefault="007F40B7" w:rsidP="007F40B7">
      <w:pPr>
        <w:pStyle w:val="BodyText"/>
        <w:rPr>
          <w:rFonts w:ascii="Calibri" w:hAnsi="Calibri"/>
          <w:color w:val="000033"/>
          <w:sz w:val="22"/>
          <w:szCs w:val="22"/>
        </w:rPr>
      </w:pPr>
    </w:p>
    <w:p w:rsidR="007F40B7" w:rsidRDefault="007F40B7" w:rsidP="007F40B7">
      <w:pPr>
        <w:pStyle w:val="BodyText"/>
        <w:rPr>
          <w:rFonts w:ascii="Calibri" w:hAnsi="Calibri"/>
          <w:sz w:val="22"/>
          <w:szCs w:val="22"/>
        </w:rPr>
      </w:pPr>
      <w:r>
        <w:rPr>
          <w:rFonts w:ascii="Calibri" w:hAnsi="Calibri"/>
          <w:color w:val="000033"/>
          <w:sz w:val="22"/>
          <w:szCs w:val="22"/>
        </w:rPr>
        <w:t xml:space="preserve">Sorbent Technologies is your </w:t>
      </w:r>
      <w:r>
        <w:rPr>
          <w:rFonts w:ascii="Calibri" w:hAnsi="Calibri"/>
          <w:sz w:val="22"/>
          <w:szCs w:val="22"/>
        </w:rPr>
        <w:t xml:space="preserve">Separation/Purification Solution Source, specializing in premium chromatography products for natural product purification &amp; organic synthesis used in laboratory, pilot, and production facilities. Bulk Sorbents: </w:t>
      </w:r>
      <w:proofErr w:type="spellStart"/>
      <w:r>
        <w:rPr>
          <w:rFonts w:ascii="Calibri" w:hAnsi="Calibri"/>
          <w:sz w:val="22"/>
          <w:szCs w:val="22"/>
        </w:rPr>
        <w:t>Silicas</w:t>
      </w:r>
      <w:proofErr w:type="spellEnd"/>
      <w:r>
        <w:rPr>
          <w:rFonts w:ascii="Calibri" w:hAnsi="Calibri"/>
          <w:sz w:val="22"/>
          <w:szCs w:val="22"/>
        </w:rPr>
        <w:t xml:space="preserve">, Bonded Phases, </w:t>
      </w:r>
      <w:proofErr w:type="spellStart"/>
      <w:r>
        <w:rPr>
          <w:rFonts w:ascii="Calibri" w:hAnsi="Calibri"/>
          <w:sz w:val="22"/>
          <w:szCs w:val="22"/>
        </w:rPr>
        <w:t>Aluminas</w:t>
      </w:r>
      <w:proofErr w:type="spellEnd"/>
      <w:r>
        <w:rPr>
          <w:rFonts w:ascii="Calibri" w:hAnsi="Calibri"/>
          <w:sz w:val="22"/>
          <w:szCs w:val="22"/>
        </w:rPr>
        <w:t xml:space="preserve">, Polymer Resins, </w:t>
      </w:r>
      <w:proofErr w:type="spellStart"/>
      <w:r>
        <w:rPr>
          <w:rFonts w:ascii="Calibri" w:hAnsi="Calibri"/>
          <w:sz w:val="22"/>
          <w:szCs w:val="22"/>
        </w:rPr>
        <w:t>Sorbadex</w:t>
      </w:r>
      <w:proofErr w:type="spellEnd"/>
      <w:r>
        <w:rPr>
          <w:rFonts w:ascii="Calibri" w:hAnsi="Calibri"/>
          <w:sz w:val="22"/>
          <w:szCs w:val="22"/>
        </w:rPr>
        <w:t xml:space="preserve"> Dextran, </w:t>
      </w:r>
      <w:proofErr w:type="spellStart"/>
      <w:r>
        <w:rPr>
          <w:rFonts w:ascii="Calibri" w:hAnsi="Calibri"/>
          <w:sz w:val="22"/>
          <w:szCs w:val="22"/>
        </w:rPr>
        <w:t>Florisil</w:t>
      </w:r>
      <w:proofErr w:type="spellEnd"/>
      <w:r>
        <w:rPr>
          <w:rFonts w:ascii="Calibri" w:hAnsi="Calibri"/>
          <w:sz w:val="22"/>
          <w:szCs w:val="22"/>
        </w:rPr>
        <w:t xml:space="preserve">, Polyamide; TLC Plates; Flash Cartridges &amp; Systems (pumps, fraction collectors, detectors); HPLC Columns: Analytical &amp; Semi-Prep, &amp; Prep (Grace </w:t>
      </w:r>
      <w:proofErr w:type="spellStart"/>
      <w:r>
        <w:rPr>
          <w:rFonts w:ascii="Calibri" w:hAnsi="Calibri"/>
          <w:sz w:val="22"/>
          <w:szCs w:val="22"/>
        </w:rPr>
        <w:t>Vydac</w:t>
      </w:r>
      <w:proofErr w:type="spellEnd"/>
      <w:r>
        <w:rPr>
          <w:rFonts w:ascii="Calibri" w:hAnsi="Calibri"/>
          <w:sz w:val="22"/>
          <w:szCs w:val="22"/>
        </w:rPr>
        <w:t xml:space="preserve">, </w:t>
      </w:r>
      <w:proofErr w:type="spellStart"/>
      <w:r>
        <w:rPr>
          <w:rFonts w:ascii="Calibri" w:hAnsi="Calibri"/>
          <w:sz w:val="22"/>
          <w:szCs w:val="22"/>
        </w:rPr>
        <w:t>Macherey</w:t>
      </w:r>
      <w:proofErr w:type="spellEnd"/>
      <w:r>
        <w:rPr>
          <w:rFonts w:ascii="Calibri" w:hAnsi="Calibri"/>
          <w:sz w:val="22"/>
          <w:szCs w:val="22"/>
        </w:rPr>
        <w:t xml:space="preserve">-Nagel, Jordi-GPC &amp; SEC); GC columns; FPLC Columns for Prep &amp; Process; SPE Cartridges; </w:t>
      </w:r>
      <w:proofErr w:type="spellStart"/>
      <w:r>
        <w:rPr>
          <w:rFonts w:ascii="Calibri" w:hAnsi="Calibri"/>
          <w:sz w:val="22"/>
          <w:szCs w:val="22"/>
        </w:rPr>
        <w:t>Centrifan</w:t>
      </w:r>
      <w:proofErr w:type="spellEnd"/>
      <w:r>
        <w:rPr>
          <w:rFonts w:ascii="Calibri" w:hAnsi="Calibri"/>
          <w:sz w:val="22"/>
          <w:szCs w:val="22"/>
        </w:rPr>
        <w:t xml:space="preserve"> Solvent Evaporation Systems. Lab Supplies: Pipet Tips, PCR, Tubes, </w:t>
      </w:r>
      <w:proofErr w:type="spellStart"/>
      <w:r>
        <w:rPr>
          <w:rFonts w:ascii="Calibri" w:hAnsi="Calibri"/>
          <w:sz w:val="22"/>
          <w:szCs w:val="22"/>
        </w:rPr>
        <w:t>Pipettors</w:t>
      </w:r>
      <w:proofErr w:type="spellEnd"/>
      <w:r>
        <w:rPr>
          <w:rFonts w:ascii="Calibri" w:hAnsi="Calibri"/>
          <w:sz w:val="22"/>
          <w:szCs w:val="22"/>
        </w:rPr>
        <w:t xml:space="preserve">, Gloves, Racks, Boxes, Dispensers, Microscopes.  </w:t>
      </w:r>
      <w:proofErr w:type="spellStart"/>
      <w:r>
        <w:rPr>
          <w:rFonts w:ascii="Calibri" w:hAnsi="Calibri"/>
          <w:sz w:val="22"/>
          <w:szCs w:val="22"/>
        </w:rPr>
        <w:t>SorbTech</w:t>
      </w:r>
      <w:proofErr w:type="spellEnd"/>
      <w:r>
        <w:rPr>
          <w:rFonts w:ascii="Calibri" w:hAnsi="Calibri"/>
          <w:sz w:val="22"/>
          <w:szCs w:val="22"/>
        </w:rPr>
        <w:t xml:space="preserve"> offers the most efficient, cost-saving solutions to dramatically reduce your lab &amp; manufacturing costs and &amp; time! </w:t>
      </w:r>
    </w:p>
    <w:p w:rsidR="007F40B7" w:rsidRDefault="007F40B7" w:rsidP="000D4275">
      <w:pPr>
        <w:pStyle w:val="NoSpacing"/>
        <w:rPr>
          <w:rFonts w:ascii="Tahoma" w:hAnsi="Tahoma" w:cs="Tahoma"/>
          <w:sz w:val="24"/>
          <w:szCs w:val="24"/>
        </w:rPr>
      </w:pPr>
    </w:p>
    <w:p w:rsidR="009B3BC3" w:rsidRDefault="009B3BC3" w:rsidP="000D4275">
      <w:pPr>
        <w:pStyle w:val="NoSpacing"/>
        <w:rPr>
          <w:rFonts w:ascii="Tahoma" w:hAnsi="Tahoma" w:cs="Tahoma"/>
          <w:sz w:val="24"/>
          <w:szCs w:val="24"/>
        </w:rPr>
      </w:pPr>
      <w:r>
        <w:rPr>
          <w:rFonts w:ascii="Tahoma" w:hAnsi="Tahoma" w:cs="Tahoma"/>
          <w:sz w:val="24"/>
          <w:szCs w:val="24"/>
        </w:rPr>
        <w:t>SWRM 2016 – Booth 22</w:t>
      </w:r>
    </w:p>
    <w:p w:rsidR="009B3BC3" w:rsidRDefault="009B3BC3" w:rsidP="000D4275">
      <w:pPr>
        <w:pStyle w:val="NoSpacing"/>
        <w:rPr>
          <w:rFonts w:ascii="Tahoma" w:hAnsi="Tahoma" w:cs="Tahoma"/>
          <w:sz w:val="24"/>
          <w:szCs w:val="24"/>
        </w:rPr>
      </w:pPr>
    </w:p>
    <w:p w:rsidR="00786976" w:rsidRDefault="00786976" w:rsidP="000D4275">
      <w:pPr>
        <w:pStyle w:val="NoSpacing"/>
        <w:rPr>
          <w:rFonts w:ascii="Tahoma" w:hAnsi="Tahoma" w:cs="Tahoma"/>
          <w:sz w:val="24"/>
          <w:szCs w:val="24"/>
        </w:rPr>
      </w:pPr>
      <w:r>
        <w:rPr>
          <w:rFonts w:ascii="Tahoma" w:hAnsi="Tahoma" w:cs="Tahoma"/>
          <w:sz w:val="24"/>
          <w:szCs w:val="24"/>
        </w:rPr>
        <w:t>TCI America – Booth 24</w:t>
      </w:r>
    </w:p>
    <w:p w:rsidR="000C5468" w:rsidRDefault="000C5468" w:rsidP="000D4275">
      <w:pPr>
        <w:pStyle w:val="NoSpacing"/>
        <w:rPr>
          <w:rFonts w:ascii="Tahoma" w:hAnsi="Tahoma" w:cs="Tahoma"/>
          <w:sz w:val="24"/>
          <w:szCs w:val="24"/>
        </w:rPr>
      </w:pPr>
    </w:p>
    <w:p w:rsidR="000C5468" w:rsidRPr="00CE5D4A" w:rsidRDefault="000C5468" w:rsidP="000C5468">
      <w:r w:rsidRPr="00CE5D4A">
        <w:t xml:space="preserve">TCI is a leading worldwide provider of fine chemicals for research and development. We offer over 25,000 research reagents, including more than 8,000 unique products. With manufacturing facilities in the USA and Japan, and 60 plus years of synthesis experience, TCI also provides custom synthesis and bulk quantities to meet the needs of today’s top scientists. Visit TCI’s booth to obtain a 20% off coupon! </w:t>
      </w:r>
    </w:p>
    <w:p w:rsidR="00FE5027" w:rsidRDefault="00824B51" w:rsidP="000D4275">
      <w:pPr>
        <w:pStyle w:val="NoSpacing"/>
        <w:rPr>
          <w:rFonts w:ascii="Tahoma" w:hAnsi="Tahoma" w:cs="Tahoma"/>
          <w:sz w:val="24"/>
          <w:szCs w:val="24"/>
        </w:rPr>
      </w:pPr>
      <w:r>
        <w:rPr>
          <w:rFonts w:ascii="Tahoma" w:hAnsi="Tahoma" w:cs="Tahoma"/>
          <w:sz w:val="24"/>
          <w:szCs w:val="24"/>
        </w:rPr>
        <w:t xml:space="preserve">Teledyne </w:t>
      </w:r>
      <w:proofErr w:type="spellStart"/>
      <w:r>
        <w:rPr>
          <w:rFonts w:ascii="Tahoma" w:hAnsi="Tahoma" w:cs="Tahoma"/>
          <w:sz w:val="24"/>
          <w:szCs w:val="24"/>
        </w:rPr>
        <w:t>Isco</w:t>
      </w:r>
      <w:proofErr w:type="spellEnd"/>
      <w:r>
        <w:rPr>
          <w:rFonts w:ascii="Tahoma" w:hAnsi="Tahoma" w:cs="Tahoma"/>
          <w:sz w:val="24"/>
          <w:szCs w:val="24"/>
        </w:rPr>
        <w:t xml:space="preserve"> – Booth 9</w:t>
      </w:r>
    </w:p>
    <w:p w:rsidR="00FA6C3E" w:rsidRDefault="00FA6C3E" w:rsidP="00FA6C3E">
      <w:pPr>
        <w:pStyle w:val="NoSpacing"/>
      </w:pPr>
    </w:p>
    <w:p w:rsidR="00FA6C3E" w:rsidRDefault="00FA6C3E" w:rsidP="000D4275">
      <w:pPr>
        <w:pStyle w:val="NoSpacing"/>
        <w:rPr>
          <w:rFonts w:ascii="Tahoma" w:hAnsi="Tahoma" w:cs="Tahoma"/>
          <w:sz w:val="24"/>
          <w:szCs w:val="24"/>
        </w:rPr>
      </w:pPr>
      <w:r w:rsidRPr="00FA6C3E">
        <w:t xml:space="preserve">Teledyne </w:t>
      </w:r>
      <w:proofErr w:type="spellStart"/>
      <w:r w:rsidRPr="00FA6C3E">
        <w:t>Isco</w:t>
      </w:r>
      <w:proofErr w:type="spellEnd"/>
      <w:r w:rsidRPr="00FA6C3E">
        <w:t xml:space="preserve"> Chromatography product </w:t>
      </w:r>
      <w:proofErr w:type="gramStart"/>
      <w:r w:rsidRPr="00FA6C3E">
        <w:t>line includes instruments and accessories for the purification of organic compounds in normal phase and reverse</w:t>
      </w:r>
      <w:proofErr w:type="gramEnd"/>
      <w:r w:rsidRPr="00FA6C3E">
        <w:t xml:space="preserve"> phase separation</w:t>
      </w:r>
      <w:r>
        <w:t>s.</w:t>
      </w:r>
    </w:p>
    <w:p w:rsidR="001D7257" w:rsidRDefault="001D7257" w:rsidP="000D4275">
      <w:pPr>
        <w:pStyle w:val="NoSpacing"/>
        <w:rPr>
          <w:rFonts w:ascii="Tahoma" w:hAnsi="Tahoma" w:cs="Tahoma"/>
          <w:sz w:val="24"/>
          <w:szCs w:val="24"/>
        </w:rPr>
      </w:pPr>
    </w:p>
    <w:p w:rsidR="001D7257" w:rsidRDefault="001D7257" w:rsidP="000D4275">
      <w:pPr>
        <w:pStyle w:val="NoSpacing"/>
        <w:rPr>
          <w:rFonts w:ascii="Tahoma" w:hAnsi="Tahoma" w:cs="Tahoma"/>
          <w:sz w:val="24"/>
          <w:szCs w:val="24"/>
        </w:rPr>
      </w:pPr>
      <w:r>
        <w:rPr>
          <w:rFonts w:ascii="Tahoma" w:hAnsi="Tahoma" w:cs="Tahoma"/>
          <w:sz w:val="24"/>
          <w:szCs w:val="24"/>
        </w:rPr>
        <w:t>Thermo</w:t>
      </w:r>
      <w:r w:rsidR="00DF17C4">
        <w:rPr>
          <w:rFonts w:ascii="Tahoma" w:hAnsi="Tahoma" w:cs="Tahoma"/>
          <w:sz w:val="24"/>
          <w:szCs w:val="24"/>
        </w:rPr>
        <w:t xml:space="preserve"> F</w:t>
      </w:r>
      <w:r>
        <w:rPr>
          <w:rFonts w:ascii="Tahoma" w:hAnsi="Tahoma" w:cs="Tahoma"/>
          <w:sz w:val="24"/>
          <w:szCs w:val="24"/>
        </w:rPr>
        <w:t>isher Scientific – Booth 28</w:t>
      </w:r>
    </w:p>
    <w:p w:rsidR="00824B51" w:rsidRDefault="00824B51" w:rsidP="000D4275">
      <w:pPr>
        <w:pStyle w:val="NoSpacing"/>
        <w:rPr>
          <w:rFonts w:ascii="Tahoma" w:hAnsi="Tahoma" w:cs="Tahoma"/>
          <w:sz w:val="24"/>
          <w:szCs w:val="24"/>
        </w:rPr>
      </w:pPr>
    </w:p>
    <w:p w:rsidR="00194267" w:rsidRPr="009B3BC3" w:rsidRDefault="00194267" w:rsidP="00194267">
      <w:pPr>
        <w:rPr>
          <w:rFonts w:cs="Arial"/>
          <w:i/>
          <w:iCs/>
        </w:rPr>
      </w:pPr>
      <w:r w:rsidRPr="009B3BC3">
        <w:rPr>
          <w:rFonts w:cs="Arial"/>
          <w:i/>
          <w:iCs/>
        </w:rPr>
        <w:t xml:space="preserve">From routine analysis to new discoveries, Thermo Fisher Scientific innovations help professionals do the science they need to do, the way they want to do it. Our high-end analytical instruments, laboratory equipment, software, services, consumables and reagents help our customers solve complex analytical challenges, improve patient diagnostics and increase laboratory productivity. </w:t>
      </w:r>
    </w:p>
    <w:p w:rsidR="00FE5027" w:rsidRDefault="00FE5027" w:rsidP="000D4275">
      <w:pPr>
        <w:pStyle w:val="NoSpacing"/>
        <w:rPr>
          <w:rFonts w:ascii="Tahoma" w:hAnsi="Tahoma" w:cs="Tahoma"/>
          <w:sz w:val="24"/>
          <w:szCs w:val="24"/>
        </w:rPr>
      </w:pPr>
      <w:r>
        <w:rPr>
          <w:rFonts w:ascii="Tahoma" w:hAnsi="Tahoma" w:cs="Tahoma"/>
          <w:sz w:val="24"/>
          <w:szCs w:val="24"/>
        </w:rPr>
        <w:t>Vernier – Booth 31</w:t>
      </w:r>
    </w:p>
    <w:p w:rsidR="009B3BC3" w:rsidRPr="009B3BC3" w:rsidRDefault="009B3BC3" w:rsidP="000D4275">
      <w:pPr>
        <w:pStyle w:val="NoSpacing"/>
        <w:rPr>
          <w:rFonts w:cs="Tahoma"/>
          <w:sz w:val="24"/>
          <w:szCs w:val="24"/>
        </w:rPr>
      </w:pPr>
    </w:p>
    <w:p w:rsidR="009B3BC3" w:rsidRPr="009B3BC3" w:rsidRDefault="009B3BC3" w:rsidP="009B3BC3">
      <w:r w:rsidRPr="009B3BC3">
        <w:rPr>
          <w:rFonts w:cs="Arial"/>
          <w:color w:val="000000"/>
        </w:rPr>
        <w:t xml:space="preserve">Stop by the Vernier Software &amp; Technology booth to see our exciting products for college chemistry such as our UV-VIS Spectrophotometer, </w:t>
      </w:r>
      <w:proofErr w:type="spellStart"/>
      <w:r w:rsidRPr="009B3BC3">
        <w:rPr>
          <w:rFonts w:cs="Arial"/>
          <w:color w:val="000000"/>
        </w:rPr>
        <w:t>Polarimeter</w:t>
      </w:r>
      <w:proofErr w:type="spellEnd"/>
      <w:r w:rsidRPr="009B3BC3">
        <w:rPr>
          <w:rFonts w:cs="Arial"/>
          <w:color w:val="000000"/>
        </w:rPr>
        <w:t xml:space="preserve">, Melt Station Melting Temperature Sensor, </w:t>
      </w:r>
      <w:proofErr w:type="spellStart"/>
      <w:r w:rsidRPr="009B3BC3">
        <w:rPr>
          <w:rFonts w:cs="Arial"/>
          <w:color w:val="000000"/>
        </w:rPr>
        <w:t>SpectroVis</w:t>
      </w:r>
      <w:proofErr w:type="spellEnd"/>
      <w:r w:rsidRPr="009B3BC3">
        <w:rPr>
          <w:rFonts w:cs="Arial"/>
          <w:color w:val="000000"/>
        </w:rPr>
        <w:t xml:space="preserve"> Plus spectrophotometer with fluorescence capabilities, and Vernier Mini GC Plus. Use any of these devices on a computer or our stand-alone </w:t>
      </w:r>
      <w:proofErr w:type="spellStart"/>
      <w:r w:rsidRPr="009B3BC3">
        <w:rPr>
          <w:rFonts w:cs="Arial"/>
          <w:color w:val="000000"/>
        </w:rPr>
        <w:t>LabQuest</w:t>
      </w:r>
      <w:proofErr w:type="spellEnd"/>
      <w:r w:rsidRPr="009B3BC3">
        <w:rPr>
          <w:rFonts w:cs="Arial"/>
          <w:color w:val="000000"/>
        </w:rPr>
        <w:t xml:space="preserve"> 2 lab interface.</w:t>
      </w:r>
    </w:p>
    <w:p w:rsidR="00824B51" w:rsidRDefault="00824B51" w:rsidP="000D4275">
      <w:pPr>
        <w:pStyle w:val="NoSpacing"/>
        <w:rPr>
          <w:rFonts w:ascii="Tahoma" w:hAnsi="Tahoma" w:cs="Tahoma"/>
          <w:sz w:val="24"/>
          <w:szCs w:val="24"/>
        </w:rPr>
      </w:pPr>
      <w:r>
        <w:rPr>
          <w:rFonts w:ascii="Tahoma" w:hAnsi="Tahoma" w:cs="Tahoma"/>
          <w:sz w:val="24"/>
          <w:szCs w:val="24"/>
        </w:rPr>
        <w:t>Waters Corporation – Booth 20</w:t>
      </w:r>
    </w:p>
    <w:p w:rsidR="007F40B7" w:rsidRDefault="007F40B7" w:rsidP="000D4275">
      <w:pPr>
        <w:pStyle w:val="NoSpacing"/>
        <w:rPr>
          <w:rFonts w:ascii="Tahoma" w:hAnsi="Tahoma" w:cs="Tahoma"/>
          <w:sz w:val="24"/>
          <w:szCs w:val="24"/>
        </w:rPr>
      </w:pPr>
    </w:p>
    <w:p w:rsidR="007F40B7" w:rsidRPr="002434F5" w:rsidRDefault="007F40B7" w:rsidP="000D4275">
      <w:pPr>
        <w:pStyle w:val="NoSpacing"/>
        <w:rPr>
          <w:rFonts w:cs="Tahoma"/>
        </w:rPr>
      </w:pPr>
      <w:r w:rsidRPr="002434F5">
        <w:rPr>
          <w:rFonts w:cs="Tahoma"/>
        </w:rPr>
        <w:t>Waters Corporation, the premium brand in the analytical instruments industry, creates business advantages for laboratory-dependent organizations by delivering practical and sustainable innovation to enable significant advancements in healthcare delivery, environmental management, food safety, and water quality worldwide.</w:t>
      </w:r>
    </w:p>
    <w:p w:rsidR="00824B51" w:rsidRDefault="00824B51" w:rsidP="000D4275">
      <w:pPr>
        <w:pStyle w:val="NoSpacing"/>
        <w:rPr>
          <w:rFonts w:ascii="Tahoma" w:hAnsi="Tahoma" w:cs="Tahoma"/>
          <w:sz w:val="24"/>
          <w:szCs w:val="24"/>
        </w:rPr>
      </w:pPr>
    </w:p>
    <w:p w:rsidR="00FE5027" w:rsidRDefault="00FE5027" w:rsidP="000D4275">
      <w:pPr>
        <w:pStyle w:val="NoSpacing"/>
        <w:rPr>
          <w:rFonts w:ascii="Tahoma" w:hAnsi="Tahoma" w:cs="Tahoma"/>
          <w:sz w:val="24"/>
          <w:szCs w:val="24"/>
        </w:rPr>
      </w:pPr>
      <w:proofErr w:type="spellStart"/>
      <w:r>
        <w:rPr>
          <w:rFonts w:ascii="Tahoma" w:hAnsi="Tahoma" w:cs="Tahoma"/>
          <w:sz w:val="24"/>
          <w:szCs w:val="24"/>
        </w:rPr>
        <w:t>WebAssign</w:t>
      </w:r>
      <w:proofErr w:type="spellEnd"/>
      <w:r>
        <w:rPr>
          <w:rFonts w:ascii="Tahoma" w:hAnsi="Tahoma" w:cs="Tahoma"/>
          <w:sz w:val="24"/>
          <w:szCs w:val="24"/>
        </w:rPr>
        <w:t xml:space="preserve"> – Booth 4</w:t>
      </w:r>
    </w:p>
    <w:p w:rsidR="00FE5027" w:rsidRDefault="00FE5027" w:rsidP="000D4275">
      <w:pPr>
        <w:pStyle w:val="NoSpacing"/>
        <w:rPr>
          <w:rFonts w:ascii="Tahoma" w:hAnsi="Tahoma" w:cs="Tahoma"/>
          <w:sz w:val="24"/>
          <w:szCs w:val="24"/>
        </w:rPr>
      </w:pPr>
    </w:p>
    <w:p w:rsidR="00FE5027" w:rsidRPr="00FD0838" w:rsidRDefault="001D7257" w:rsidP="00FD0838">
      <w:pPr>
        <w:pStyle w:val="NoSpacing"/>
        <w:rPr>
          <w:rFonts w:cs="Tahoma"/>
          <w:sz w:val="24"/>
          <w:szCs w:val="24"/>
        </w:rPr>
      </w:pPr>
      <w:proofErr w:type="spellStart"/>
      <w:r w:rsidRPr="00FD0838">
        <w:t>WebAssign</w:t>
      </w:r>
      <w:proofErr w:type="spellEnd"/>
      <w:r w:rsidRPr="00FD0838">
        <w:t xml:space="preserve"> is the only employee-owned and operated online learning chemistry solution to partner with all major textbook publishers, offering content from more than 180 chemistry titles. With easy-to-use tools and customizable </w:t>
      </w:r>
      <w:proofErr w:type="spellStart"/>
      <w:r w:rsidRPr="00FD0838">
        <w:t>precoded</w:t>
      </w:r>
      <w:proofErr w:type="spellEnd"/>
      <w:r w:rsidRPr="00FD0838">
        <w:t xml:space="preserve"> questions covering every course from preparatory chemistry through </w:t>
      </w:r>
      <w:bookmarkStart w:id="0" w:name="_GoBack"/>
      <w:bookmarkEnd w:id="0"/>
      <w:r w:rsidRPr="00FD0838">
        <w:t>physical and analytical chemistry, creating the perfect chemistry course has never been easier. </w:t>
      </w:r>
    </w:p>
    <w:sectPr w:rsidR="00FE5027" w:rsidRPr="00FD0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75"/>
    <w:rsid w:val="000402B1"/>
    <w:rsid w:val="000A0C5F"/>
    <w:rsid w:val="000C5468"/>
    <w:rsid w:val="000D4275"/>
    <w:rsid w:val="00194267"/>
    <w:rsid w:val="001B40B8"/>
    <w:rsid w:val="001C37ED"/>
    <w:rsid w:val="001D7257"/>
    <w:rsid w:val="002434F5"/>
    <w:rsid w:val="002D5719"/>
    <w:rsid w:val="00786976"/>
    <w:rsid w:val="007F40B7"/>
    <w:rsid w:val="00824B51"/>
    <w:rsid w:val="009B3BC3"/>
    <w:rsid w:val="00A024CB"/>
    <w:rsid w:val="00A767DD"/>
    <w:rsid w:val="00B87E7E"/>
    <w:rsid w:val="00C55B76"/>
    <w:rsid w:val="00CE5D4A"/>
    <w:rsid w:val="00D56EB5"/>
    <w:rsid w:val="00DF17C4"/>
    <w:rsid w:val="00FA6C3E"/>
    <w:rsid w:val="00FD0838"/>
    <w:rsid w:val="00FE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75"/>
    <w:rPr>
      <w:rFonts w:ascii="Tahoma" w:hAnsi="Tahoma" w:cs="Tahoma"/>
      <w:sz w:val="16"/>
      <w:szCs w:val="16"/>
    </w:rPr>
  </w:style>
  <w:style w:type="paragraph" w:styleId="NoSpacing">
    <w:name w:val="No Spacing"/>
    <w:uiPriority w:val="1"/>
    <w:qFormat/>
    <w:rsid w:val="000D4275"/>
    <w:pPr>
      <w:spacing w:after="0" w:line="240" w:lineRule="auto"/>
    </w:pPr>
  </w:style>
  <w:style w:type="character" w:styleId="Strong">
    <w:name w:val="Strong"/>
    <w:basedOn w:val="DefaultParagraphFont"/>
    <w:uiPriority w:val="22"/>
    <w:qFormat/>
    <w:rsid w:val="000402B1"/>
    <w:rPr>
      <w:b/>
      <w:bCs/>
    </w:rPr>
  </w:style>
  <w:style w:type="paragraph" w:customStyle="1" w:styleId="Default">
    <w:name w:val="Default"/>
    <w:rsid w:val="00A024C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024CB"/>
    <w:rPr>
      <w:color w:val="0000FF"/>
      <w:u w:val="single"/>
    </w:rPr>
  </w:style>
  <w:style w:type="paragraph" w:styleId="PlainText">
    <w:name w:val="Plain Text"/>
    <w:basedOn w:val="Normal"/>
    <w:link w:val="PlainTextChar"/>
    <w:uiPriority w:val="99"/>
    <w:semiHidden/>
    <w:unhideWhenUsed/>
    <w:rsid w:val="00C55B7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C55B76"/>
    <w:rPr>
      <w:rFonts w:ascii="Calibri" w:hAnsi="Calibri" w:cs="Consolas"/>
      <w:szCs w:val="21"/>
    </w:rPr>
  </w:style>
  <w:style w:type="paragraph" w:styleId="BodyText">
    <w:name w:val="Body Text"/>
    <w:basedOn w:val="Normal"/>
    <w:link w:val="BodyTextChar"/>
    <w:uiPriority w:val="99"/>
    <w:semiHidden/>
    <w:unhideWhenUsed/>
    <w:rsid w:val="007F40B7"/>
    <w:pPr>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semiHidden/>
    <w:rsid w:val="007F40B7"/>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75"/>
    <w:rPr>
      <w:rFonts w:ascii="Tahoma" w:hAnsi="Tahoma" w:cs="Tahoma"/>
      <w:sz w:val="16"/>
      <w:szCs w:val="16"/>
    </w:rPr>
  </w:style>
  <w:style w:type="paragraph" w:styleId="NoSpacing">
    <w:name w:val="No Spacing"/>
    <w:uiPriority w:val="1"/>
    <w:qFormat/>
    <w:rsid w:val="000D4275"/>
    <w:pPr>
      <w:spacing w:after="0" w:line="240" w:lineRule="auto"/>
    </w:pPr>
  </w:style>
  <w:style w:type="character" w:styleId="Strong">
    <w:name w:val="Strong"/>
    <w:basedOn w:val="DefaultParagraphFont"/>
    <w:uiPriority w:val="22"/>
    <w:qFormat/>
    <w:rsid w:val="000402B1"/>
    <w:rPr>
      <w:b/>
      <w:bCs/>
    </w:rPr>
  </w:style>
  <w:style w:type="paragraph" w:customStyle="1" w:styleId="Default">
    <w:name w:val="Default"/>
    <w:rsid w:val="00A024C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024CB"/>
    <w:rPr>
      <w:color w:val="0000FF"/>
      <w:u w:val="single"/>
    </w:rPr>
  </w:style>
  <w:style w:type="paragraph" w:styleId="PlainText">
    <w:name w:val="Plain Text"/>
    <w:basedOn w:val="Normal"/>
    <w:link w:val="PlainTextChar"/>
    <w:uiPriority w:val="99"/>
    <w:semiHidden/>
    <w:unhideWhenUsed/>
    <w:rsid w:val="00C55B7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C55B76"/>
    <w:rPr>
      <w:rFonts w:ascii="Calibri" w:hAnsi="Calibri" w:cs="Consolas"/>
      <w:szCs w:val="21"/>
    </w:rPr>
  </w:style>
  <w:style w:type="paragraph" w:styleId="BodyText">
    <w:name w:val="Body Text"/>
    <w:basedOn w:val="Normal"/>
    <w:link w:val="BodyTextChar"/>
    <w:uiPriority w:val="99"/>
    <w:semiHidden/>
    <w:unhideWhenUsed/>
    <w:rsid w:val="007F40B7"/>
    <w:pPr>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semiHidden/>
    <w:rsid w:val="007F40B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45082">
      <w:bodyDiv w:val="1"/>
      <w:marLeft w:val="0"/>
      <w:marRight w:val="0"/>
      <w:marTop w:val="0"/>
      <w:marBottom w:val="0"/>
      <w:divBdr>
        <w:top w:val="none" w:sz="0" w:space="0" w:color="auto"/>
        <w:left w:val="none" w:sz="0" w:space="0" w:color="auto"/>
        <w:bottom w:val="none" w:sz="0" w:space="0" w:color="auto"/>
        <w:right w:val="none" w:sz="0" w:space="0" w:color="auto"/>
      </w:divBdr>
    </w:div>
    <w:div w:id="316736777">
      <w:bodyDiv w:val="1"/>
      <w:marLeft w:val="0"/>
      <w:marRight w:val="0"/>
      <w:marTop w:val="0"/>
      <w:marBottom w:val="0"/>
      <w:divBdr>
        <w:top w:val="none" w:sz="0" w:space="0" w:color="auto"/>
        <w:left w:val="none" w:sz="0" w:space="0" w:color="auto"/>
        <w:bottom w:val="none" w:sz="0" w:space="0" w:color="auto"/>
        <w:right w:val="none" w:sz="0" w:space="0" w:color="auto"/>
      </w:divBdr>
    </w:div>
    <w:div w:id="354771083">
      <w:bodyDiv w:val="1"/>
      <w:marLeft w:val="0"/>
      <w:marRight w:val="0"/>
      <w:marTop w:val="0"/>
      <w:marBottom w:val="0"/>
      <w:divBdr>
        <w:top w:val="none" w:sz="0" w:space="0" w:color="auto"/>
        <w:left w:val="none" w:sz="0" w:space="0" w:color="auto"/>
        <w:bottom w:val="none" w:sz="0" w:space="0" w:color="auto"/>
        <w:right w:val="none" w:sz="0" w:space="0" w:color="auto"/>
      </w:divBdr>
    </w:div>
    <w:div w:id="568731391">
      <w:bodyDiv w:val="1"/>
      <w:marLeft w:val="0"/>
      <w:marRight w:val="0"/>
      <w:marTop w:val="0"/>
      <w:marBottom w:val="0"/>
      <w:divBdr>
        <w:top w:val="none" w:sz="0" w:space="0" w:color="auto"/>
        <w:left w:val="none" w:sz="0" w:space="0" w:color="auto"/>
        <w:bottom w:val="none" w:sz="0" w:space="0" w:color="auto"/>
        <w:right w:val="none" w:sz="0" w:space="0" w:color="auto"/>
      </w:divBdr>
    </w:div>
    <w:div w:id="822936755">
      <w:bodyDiv w:val="1"/>
      <w:marLeft w:val="0"/>
      <w:marRight w:val="0"/>
      <w:marTop w:val="0"/>
      <w:marBottom w:val="0"/>
      <w:divBdr>
        <w:top w:val="none" w:sz="0" w:space="0" w:color="auto"/>
        <w:left w:val="none" w:sz="0" w:space="0" w:color="auto"/>
        <w:bottom w:val="none" w:sz="0" w:space="0" w:color="auto"/>
        <w:right w:val="none" w:sz="0" w:space="0" w:color="auto"/>
      </w:divBdr>
    </w:div>
    <w:div w:id="906457761">
      <w:bodyDiv w:val="1"/>
      <w:marLeft w:val="0"/>
      <w:marRight w:val="0"/>
      <w:marTop w:val="0"/>
      <w:marBottom w:val="0"/>
      <w:divBdr>
        <w:top w:val="none" w:sz="0" w:space="0" w:color="auto"/>
        <w:left w:val="none" w:sz="0" w:space="0" w:color="auto"/>
        <w:bottom w:val="none" w:sz="0" w:space="0" w:color="auto"/>
        <w:right w:val="none" w:sz="0" w:space="0" w:color="auto"/>
      </w:divBdr>
    </w:div>
    <w:div w:id="957420250">
      <w:bodyDiv w:val="1"/>
      <w:marLeft w:val="0"/>
      <w:marRight w:val="0"/>
      <w:marTop w:val="0"/>
      <w:marBottom w:val="0"/>
      <w:divBdr>
        <w:top w:val="none" w:sz="0" w:space="0" w:color="auto"/>
        <w:left w:val="none" w:sz="0" w:space="0" w:color="auto"/>
        <w:bottom w:val="none" w:sz="0" w:space="0" w:color="auto"/>
        <w:right w:val="none" w:sz="0" w:space="0" w:color="auto"/>
      </w:divBdr>
    </w:div>
    <w:div w:id="1155412104">
      <w:bodyDiv w:val="1"/>
      <w:marLeft w:val="0"/>
      <w:marRight w:val="0"/>
      <w:marTop w:val="0"/>
      <w:marBottom w:val="0"/>
      <w:divBdr>
        <w:top w:val="none" w:sz="0" w:space="0" w:color="auto"/>
        <w:left w:val="none" w:sz="0" w:space="0" w:color="auto"/>
        <w:bottom w:val="none" w:sz="0" w:space="0" w:color="auto"/>
        <w:right w:val="none" w:sz="0" w:space="0" w:color="auto"/>
      </w:divBdr>
    </w:div>
    <w:div w:id="1236432851">
      <w:bodyDiv w:val="1"/>
      <w:marLeft w:val="0"/>
      <w:marRight w:val="0"/>
      <w:marTop w:val="0"/>
      <w:marBottom w:val="0"/>
      <w:divBdr>
        <w:top w:val="none" w:sz="0" w:space="0" w:color="auto"/>
        <w:left w:val="none" w:sz="0" w:space="0" w:color="auto"/>
        <w:bottom w:val="none" w:sz="0" w:space="0" w:color="auto"/>
        <w:right w:val="none" w:sz="0" w:space="0" w:color="auto"/>
      </w:divBdr>
    </w:div>
    <w:div w:id="1534226443">
      <w:bodyDiv w:val="1"/>
      <w:marLeft w:val="0"/>
      <w:marRight w:val="0"/>
      <w:marTop w:val="0"/>
      <w:marBottom w:val="0"/>
      <w:divBdr>
        <w:top w:val="none" w:sz="0" w:space="0" w:color="auto"/>
        <w:left w:val="none" w:sz="0" w:space="0" w:color="auto"/>
        <w:bottom w:val="none" w:sz="0" w:space="0" w:color="auto"/>
        <w:right w:val="none" w:sz="0" w:space="0" w:color="auto"/>
      </w:divBdr>
    </w:div>
    <w:div w:id="1584486730">
      <w:bodyDiv w:val="1"/>
      <w:marLeft w:val="0"/>
      <w:marRight w:val="0"/>
      <w:marTop w:val="0"/>
      <w:marBottom w:val="0"/>
      <w:divBdr>
        <w:top w:val="none" w:sz="0" w:space="0" w:color="auto"/>
        <w:left w:val="none" w:sz="0" w:space="0" w:color="auto"/>
        <w:bottom w:val="none" w:sz="0" w:space="0" w:color="auto"/>
        <w:right w:val="none" w:sz="0" w:space="0" w:color="auto"/>
      </w:divBdr>
    </w:div>
    <w:div w:id="1609967116">
      <w:bodyDiv w:val="1"/>
      <w:marLeft w:val="0"/>
      <w:marRight w:val="0"/>
      <w:marTop w:val="0"/>
      <w:marBottom w:val="0"/>
      <w:divBdr>
        <w:top w:val="none" w:sz="0" w:space="0" w:color="auto"/>
        <w:left w:val="none" w:sz="0" w:space="0" w:color="auto"/>
        <w:bottom w:val="none" w:sz="0" w:space="0" w:color="auto"/>
        <w:right w:val="none" w:sz="0" w:space="0" w:color="auto"/>
      </w:divBdr>
    </w:div>
    <w:div w:id="1663267979">
      <w:bodyDiv w:val="1"/>
      <w:marLeft w:val="0"/>
      <w:marRight w:val="0"/>
      <w:marTop w:val="0"/>
      <w:marBottom w:val="0"/>
      <w:divBdr>
        <w:top w:val="none" w:sz="0" w:space="0" w:color="auto"/>
        <w:left w:val="none" w:sz="0" w:space="0" w:color="auto"/>
        <w:bottom w:val="none" w:sz="0" w:space="0" w:color="auto"/>
        <w:right w:val="none" w:sz="0" w:space="0" w:color="auto"/>
      </w:divBdr>
    </w:div>
    <w:div w:id="1696497642">
      <w:bodyDiv w:val="1"/>
      <w:marLeft w:val="0"/>
      <w:marRight w:val="0"/>
      <w:marTop w:val="0"/>
      <w:marBottom w:val="0"/>
      <w:divBdr>
        <w:top w:val="none" w:sz="0" w:space="0" w:color="auto"/>
        <w:left w:val="none" w:sz="0" w:space="0" w:color="auto"/>
        <w:bottom w:val="none" w:sz="0" w:space="0" w:color="auto"/>
        <w:right w:val="none" w:sz="0" w:space="0" w:color="auto"/>
      </w:divBdr>
    </w:div>
    <w:div w:id="1922710380">
      <w:bodyDiv w:val="1"/>
      <w:marLeft w:val="0"/>
      <w:marRight w:val="0"/>
      <w:marTop w:val="0"/>
      <w:marBottom w:val="0"/>
      <w:divBdr>
        <w:top w:val="none" w:sz="0" w:space="0" w:color="auto"/>
        <w:left w:val="none" w:sz="0" w:space="0" w:color="auto"/>
        <w:bottom w:val="none" w:sz="0" w:space="0" w:color="auto"/>
        <w:right w:val="none" w:sz="0" w:space="0" w:color="auto"/>
      </w:divBdr>
    </w:div>
    <w:div w:id="1998680667">
      <w:bodyDiv w:val="1"/>
      <w:marLeft w:val="0"/>
      <w:marRight w:val="0"/>
      <w:marTop w:val="0"/>
      <w:marBottom w:val="0"/>
      <w:divBdr>
        <w:top w:val="none" w:sz="0" w:space="0" w:color="auto"/>
        <w:left w:val="none" w:sz="0" w:space="0" w:color="auto"/>
        <w:bottom w:val="none" w:sz="0" w:space="0" w:color="auto"/>
        <w:right w:val="none" w:sz="0" w:space="0" w:color="auto"/>
      </w:divBdr>
    </w:div>
    <w:div w:id="20991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man.com" TargetMode="External"/><Relationship Id="rId3" Type="http://schemas.openxmlformats.org/officeDocument/2006/relationships/settings" Target="settings.xml"/><Relationship Id="rId7" Type="http://schemas.openxmlformats.org/officeDocument/2006/relationships/hyperlink" Target="http://www.bruke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ruker.com"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ineinst.com/ec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Christian Brothers University</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Merat</dc:creator>
  <cp:lastModifiedBy>Dennis  Merat</cp:lastModifiedBy>
  <cp:revision>2</cp:revision>
  <cp:lastPrinted>2015-10-28T03:10:00Z</cp:lastPrinted>
  <dcterms:created xsi:type="dcterms:W3CDTF">2015-10-28T22:03:00Z</dcterms:created>
  <dcterms:modified xsi:type="dcterms:W3CDTF">2015-10-28T22:03:00Z</dcterms:modified>
</cp:coreProperties>
</file>