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D43A" w14:textId="77777777" w:rsidR="00770392" w:rsidRPr="00271521" w:rsidRDefault="00770392" w:rsidP="007703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521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5494E3D" wp14:editId="084B4FCF">
            <wp:extent cx="1181100" cy="114300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E8878" w14:textId="77777777" w:rsidR="00770392" w:rsidRDefault="00770392" w:rsidP="0077039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056789" w14:textId="77777777" w:rsidR="00802FF3" w:rsidRPr="00271521" w:rsidRDefault="00802FF3" w:rsidP="0077039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D83418" w14:textId="06D96C25" w:rsidR="008D6DBE" w:rsidRPr="008D6DBE" w:rsidRDefault="00770392" w:rsidP="0027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8DC">
        <w:rPr>
          <w:rFonts w:ascii="Times New Roman" w:hAnsi="Times New Roman" w:cs="Times New Roman"/>
          <w:b/>
          <w:sz w:val="24"/>
          <w:szCs w:val="24"/>
        </w:rPr>
        <w:t>Overview</w:t>
      </w:r>
      <w:bookmarkStart w:id="0" w:name="_GoBack"/>
      <w:bookmarkEnd w:id="0"/>
      <w:r w:rsidR="004721EB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71521" w:rsidRPr="008D6DBE">
        <w:rPr>
          <w:rFonts w:ascii="Times New Roman" w:hAnsi="Times New Roman" w:cs="Times New Roman"/>
          <w:b/>
          <w:sz w:val="24"/>
          <w:szCs w:val="24"/>
        </w:rPr>
        <w:t xml:space="preserve">Notes on </w:t>
      </w:r>
      <w:r w:rsidR="008D6DBE" w:rsidRPr="008D6DBE">
        <w:rPr>
          <w:rFonts w:ascii="Times New Roman" w:hAnsi="Times New Roman" w:cs="Times New Roman"/>
          <w:b/>
          <w:sz w:val="24"/>
          <w:szCs w:val="24"/>
        </w:rPr>
        <w:t>Asian Development Bank</w:t>
      </w:r>
      <w:r w:rsidR="00271521" w:rsidRPr="008D6DBE">
        <w:rPr>
          <w:rFonts w:ascii="Times New Roman" w:hAnsi="Times New Roman" w:cs="Times New Roman"/>
          <w:b/>
          <w:sz w:val="24"/>
          <w:szCs w:val="24"/>
        </w:rPr>
        <w:t xml:space="preserve"> Safeguards </w:t>
      </w:r>
    </w:p>
    <w:p w14:paraId="6F619887" w14:textId="77777777" w:rsidR="008D6DBE" w:rsidRDefault="00271521" w:rsidP="0027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BE">
        <w:rPr>
          <w:rFonts w:ascii="Times New Roman" w:hAnsi="Times New Roman" w:cs="Times New Roman"/>
          <w:b/>
          <w:sz w:val="24"/>
          <w:szCs w:val="24"/>
        </w:rPr>
        <w:t xml:space="preserve">in the Context of the </w:t>
      </w:r>
      <w:r w:rsidR="008D6DBE" w:rsidRPr="008D6DBE">
        <w:rPr>
          <w:rFonts w:ascii="Times New Roman" w:hAnsi="Times New Roman" w:cs="Times New Roman"/>
          <w:b/>
          <w:sz w:val="24"/>
          <w:szCs w:val="24"/>
        </w:rPr>
        <w:t xml:space="preserve">Asian Infrastructure Investment Bank’s </w:t>
      </w:r>
    </w:p>
    <w:p w14:paraId="1EC43438" w14:textId="0E255427" w:rsidR="00770392" w:rsidRPr="008D6DBE" w:rsidRDefault="008D6DBE" w:rsidP="0027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BE">
        <w:rPr>
          <w:rFonts w:ascii="Times New Roman" w:hAnsi="Times New Roman" w:cs="Times New Roman"/>
          <w:b/>
          <w:sz w:val="24"/>
          <w:szCs w:val="24"/>
        </w:rPr>
        <w:t>Draft Environmental and Social Framework</w:t>
      </w:r>
    </w:p>
    <w:p w14:paraId="68141CB6" w14:textId="77777777" w:rsidR="00770392" w:rsidRDefault="00770392" w:rsidP="0077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561C50A" w14:textId="77777777" w:rsidR="00802FF3" w:rsidRPr="00271521" w:rsidRDefault="00802FF3" w:rsidP="0077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9E602F" w14:textId="77777777" w:rsidR="00770392" w:rsidRPr="00271521" w:rsidRDefault="00770392" w:rsidP="00770392">
      <w:pPr>
        <w:jc w:val="center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Stephanie Fried, `Ulu Foundation </w:t>
      </w:r>
    </w:p>
    <w:p w14:paraId="64DCE4C1" w14:textId="1329C595" w:rsidR="00770392" w:rsidRDefault="00D87C8D" w:rsidP="007703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October 31</w:t>
      </w:r>
      <w:r w:rsidR="00170591" w:rsidRPr="00271521">
        <w:rPr>
          <w:rFonts w:ascii="Times New Roman" w:hAnsi="Times New Roman" w:cs="Times New Roman"/>
          <w:sz w:val="22"/>
          <w:szCs w:val="22"/>
        </w:rPr>
        <w:t xml:space="preserve">, </w:t>
      </w:r>
      <w:r w:rsidR="0027174B" w:rsidRPr="00271521">
        <w:rPr>
          <w:rFonts w:ascii="Times New Roman" w:hAnsi="Times New Roman" w:cs="Times New Roman"/>
          <w:sz w:val="22"/>
          <w:szCs w:val="22"/>
        </w:rPr>
        <w:t>2015</w:t>
      </w:r>
    </w:p>
    <w:p w14:paraId="5032F996" w14:textId="73D33EC3" w:rsidR="008D6DBE" w:rsidRDefault="008D6DBE" w:rsidP="00770392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2F4BA8">
          <w:rPr>
            <w:rStyle w:val="Hyperlink"/>
            <w:rFonts w:ascii="Times New Roman" w:hAnsi="Times New Roman" w:cs="Times New Roman"/>
            <w:sz w:val="22"/>
            <w:szCs w:val="22"/>
          </w:rPr>
          <w:t>Stephanie@ulufoundation.org</w:t>
        </w:r>
      </w:hyperlink>
    </w:p>
    <w:p w14:paraId="41339D94" w14:textId="77777777" w:rsidR="008D6DBE" w:rsidRPr="00271521" w:rsidRDefault="008D6DBE" w:rsidP="0077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940BFB8" w14:textId="77777777" w:rsidR="00770392" w:rsidRPr="00271521" w:rsidRDefault="00770392" w:rsidP="0077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9E7421A" w14:textId="77777777" w:rsidR="00D51AE7" w:rsidRPr="00802FF3" w:rsidRDefault="00190F46" w:rsidP="00EC12B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The AIIB has pledged to </w:t>
      </w:r>
      <w:r w:rsidRPr="00802FF3">
        <w:rPr>
          <w:rFonts w:ascii="Times New Roman" w:hAnsi="Times New Roman" w:cs="Times New Roman"/>
          <w:color w:val="auto"/>
          <w:sz w:val="22"/>
          <w:szCs w:val="22"/>
        </w:rPr>
        <w:t>develop</w:t>
      </w:r>
      <w:r w:rsidRPr="00802FF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“strong policies on governance, accountability, financial, procurement and environmental and social frameworks” </w:t>
      </w:r>
      <w:r w:rsidRPr="00802FF3">
        <w:rPr>
          <w:rFonts w:ascii="Times New Roman" w:hAnsi="Times New Roman" w:cs="Times New Roman"/>
          <w:color w:val="auto"/>
          <w:sz w:val="22"/>
          <w:szCs w:val="22"/>
        </w:rPr>
        <w:t>on a level with those of other multilateral development banks.</w:t>
      </w:r>
      <w:r w:rsidRPr="00802FF3">
        <w:rPr>
          <w:rStyle w:val="FootnoteReference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802FF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5035134" w14:textId="77777777" w:rsidR="00D51AE7" w:rsidRPr="00802FF3" w:rsidRDefault="00D51AE7" w:rsidP="00EC12B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9D688FA" w14:textId="192ED788" w:rsidR="00EC12B6" w:rsidRPr="00271521" w:rsidRDefault="00190F46" w:rsidP="00EC12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Not only is it important for the AIIB to take a leadership role and develop safeguards that provide substantially </w:t>
      </w:r>
      <w:r w:rsidRPr="00271521">
        <w:rPr>
          <w:rFonts w:ascii="Times New Roman" w:hAnsi="Times New Roman" w:cs="Times New Roman"/>
          <w:b/>
          <w:sz w:val="22"/>
          <w:szCs w:val="22"/>
        </w:rPr>
        <w:t xml:space="preserve">more robust protections than those of other </w:t>
      </w:r>
      <w:r w:rsidR="00EC12B6" w:rsidRPr="00271521">
        <w:rPr>
          <w:rFonts w:ascii="Times New Roman" w:hAnsi="Times New Roman" w:cs="Times New Roman"/>
          <w:b/>
          <w:sz w:val="22"/>
          <w:szCs w:val="22"/>
        </w:rPr>
        <w:t>multilateral development banks</w:t>
      </w:r>
      <w:r w:rsidR="00EC12B6" w:rsidRPr="00271521">
        <w:rPr>
          <w:rFonts w:ascii="Times New Roman" w:hAnsi="Times New Roman" w:cs="Times New Roman"/>
          <w:sz w:val="22"/>
          <w:szCs w:val="22"/>
        </w:rPr>
        <w:t>,</w:t>
      </w:r>
      <w:r w:rsidR="00B462E4" w:rsidRPr="00271521">
        <w:rPr>
          <w:rFonts w:ascii="Times New Roman" w:hAnsi="Times New Roman" w:cs="Times New Roman"/>
          <w:sz w:val="22"/>
          <w:szCs w:val="22"/>
        </w:rPr>
        <w:t xml:space="preserve"> </w:t>
      </w:r>
      <w:r w:rsidR="00EC12B6" w:rsidRPr="00271521">
        <w:rPr>
          <w:rFonts w:ascii="Times New Roman" w:hAnsi="Times New Roman" w:cs="Times New Roman"/>
          <w:sz w:val="22"/>
          <w:szCs w:val="22"/>
        </w:rPr>
        <w:t xml:space="preserve">but it is </w:t>
      </w:r>
      <w:r w:rsidRPr="00271521">
        <w:rPr>
          <w:rFonts w:ascii="Times New Roman" w:hAnsi="Times New Roman" w:cs="Times New Roman"/>
          <w:sz w:val="22"/>
          <w:szCs w:val="22"/>
        </w:rPr>
        <w:t xml:space="preserve">also of vital importance to ensure that the proposed AIIB safeguards are </w:t>
      </w:r>
      <w:r w:rsidRPr="00271521">
        <w:rPr>
          <w:rFonts w:ascii="Times New Roman" w:hAnsi="Times New Roman" w:cs="Times New Roman"/>
          <w:b/>
          <w:sz w:val="22"/>
          <w:szCs w:val="22"/>
        </w:rPr>
        <w:t>no weaker than those of other multilateral development banks</w:t>
      </w:r>
      <w:r w:rsidR="0027174B" w:rsidRPr="00271521">
        <w:rPr>
          <w:rFonts w:ascii="Times New Roman" w:hAnsi="Times New Roman" w:cs="Times New Roman"/>
          <w:b/>
          <w:sz w:val="22"/>
          <w:szCs w:val="22"/>
        </w:rPr>
        <w:t>.</w:t>
      </w:r>
      <w:r w:rsidRPr="002715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C7785B" w14:textId="77777777" w:rsidR="00EC12B6" w:rsidRPr="00271521" w:rsidRDefault="00EC12B6" w:rsidP="00EC12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DA4AB3" w14:textId="55CB255E" w:rsidR="00190F46" w:rsidRPr="00271521" w:rsidRDefault="00EC12B6" w:rsidP="00EC12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Unfortunately, the draft ESF appears to propose safeguards that are in many respects markedly weaker than those of other </w:t>
      </w:r>
      <w:r w:rsidR="00787D90" w:rsidRPr="00271521">
        <w:rPr>
          <w:rFonts w:ascii="Times New Roman" w:hAnsi="Times New Roman" w:cs="Times New Roman"/>
          <w:sz w:val="22"/>
          <w:szCs w:val="22"/>
        </w:rPr>
        <w:t>IFIs, including those of its regional “neighbor” the Asian Development Bank.</w:t>
      </w:r>
    </w:p>
    <w:p w14:paraId="45872F45" w14:textId="77777777" w:rsidR="002A54D2" w:rsidRPr="00271521" w:rsidRDefault="002A54D2" w:rsidP="002A54D2">
      <w:pPr>
        <w:rPr>
          <w:rFonts w:ascii="Times New Roman" w:hAnsi="Times New Roman" w:cs="Times New Roman"/>
          <w:sz w:val="22"/>
          <w:szCs w:val="22"/>
        </w:rPr>
      </w:pPr>
    </w:p>
    <w:p w14:paraId="0C70BA2E" w14:textId="46591A27" w:rsidR="00190F46" w:rsidRPr="00271521" w:rsidRDefault="002A54D2" w:rsidP="00770392">
      <w:p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>This document presents a brief overview of some of the existing best practices at the AD</w:t>
      </w:r>
      <w:r w:rsidR="00154EFA" w:rsidRPr="00271521">
        <w:rPr>
          <w:rFonts w:ascii="Times New Roman" w:hAnsi="Times New Roman" w:cs="Times New Roman"/>
          <w:sz w:val="22"/>
          <w:szCs w:val="22"/>
        </w:rPr>
        <w:t xml:space="preserve">B </w:t>
      </w:r>
      <w:r w:rsidR="00580D8A">
        <w:rPr>
          <w:rFonts w:ascii="Times New Roman" w:hAnsi="Times New Roman" w:cs="Times New Roman"/>
          <w:sz w:val="22"/>
          <w:szCs w:val="22"/>
        </w:rPr>
        <w:t>that</w:t>
      </w:r>
      <w:r w:rsidR="00154EFA" w:rsidRPr="00271521">
        <w:rPr>
          <w:rFonts w:ascii="Times New Roman" w:hAnsi="Times New Roman" w:cs="Times New Roman"/>
          <w:sz w:val="22"/>
          <w:szCs w:val="22"/>
        </w:rPr>
        <w:t xml:space="preserve"> should </w:t>
      </w:r>
      <w:r w:rsidRPr="00271521">
        <w:rPr>
          <w:rFonts w:ascii="Times New Roman" w:hAnsi="Times New Roman" w:cs="Times New Roman"/>
          <w:sz w:val="22"/>
          <w:szCs w:val="22"/>
        </w:rPr>
        <w:t>be of use i</w:t>
      </w:r>
      <w:r w:rsidR="00787D90" w:rsidRPr="00271521">
        <w:rPr>
          <w:rFonts w:ascii="Times New Roman" w:hAnsi="Times New Roman" w:cs="Times New Roman"/>
          <w:sz w:val="22"/>
          <w:szCs w:val="22"/>
        </w:rPr>
        <w:t>n comparison with the AIIB ESF. The current Draft AIIB ESF appear</w:t>
      </w:r>
      <w:r w:rsidR="00275DB1">
        <w:rPr>
          <w:rFonts w:ascii="Times New Roman" w:hAnsi="Times New Roman" w:cs="Times New Roman"/>
          <w:sz w:val="22"/>
          <w:szCs w:val="22"/>
        </w:rPr>
        <w:t>s substantially weaker than</w:t>
      </w:r>
      <w:r w:rsidR="00787D90" w:rsidRPr="00271521">
        <w:rPr>
          <w:rFonts w:ascii="Times New Roman" w:hAnsi="Times New Roman" w:cs="Times New Roman"/>
          <w:sz w:val="22"/>
          <w:szCs w:val="22"/>
        </w:rPr>
        <w:t xml:space="preserve"> the standards of the ADB safeguards below. Please note that, given the truncated period of “public consultation” on the Draft AIIB ESF, these comments are preliminary in nature.</w:t>
      </w:r>
    </w:p>
    <w:p w14:paraId="7C90F924" w14:textId="77777777" w:rsidR="002A54D2" w:rsidRPr="00271521" w:rsidRDefault="002A54D2" w:rsidP="00770392">
      <w:pPr>
        <w:rPr>
          <w:rFonts w:ascii="Times New Roman" w:hAnsi="Times New Roman" w:cs="Times New Roman"/>
          <w:sz w:val="22"/>
          <w:szCs w:val="22"/>
        </w:rPr>
      </w:pPr>
    </w:p>
    <w:p w14:paraId="0A5EBE8F" w14:textId="6FC13309" w:rsidR="002A54D2" w:rsidRPr="00271521" w:rsidRDefault="002A54D2" w:rsidP="00770392">
      <w:pPr>
        <w:rPr>
          <w:rFonts w:ascii="Times New Roman" w:hAnsi="Times New Roman" w:cs="Times New Roman"/>
          <w:b/>
          <w:sz w:val="22"/>
          <w:szCs w:val="22"/>
        </w:rPr>
      </w:pPr>
      <w:r w:rsidRPr="00271521">
        <w:rPr>
          <w:rFonts w:ascii="Times New Roman" w:hAnsi="Times New Roman" w:cs="Times New Roman"/>
          <w:b/>
          <w:sz w:val="22"/>
          <w:szCs w:val="22"/>
        </w:rPr>
        <w:t>ADB Safeguards Update Process: 2005 - 2010</w:t>
      </w:r>
    </w:p>
    <w:p w14:paraId="0B4F084B" w14:textId="4BE8370B" w:rsidR="00D51AE7" w:rsidRPr="00271521" w:rsidRDefault="00B462E4" w:rsidP="00770392">
      <w:p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In contrast to the brief “public consultation” held by the AIIB to </w:t>
      </w:r>
      <w:r w:rsidR="0058353A" w:rsidRPr="00271521">
        <w:rPr>
          <w:rFonts w:ascii="Times New Roman" w:hAnsi="Times New Roman" w:cs="Times New Roman"/>
          <w:sz w:val="22"/>
          <w:szCs w:val="22"/>
        </w:rPr>
        <w:t>develop environmental and social</w:t>
      </w:r>
      <w:r w:rsidRPr="00271521">
        <w:rPr>
          <w:rFonts w:ascii="Times New Roman" w:hAnsi="Times New Roman" w:cs="Times New Roman"/>
          <w:sz w:val="22"/>
          <w:szCs w:val="22"/>
        </w:rPr>
        <w:t xml:space="preserve"> safeguards, t</w:t>
      </w:r>
      <w:r w:rsidR="009B5B82" w:rsidRPr="00271521">
        <w:rPr>
          <w:rFonts w:ascii="Times New Roman" w:hAnsi="Times New Roman" w:cs="Times New Roman"/>
          <w:sz w:val="22"/>
          <w:szCs w:val="22"/>
        </w:rPr>
        <w:t xml:space="preserve">he Asian Development Bank recently underwent a </w:t>
      </w:r>
      <w:r w:rsidR="0027174B" w:rsidRPr="00271521">
        <w:rPr>
          <w:rFonts w:ascii="Times New Roman" w:hAnsi="Times New Roman" w:cs="Times New Roman"/>
          <w:sz w:val="22"/>
          <w:szCs w:val="22"/>
        </w:rPr>
        <w:t xml:space="preserve">five-year long review </w:t>
      </w:r>
      <w:r w:rsidR="009B5B82" w:rsidRPr="00271521">
        <w:rPr>
          <w:rFonts w:ascii="Times New Roman" w:hAnsi="Times New Roman" w:cs="Times New Roman"/>
          <w:sz w:val="22"/>
          <w:szCs w:val="22"/>
        </w:rPr>
        <w:t xml:space="preserve">of its safeguards in order to update them to best reflect regional needs.  </w:t>
      </w:r>
      <w:r w:rsidR="0027174B" w:rsidRPr="00271521">
        <w:rPr>
          <w:rFonts w:ascii="Times New Roman" w:hAnsi="Times New Roman" w:cs="Times New Roman"/>
          <w:sz w:val="22"/>
          <w:szCs w:val="22"/>
        </w:rPr>
        <w:t xml:space="preserve">The </w:t>
      </w:r>
      <w:r w:rsidRPr="00271521">
        <w:rPr>
          <w:rFonts w:ascii="Times New Roman" w:hAnsi="Times New Roman" w:cs="Times New Roman"/>
          <w:sz w:val="22"/>
          <w:szCs w:val="22"/>
        </w:rPr>
        <w:t xml:space="preserve">overarching </w:t>
      </w:r>
      <w:r w:rsidR="0027174B" w:rsidRPr="00271521">
        <w:rPr>
          <w:rFonts w:ascii="Times New Roman" w:hAnsi="Times New Roman" w:cs="Times New Roman"/>
          <w:sz w:val="22"/>
          <w:szCs w:val="22"/>
        </w:rPr>
        <w:t xml:space="preserve">result of the ADB’s Safeguards Update was a </w:t>
      </w:r>
      <w:r w:rsidR="0027174B" w:rsidRPr="00271521">
        <w:rPr>
          <w:rFonts w:ascii="Times New Roman" w:hAnsi="Times New Roman" w:cs="Times New Roman"/>
          <w:sz w:val="22"/>
          <w:szCs w:val="22"/>
          <w:u w:val="single"/>
        </w:rPr>
        <w:t>re-emphasis</w:t>
      </w:r>
      <w:r w:rsidR="009B5B82" w:rsidRPr="002715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7174B" w:rsidRPr="00271521">
        <w:rPr>
          <w:rFonts w:ascii="Times New Roman" w:hAnsi="Times New Roman" w:cs="Times New Roman"/>
          <w:sz w:val="22"/>
          <w:szCs w:val="22"/>
          <w:u w:val="single"/>
        </w:rPr>
        <w:t>of</w:t>
      </w:r>
      <w:r w:rsidR="009B5B82" w:rsidRPr="00271521">
        <w:rPr>
          <w:rFonts w:ascii="Times New Roman" w:hAnsi="Times New Roman" w:cs="Times New Roman"/>
          <w:sz w:val="22"/>
          <w:szCs w:val="22"/>
          <w:u w:val="single"/>
        </w:rPr>
        <w:t xml:space="preserve"> the importance of Bank responsibility for screening, categorization, review – the core of due diligence – </w:t>
      </w:r>
      <w:r w:rsidRPr="00271521">
        <w:rPr>
          <w:rFonts w:ascii="Times New Roman" w:hAnsi="Times New Roman" w:cs="Times New Roman"/>
          <w:sz w:val="22"/>
          <w:szCs w:val="22"/>
          <w:u w:val="single"/>
        </w:rPr>
        <w:t>the renewed commitment to meaningful public consultation</w:t>
      </w:r>
      <w:r w:rsidR="008C1D85">
        <w:rPr>
          <w:rFonts w:ascii="Times New Roman" w:hAnsi="Times New Roman" w:cs="Times New Roman"/>
          <w:sz w:val="22"/>
          <w:szCs w:val="22"/>
          <w:u w:val="single"/>
        </w:rPr>
        <w:t xml:space="preserve"> – including the use of </w:t>
      </w:r>
      <w:r w:rsidR="008C1D85" w:rsidRPr="008C1D85">
        <w:rPr>
          <w:rFonts w:ascii="Times New Roman" w:hAnsi="Times New Roman" w:cs="Times New Roman"/>
          <w:i/>
          <w:sz w:val="22"/>
          <w:szCs w:val="22"/>
          <w:u w:val="single"/>
        </w:rPr>
        <w:t>local languages</w:t>
      </w:r>
      <w:r w:rsidR="008C1D85">
        <w:rPr>
          <w:rFonts w:ascii="Times New Roman" w:hAnsi="Times New Roman" w:cs="Times New Roman"/>
          <w:sz w:val="22"/>
          <w:szCs w:val="22"/>
          <w:u w:val="single"/>
        </w:rPr>
        <w:t xml:space="preserve"> to allow affected communities to participate</w:t>
      </w:r>
      <w:r w:rsidRPr="00271521">
        <w:rPr>
          <w:rFonts w:ascii="Times New Roman" w:hAnsi="Times New Roman" w:cs="Times New Roman"/>
          <w:sz w:val="22"/>
          <w:szCs w:val="22"/>
          <w:u w:val="single"/>
        </w:rPr>
        <w:t xml:space="preserve">, allowing 120 days for communities to provide input on projects which may impact their lives and livelihoods, </w:t>
      </w:r>
      <w:r w:rsidR="009B5B82" w:rsidRPr="00271521">
        <w:rPr>
          <w:rFonts w:ascii="Times New Roman" w:hAnsi="Times New Roman" w:cs="Times New Roman"/>
          <w:sz w:val="22"/>
          <w:szCs w:val="22"/>
          <w:u w:val="single"/>
        </w:rPr>
        <w:t xml:space="preserve">as well as the monitoring of </w:t>
      </w:r>
      <w:r w:rsidR="009B5B82" w:rsidRPr="00271521">
        <w:rPr>
          <w:rFonts w:ascii="Times New Roman" w:hAnsi="Times New Roman" w:cs="Times New Roman"/>
          <w:i/>
          <w:sz w:val="22"/>
          <w:szCs w:val="22"/>
          <w:u w:val="single"/>
        </w:rPr>
        <w:t>compliance</w:t>
      </w:r>
      <w:r w:rsidR="009B5B82" w:rsidRPr="00271521">
        <w:rPr>
          <w:rFonts w:ascii="Times New Roman" w:hAnsi="Times New Roman" w:cs="Times New Roman"/>
          <w:sz w:val="22"/>
          <w:szCs w:val="22"/>
          <w:u w:val="single"/>
        </w:rPr>
        <w:t xml:space="preserve"> with environmental and social standards</w:t>
      </w:r>
      <w:r w:rsidR="0027174B" w:rsidRPr="0027152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8A153C" w14:textId="77777777" w:rsidR="00B462E4" w:rsidRPr="00271521" w:rsidRDefault="00B462E4" w:rsidP="00770392">
      <w:pPr>
        <w:rPr>
          <w:rFonts w:ascii="Times New Roman" w:hAnsi="Times New Roman" w:cs="Times New Roman"/>
          <w:sz w:val="22"/>
          <w:szCs w:val="22"/>
        </w:rPr>
      </w:pPr>
    </w:p>
    <w:p w14:paraId="705DA4FE" w14:textId="2E104551" w:rsidR="00B462E4" w:rsidRPr="00271521" w:rsidRDefault="00B462E4" w:rsidP="00770392">
      <w:p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The ADB underscored its commitment to supporting efforts to strengthen and improve implementation of borrower systems and developed robust “Country System Safeguards” to enable it to do so. </w:t>
      </w:r>
    </w:p>
    <w:p w14:paraId="31DD697A" w14:textId="77777777" w:rsidR="00D51AE7" w:rsidRPr="00271521" w:rsidRDefault="00D51AE7" w:rsidP="00770392">
      <w:pPr>
        <w:rPr>
          <w:rFonts w:ascii="Times New Roman" w:hAnsi="Times New Roman" w:cs="Times New Roman"/>
          <w:sz w:val="22"/>
          <w:szCs w:val="22"/>
        </w:rPr>
      </w:pPr>
    </w:p>
    <w:p w14:paraId="06E30A5A" w14:textId="7DBDC70C" w:rsidR="00770392" w:rsidRPr="00271521" w:rsidRDefault="0027174B" w:rsidP="00770392">
      <w:p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>The ADB</w:t>
      </w:r>
      <w:r w:rsidR="009B5B82" w:rsidRPr="00271521">
        <w:rPr>
          <w:rFonts w:ascii="Times New Roman" w:hAnsi="Times New Roman" w:cs="Times New Roman"/>
          <w:sz w:val="22"/>
          <w:szCs w:val="22"/>
        </w:rPr>
        <w:t xml:space="preserve"> moved away from </w:t>
      </w:r>
      <w:r w:rsidR="00770392" w:rsidRPr="00271521">
        <w:rPr>
          <w:rFonts w:ascii="Times New Roman" w:hAnsi="Times New Roman" w:cs="Times New Roman"/>
          <w:sz w:val="22"/>
          <w:szCs w:val="22"/>
        </w:rPr>
        <w:t xml:space="preserve">the delegation </w:t>
      </w:r>
      <w:r w:rsidRPr="00271521">
        <w:rPr>
          <w:rFonts w:ascii="Times New Roman" w:hAnsi="Times New Roman" w:cs="Times New Roman"/>
          <w:sz w:val="22"/>
          <w:szCs w:val="22"/>
        </w:rPr>
        <w:t>of its own due diligence responsibilities to corporate clients such as</w:t>
      </w:r>
      <w:r w:rsidR="00770392" w:rsidRPr="00271521">
        <w:rPr>
          <w:rFonts w:ascii="Times New Roman" w:hAnsi="Times New Roman" w:cs="Times New Roman"/>
          <w:sz w:val="22"/>
          <w:szCs w:val="22"/>
        </w:rPr>
        <w:t xml:space="preserve"> </w:t>
      </w:r>
      <w:r w:rsidRPr="00271521">
        <w:rPr>
          <w:rFonts w:ascii="Times New Roman" w:hAnsi="Times New Roman" w:cs="Times New Roman"/>
          <w:sz w:val="22"/>
          <w:szCs w:val="22"/>
        </w:rPr>
        <w:t>financial intermediaries</w:t>
      </w:r>
      <w:r w:rsidR="00B462E4" w:rsidRPr="00271521">
        <w:rPr>
          <w:rFonts w:ascii="Times New Roman" w:hAnsi="Times New Roman" w:cs="Times New Roman"/>
          <w:sz w:val="22"/>
          <w:szCs w:val="22"/>
        </w:rPr>
        <w:t>,</w:t>
      </w:r>
      <w:r w:rsidR="002A54D2" w:rsidRPr="00271521">
        <w:rPr>
          <w:rFonts w:ascii="Times New Roman" w:hAnsi="Times New Roman" w:cs="Times New Roman"/>
          <w:sz w:val="22"/>
          <w:szCs w:val="22"/>
        </w:rPr>
        <w:t xml:space="preserve"> and re-affirmed</w:t>
      </w:r>
      <w:r w:rsidR="00D51AE7" w:rsidRPr="00271521">
        <w:rPr>
          <w:rFonts w:ascii="Times New Roman" w:hAnsi="Times New Roman" w:cs="Times New Roman"/>
          <w:sz w:val="22"/>
          <w:szCs w:val="22"/>
        </w:rPr>
        <w:t xml:space="preserve"> the Bank’s own commitment to conducting robust due diligence</w:t>
      </w:r>
      <w:r w:rsidR="00770392" w:rsidRPr="00271521">
        <w:rPr>
          <w:rFonts w:ascii="Times New Roman" w:hAnsi="Times New Roman" w:cs="Times New Roman"/>
          <w:sz w:val="22"/>
          <w:szCs w:val="22"/>
        </w:rPr>
        <w:t>.</w:t>
      </w:r>
    </w:p>
    <w:p w14:paraId="39B5E0E2" w14:textId="6F7E8F9A" w:rsidR="00770392" w:rsidRPr="00271521" w:rsidRDefault="00770392" w:rsidP="00770392">
      <w:pPr>
        <w:rPr>
          <w:rFonts w:ascii="Times New Roman" w:hAnsi="Times New Roman" w:cs="Times New Roman"/>
          <w:sz w:val="22"/>
          <w:szCs w:val="22"/>
        </w:rPr>
      </w:pPr>
    </w:p>
    <w:p w14:paraId="7D0F2A61" w14:textId="77777777" w:rsidR="00D51AE7" w:rsidRPr="00271521" w:rsidRDefault="00D51AE7" w:rsidP="00770392">
      <w:pPr>
        <w:rPr>
          <w:rFonts w:ascii="Times New Roman" w:hAnsi="Times New Roman" w:cs="Times New Roman"/>
          <w:b/>
          <w:sz w:val="22"/>
          <w:szCs w:val="22"/>
        </w:rPr>
      </w:pPr>
    </w:p>
    <w:p w14:paraId="118121D6" w14:textId="2AEB41E3" w:rsidR="00770392" w:rsidRDefault="00770392" w:rsidP="00770392">
      <w:pPr>
        <w:rPr>
          <w:rFonts w:ascii="Times New Roman" w:hAnsi="Times New Roman" w:cs="Times New Roman"/>
          <w:b/>
          <w:sz w:val="22"/>
          <w:szCs w:val="22"/>
        </w:rPr>
      </w:pPr>
      <w:r w:rsidRPr="00271521">
        <w:rPr>
          <w:rFonts w:ascii="Times New Roman" w:hAnsi="Times New Roman" w:cs="Times New Roman"/>
          <w:b/>
          <w:sz w:val="22"/>
          <w:szCs w:val="22"/>
        </w:rPr>
        <w:t>Asian Development Bank</w:t>
      </w:r>
      <w:r w:rsidR="008C1D85">
        <w:rPr>
          <w:rFonts w:ascii="Times New Roman" w:hAnsi="Times New Roman" w:cs="Times New Roman"/>
          <w:b/>
          <w:sz w:val="22"/>
          <w:szCs w:val="22"/>
        </w:rPr>
        <w:t xml:space="preserve"> Safeguards Developed through Robust Public Consultation</w:t>
      </w:r>
    </w:p>
    <w:p w14:paraId="19AE384F" w14:textId="77777777" w:rsidR="00956A63" w:rsidRPr="00271521" w:rsidRDefault="00956A63" w:rsidP="00770392">
      <w:pPr>
        <w:rPr>
          <w:rFonts w:ascii="Times New Roman" w:hAnsi="Times New Roman" w:cs="Times New Roman"/>
          <w:b/>
          <w:sz w:val="22"/>
          <w:szCs w:val="22"/>
        </w:rPr>
      </w:pPr>
    </w:p>
    <w:p w14:paraId="21FBB927" w14:textId="2B6A49B1" w:rsidR="00770392" w:rsidRPr="00271521" w:rsidRDefault="00770392" w:rsidP="00770392">
      <w:p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>The following are</w:t>
      </w:r>
      <w:r w:rsidR="008C1D85">
        <w:rPr>
          <w:rFonts w:ascii="Times New Roman" w:hAnsi="Times New Roman" w:cs="Times New Roman"/>
          <w:sz w:val="22"/>
          <w:szCs w:val="22"/>
        </w:rPr>
        <w:t xml:space="preserve"> now</w:t>
      </w:r>
      <w:r w:rsidRPr="00271521">
        <w:rPr>
          <w:rFonts w:ascii="Times New Roman" w:hAnsi="Times New Roman" w:cs="Times New Roman"/>
          <w:sz w:val="22"/>
          <w:szCs w:val="22"/>
        </w:rPr>
        <w:t xml:space="preserve"> required by the ADB as described in the Bank’s 2010 Safeguard Policy Statement, developed after close to five years of public consultation and input:</w:t>
      </w:r>
    </w:p>
    <w:p w14:paraId="309D7D98" w14:textId="41E5F90F" w:rsidR="00901418" w:rsidRPr="00271521" w:rsidRDefault="00901418" w:rsidP="00901418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The </w:t>
      </w:r>
      <w:r w:rsidRPr="00C17765">
        <w:rPr>
          <w:rFonts w:ascii="Times New Roman" w:hAnsi="Times New Roman" w:cs="Times New Roman"/>
          <w:b/>
          <w:sz w:val="22"/>
          <w:szCs w:val="22"/>
        </w:rPr>
        <w:t>ADB maintains responsibility for conducting due diligence</w:t>
      </w:r>
      <w:r w:rsidRPr="00271521">
        <w:rPr>
          <w:rFonts w:ascii="Times New Roman" w:hAnsi="Times New Roman" w:cs="Times New Roman"/>
          <w:sz w:val="22"/>
          <w:szCs w:val="22"/>
        </w:rPr>
        <w:t>, project categorization and oversight;</w:t>
      </w:r>
    </w:p>
    <w:p w14:paraId="3B7B2959" w14:textId="1B97BA21" w:rsidR="00532CFC" w:rsidRDefault="00C34189" w:rsidP="00453940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The ADB </w:t>
      </w:r>
      <w:r w:rsidRPr="00C17765">
        <w:rPr>
          <w:rFonts w:ascii="Times New Roman" w:hAnsi="Times New Roman" w:cs="Times New Roman"/>
          <w:b/>
          <w:sz w:val="22"/>
          <w:szCs w:val="22"/>
        </w:rPr>
        <w:t>supports the strengthening and use of Country Systems</w:t>
      </w:r>
      <w:r w:rsidRPr="00271521">
        <w:rPr>
          <w:rFonts w:ascii="Times New Roman" w:hAnsi="Times New Roman" w:cs="Times New Roman"/>
          <w:sz w:val="22"/>
          <w:szCs w:val="22"/>
        </w:rPr>
        <w:t xml:space="preserve"> for ADB </w:t>
      </w:r>
      <w:r w:rsidR="00E327C1" w:rsidRPr="00271521">
        <w:rPr>
          <w:rFonts w:ascii="Times New Roman" w:hAnsi="Times New Roman" w:cs="Times New Roman"/>
          <w:sz w:val="22"/>
          <w:szCs w:val="22"/>
        </w:rPr>
        <w:t>projects, with</w:t>
      </w:r>
      <w:r w:rsidRPr="00271521">
        <w:rPr>
          <w:rFonts w:ascii="Times New Roman" w:hAnsi="Times New Roman" w:cs="Times New Roman"/>
          <w:sz w:val="22"/>
          <w:szCs w:val="22"/>
        </w:rPr>
        <w:t xml:space="preserve"> a </w:t>
      </w:r>
      <w:r w:rsidRPr="00C17765">
        <w:rPr>
          <w:rFonts w:ascii="Times New Roman" w:hAnsi="Times New Roman" w:cs="Times New Roman"/>
          <w:b/>
          <w:sz w:val="22"/>
          <w:szCs w:val="22"/>
        </w:rPr>
        <w:t>mandatory, clear and extensive review system</w:t>
      </w:r>
      <w:r w:rsidRPr="00271521">
        <w:rPr>
          <w:rFonts w:ascii="Times New Roman" w:hAnsi="Times New Roman" w:cs="Times New Roman"/>
          <w:sz w:val="22"/>
          <w:szCs w:val="22"/>
        </w:rPr>
        <w:t xml:space="preserve"> to determine the equivalency of Country Systems with ADB safeguards, prior to ADB agreement for their use. ADB </w:t>
      </w:r>
      <w:r w:rsidRPr="00C17765">
        <w:rPr>
          <w:rFonts w:ascii="Times New Roman" w:hAnsi="Times New Roman" w:cs="Times New Roman"/>
          <w:b/>
          <w:sz w:val="22"/>
          <w:szCs w:val="22"/>
        </w:rPr>
        <w:t>requires public input</w:t>
      </w:r>
      <w:r w:rsidRPr="00271521">
        <w:rPr>
          <w:rFonts w:ascii="Times New Roman" w:hAnsi="Times New Roman" w:cs="Times New Roman"/>
          <w:sz w:val="22"/>
          <w:szCs w:val="22"/>
        </w:rPr>
        <w:t xml:space="preserve"> into ADB d</w:t>
      </w:r>
      <w:r w:rsidR="00201423" w:rsidRPr="00271521">
        <w:rPr>
          <w:rFonts w:ascii="Times New Roman" w:hAnsi="Times New Roman" w:cs="Times New Roman"/>
          <w:sz w:val="22"/>
          <w:szCs w:val="22"/>
        </w:rPr>
        <w:t xml:space="preserve">etermination of CSS equivalence, </w:t>
      </w:r>
      <w:r w:rsidR="00201423" w:rsidRPr="00C17765">
        <w:rPr>
          <w:rFonts w:ascii="Times New Roman" w:hAnsi="Times New Roman" w:cs="Times New Roman"/>
          <w:b/>
          <w:sz w:val="22"/>
          <w:szCs w:val="22"/>
        </w:rPr>
        <w:t>bans the use of borrower systems for “highly complex and sensitive projects</w:t>
      </w:r>
      <w:r w:rsidR="00201423" w:rsidRPr="00271521">
        <w:rPr>
          <w:rFonts w:ascii="Times New Roman" w:hAnsi="Times New Roman" w:cs="Times New Roman"/>
          <w:sz w:val="22"/>
          <w:szCs w:val="22"/>
        </w:rPr>
        <w:t xml:space="preserve">,” underscores ADB responsibility for due diligence, and provides detailed requirements. </w:t>
      </w:r>
      <w:r w:rsidR="006052CF" w:rsidRPr="00271521">
        <w:rPr>
          <w:rFonts w:ascii="Times New Roman" w:hAnsi="Times New Roman" w:cs="Times New Roman"/>
          <w:sz w:val="22"/>
          <w:szCs w:val="22"/>
        </w:rPr>
        <w:t xml:space="preserve">(Note: World Bank also has detailed CSS Equivalency Requirements – See </w:t>
      </w:r>
      <w:r w:rsidR="0086313F" w:rsidRPr="00271521">
        <w:rPr>
          <w:rFonts w:ascii="Times New Roman" w:hAnsi="Times New Roman" w:cs="Times New Roman"/>
          <w:sz w:val="22"/>
          <w:szCs w:val="22"/>
        </w:rPr>
        <w:t xml:space="preserve">OP 4:00, especially </w:t>
      </w:r>
      <w:r w:rsidR="008C1D85">
        <w:rPr>
          <w:rFonts w:ascii="Times New Roman" w:hAnsi="Times New Roman" w:cs="Times New Roman"/>
          <w:sz w:val="22"/>
          <w:szCs w:val="22"/>
        </w:rPr>
        <w:t xml:space="preserve">6-page </w:t>
      </w:r>
      <w:r w:rsidR="0086313F" w:rsidRPr="00271521">
        <w:rPr>
          <w:rFonts w:ascii="Times New Roman" w:hAnsi="Times New Roman" w:cs="Times New Roman"/>
          <w:sz w:val="22"/>
          <w:szCs w:val="22"/>
        </w:rPr>
        <w:t>Table A1</w:t>
      </w:r>
      <w:r w:rsidR="008C1D85">
        <w:rPr>
          <w:rFonts w:ascii="Times New Roman" w:hAnsi="Times New Roman" w:cs="Times New Roman"/>
          <w:sz w:val="22"/>
          <w:szCs w:val="22"/>
        </w:rPr>
        <w:t xml:space="preserve"> describing</w:t>
      </w:r>
      <w:r w:rsidR="0086313F" w:rsidRPr="00271521">
        <w:rPr>
          <w:rFonts w:ascii="Times New Roman" w:hAnsi="Times New Roman" w:cs="Times New Roman"/>
          <w:sz w:val="22"/>
          <w:szCs w:val="22"/>
        </w:rPr>
        <w:t xml:space="preserve"> required CSS assessment methodology.)</w:t>
      </w:r>
    </w:p>
    <w:p w14:paraId="50FADFAA" w14:textId="50FC212C" w:rsidR="00770392" w:rsidRPr="00532CFC" w:rsidRDefault="00201423" w:rsidP="00532CFC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32CFC">
        <w:rPr>
          <w:rFonts w:ascii="Times New Roman" w:hAnsi="Times New Roman" w:cs="Times New Roman"/>
          <w:sz w:val="22"/>
          <w:szCs w:val="22"/>
        </w:rPr>
        <w:t>Mandatory</w:t>
      </w:r>
      <w:r w:rsidR="00770392" w:rsidRPr="00532CFC">
        <w:rPr>
          <w:rFonts w:ascii="Times New Roman" w:hAnsi="Times New Roman" w:cs="Times New Roman"/>
          <w:sz w:val="22"/>
          <w:szCs w:val="22"/>
        </w:rPr>
        <w:t xml:space="preserve"> </w:t>
      </w:r>
      <w:r w:rsidR="00770392" w:rsidRPr="00C17765">
        <w:rPr>
          <w:rFonts w:ascii="Times New Roman" w:hAnsi="Times New Roman" w:cs="Times New Roman"/>
          <w:b/>
          <w:sz w:val="22"/>
          <w:szCs w:val="22"/>
        </w:rPr>
        <w:t>disclosure</w:t>
      </w:r>
      <w:r w:rsidR="008C1D85" w:rsidRPr="00C17765">
        <w:rPr>
          <w:rFonts w:ascii="Times New Roman" w:hAnsi="Times New Roman" w:cs="Times New Roman"/>
          <w:b/>
          <w:sz w:val="22"/>
          <w:szCs w:val="22"/>
        </w:rPr>
        <w:t xml:space="preserve"> 120 days</w:t>
      </w:r>
      <w:r w:rsidR="008C1D85">
        <w:rPr>
          <w:rFonts w:ascii="Times New Roman" w:hAnsi="Times New Roman" w:cs="Times New Roman"/>
          <w:sz w:val="22"/>
          <w:szCs w:val="22"/>
        </w:rPr>
        <w:t xml:space="preserve"> prior to Board vote for </w:t>
      </w:r>
      <w:r w:rsidR="00770392" w:rsidRPr="00532CFC">
        <w:rPr>
          <w:rFonts w:ascii="Times New Roman" w:hAnsi="Times New Roman" w:cs="Times New Roman"/>
          <w:sz w:val="22"/>
          <w:szCs w:val="22"/>
        </w:rPr>
        <w:t xml:space="preserve">environmental assessments for projects and subprojects likely to have significant impacts prior to </w:t>
      </w:r>
      <w:r w:rsidR="00770392" w:rsidRPr="00956A63">
        <w:rPr>
          <w:rFonts w:ascii="Times New Roman" w:hAnsi="Times New Roman" w:cs="Times New Roman"/>
          <w:sz w:val="22"/>
          <w:szCs w:val="22"/>
        </w:rPr>
        <w:t>approval</w:t>
      </w:r>
      <w:r w:rsidR="00532CFC" w:rsidRPr="00956A63">
        <w:rPr>
          <w:rFonts w:ascii="Times New Roman" w:hAnsi="Times New Roman" w:cs="Times New Roman"/>
          <w:sz w:val="22"/>
          <w:szCs w:val="22"/>
        </w:rPr>
        <w:t xml:space="preserve">. </w:t>
      </w:r>
      <w:r w:rsidR="00453940" w:rsidRPr="00956A63">
        <w:rPr>
          <w:rFonts w:ascii="Times New Roman" w:eastAsiaTheme="minorHAnsi" w:hAnsi="Times New Roman" w:cs="Times New Roman"/>
          <w:sz w:val="22"/>
          <w:szCs w:val="22"/>
        </w:rPr>
        <w:t xml:space="preserve">This was underscored by the input of affected communities across Asia, </w:t>
      </w:r>
      <w:r w:rsidR="00956A63" w:rsidRPr="00956A63">
        <w:rPr>
          <w:rFonts w:ascii="Times New Roman" w:eastAsiaTheme="minorHAnsi" w:hAnsi="Times New Roman" w:cs="Times New Roman"/>
          <w:sz w:val="22"/>
          <w:szCs w:val="22"/>
        </w:rPr>
        <w:t>which</w:t>
      </w:r>
      <w:r w:rsidR="00532CFC" w:rsidRPr="00956A63">
        <w:rPr>
          <w:rFonts w:ascii="Times New Roman" w:eastAsiaTheme="minorHAnsi" w:hAnsi="Times New Roman" w:cs="Times New Roman"/>
          <w:sz w:val="22"/>
          <w:szCs w:val="22"/>
        </w:rPr>
        <w:t xml:space="preserve"> emphasized</w:t>
      </w:r>
      <w:r w:rsidR="00453940" w:rsidRPr="00956A63">
        <w:rPr>
          <w:rFonts w:ascii="Times New Roman" w:eastAsiaTheme="minorHAnsi" w:hAnsi="Times New Roman" w:cs="Times New Roman"/>
          <w:sz w:val="22"/>
          <w:szCs w:val="22"/>
        </w:rPr>
        <w:t xml:space="preserve"> their need for significant time to overcome the many barriers to enable them to process and respond to information on proposed projects which could dramatically impact their lives and livelihoods;</w:t>
      </w:r>
      <w:r w:rsidR="00453940" w:rsidRPr="00532CFC">
        <w:rPr>
          <w:rFonts w:ascii="Cambria" w:eastAsiaTheme="minorHAnsi" w:hAnsi="Cambria" w:cs="Cambria"/>
          <w:sz w:val="22"/>
          <w:szCs w:val="22"/>
        </w:rPr>
        <w:t xml:space="preserve"> </w:t>
      </w:r>
    </w:p>
    <w:p w14:paraId="43635613" w14:textId="77777777" w:rsidR="00770392" w:rsidRPr="00271521" w:rsidRDefault="00770392" w:rsidP="00901418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271521">
        <w:rPr>
          <w:rFonts w:ascii="Times New Roman" w:hAnsi="Times New Roman" w:cs="Times New Roman"/>
          <w:sz w:val="22"/>
          <w:szCs w:val="22"/>
        </w:rPr>
        <w:t xml:space="preserve">requirement that </w:t>
      </w:r>
      <w:r w:rsidRPr="00271521">
        <w:rPr>
          <w:rFonts w:ascii="Times New Roman" w:hAnsi="Times New Roman" w:cs="Times New Roman"/>
          <w:color w:val="000000"/>
          <w:sz w:val="22"/>
          <w:szCs w:val="22"/>
        </w:rPr>
        <w:t>environmental assessment</w:t>
      </w:r>
      <w:r w:rsidRPr="00271521">
        <w:rPr>
          <w:rFonts w:ascii="Times New Roman" w:hAnsi="Times New Roman" w:cs="Times New Roman"/>
          <w:sz w:val="22"/>
          <w:szCs w:val="22"/>
        </w:rPr>
        <w:t xml:space="preserve">s be conducted for </w:t>
      </w:r>
      <w:r w:rsidRPr="00C17765">
        <w:rPr>
          <w:rFonts w:ascii="Times New Roman" w:hAnsi="Times New Roman" w:cs="Times New Roman"/>
          <w:b/>
          <w:sz w:val="22"/>
          <w:szCs w:val="22"/>
        </w:rPr>
        <w:t>all components of all projects, regardless of funding sources</w:t>
      </w:r>
      <w:r w:rsidRPr="00271521">
        <w:rPr>
          <w:rFonts w:ascii="Times New Roman" w:hAnsi="Times New Roman" w:cs="Times New Roman"/>
          <w:sz w:val="22"/>
          <w:szCs w:val="22"/>
        </w:rPr>
        <w:t>;</w:t>
      </w:r>
    </w:p>
    <w:p w14:paraId="54E9DE28" w14:textId="77777777" w:rsidR="00770392" w:rsidRPr="00271521" w:rsidRDefault="00770392" w:rsidP="00901418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The requirement that the Bank conducts due diligence and ensures </w:t>
      </w:r>
      <w:r w:rsidRPr="00C17765">
        <w:rPr>
          <w:rFonts w:ascii="Times New Roman" w:hAnsi="Times New Roman" w:cs="Times New Roman"/>
          <w:b/>
          <w:sz w:val="22"/>
          <w:szCs w:val="22"/>
        </w:rPr>
        <w:t xml:space="preserve">client </w:t>
      </w:r>
      <w:r w:rsidRPr="00C17765">
        <w:rPr>
          <w:rFonts w:ascii="Times New Roman" w:hAnsi="Times New Roman" w:cs="Times New Roman"/>
          <w:b/>
          <w:sz w:val="22"/>
          <w:szCs w:val="22"/>
          <w:u w:val="single"/>
        </w:rPr>
        <w:t>compliance</w:t>
      </w:r>
      <w:r w:rsidRPr="00271521">
        <w:rPr>
          <w:rFonts w:ascii="Times New Roman" w:hAnsi="Times New Roman" w:cs="Times New Roman"/>
          <w:sz w:val="22"/>
          <w:szCs w:val="22"/>
        </w:rPr>
        <w:t xml:space="preserve"> with environmental and social requirements;</w:t>
      </w:r>
    </w:p>
    <w:p w14:paraId="2AFC9AC5" w14:textId="599B3A31" w:rsidR="00770392" w:rsidRPr="00271521" w:rsidRDefault="00770392" w:rsidP="00901418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 xml:space="preserve">A suite of </w:t>
      </w:r>
      <w:r w:rsidR="00901418" w:rsidRPr="00271521">
        <w:rPr>
          <w:rFonts w:ascii="Times New Roman" w:hAnsi="Times New Roman" w:cs="Times New Roman"/>
          <w:sz w:val="22"/>
          <w:szCs w:val="22"/>
        </w:rPr>
        <w:t>relatively detailed</w:t>
      </w:r>
      <w:r w:rsidRPr="00271521">
        <w:rPr>
          <w:rFonts w:ascii="Times New Roman" w:hAnsi="Times New Roman" w:cs="Times New Roman"/>
          <w:color w:val="000000"/>
          <w:sz w:val="22"/>
          <w:szCs w:val="22"/>
        </w:rPr>
        <w:t xml:space="preserve"> rules for </w:t>
      </w:r>
      <w:r w:rsidRPr="00C17765">
        <w:rPr>
          <w:rFonts w:ascii="Times New Roman" w:hAnsi="Times New Roman" w:cs="Times New Roman"/>
          <w:b/>
          <w:color w:val="000000"/>
          <w:sz w:val="22"/>
          <w:szCs w:val="22"/>
        </w:rPr>
        <w:t>Financial Intermediaries</w:t>
      </w:r>
      <w:r w:rsidRPr="00271521">
        <w:rPr>
          <w:rFonts w:ascii="Times New Roman" w:hAnsi="Times New Roman" w:cs="Times New Roman"/>
          <w:color w:val="000000"/>
          <w:sz w:val="22"/>
          <w:szCs w:val="22"/>
        </w:rPr>
        <w:t>, necessitating ADB management approval of category A subprojects</w:t>
      </w:r>
      <w:r w:rsidR="00901418" w:rsidRPr="00271521">
        <w:rPr>
          <w:rFonts w:ascii="Times New Roman" w:hAnsi="Times New Roman" w:cs="Times New Roman"/>
          <w:color w:val="000000"/>
          <w:sz w:val="22"/>
          <w:szCs w:val="22"/>
        </w:rPr>
        <w:t xml:space="preserve">, and full application of ADB safeguards, </w:t>
      </w:r>
      <w:r w:rsidR="00901418" w:rsidRPr="00B35C36">
        <w:rPr>
          <w:rFonts w:ascii="Times New Roman" w:hAnsi="Times New Roman" w:cs="Times New Roman"/>
          <w:b/>
          <w:color w:val="000000"/>
          <w:sz w:val="22"/>
          <w:szCs w:val="22"/>
        </w:rPr>
        <w:t>including information disclosure and consultation</w:t>
      </w:r>
      <w:r w:rsidRPr="00271521">
        <w:rPr>
          <w:rFonts w:ascii="Times New Roman" w:hAnsi="Times New Roman" w:cs="Times New Roman"/>
          <w:sz w:val="22"/>
          <w:szCs w:val="22"/>
        </w:rPr>
        <w:t>;</w:t>
      </w:r>
    </w:p>
    <w:p w14:paraId="5EB34364" w14:textId="77777777" w:rsidR="0084333F" w:rsidRPr="0084333F" w:rsidRDefault="00901418" w:rsidP="0084333F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71521">
        <w:rPr>
          <w:rFonts w:ascii="Times New Roman" w:hAnsi="Times New Roman" w:cs="Times New Roman"/>
          <w:sz w:val="22"/>
          <w:szCs w:val="22"/>
        </w:rPr>
        <w:t>Relatively</w:t>
      </w:r>
      <w:r w:rsidRPr="0027152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71521">
        <w:rPr>
          <w:rFonts w:ascii="Times New Roman" w:eastAsia="Times New Roman" w:hAnsi="Times New Roman" w:cs="Times New Roman"/>
          <w:sz w:val="22"/>
          <w:szCs w:val="22"/>
        </w:rPr>
        <w:t>detaile</w:t>
      </w:r>
      <w:r w:rsidR="0084333F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="0084333F" w:rsidRPr="00C17765">
        <w:rPr>
          <w:rFonts w:ascii="Times New Roman" w:eastAsia="Times New Roman" w:hAnsi="Times New Roman" w:cs="Times New Roman"/>
          <w:b/>
          <w:sz w:val="22"/>
          <w:szCs w:val="22"/>
        </w:rPr>
        <w:t>gender-sensitive requirements</w:t>
      </w:r>
      <w:r w:rsidR="0084333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329FA96" w14:textId="4AC5067B" w:rsidR="0072696D" w:rsidRPr="0084333F" w:rsidRDefault="00901418" w:rsidP="0084333F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84333F">
        <w:rPr>
          <w:rFonts w:ascii="Times New Roman" w:hAnsi="Times New Roman" w:cs="Times New Roman"/>
          <w:sz w:val="22"/>
          <w:szCs w:val="22"/>
        </w:rPr>
        <w:t>Relatively robust definition of</w:t>
      </w:r>
      <w:r w:rsidR="0084333F" w:rsidRPr="0084333F">
        <w:rPr>
          <w:rFonts w:ascii="Times New Roman" w:hAnsi="Times New Roman" w:cs="Times New Roman"/>
          <w:sz w:val="22"/>
          <w:szCs w:val="22"/>
        </w:rPr>
        <w:t xml:space="preserve"> </w:t>
      </w:r>
      <w:r w:rsidR="00C17765">
        <w:rPr>
          <w:rFonts w:ascii="Times New Roman" w:hAnsi="Times New Roman" w:cs="Times New Roman"/>
          <w:sz w:val="22"/>
          <w:szCs w:val="22"/>
        </w:rPr>
        <w:t>“</w:t>
      </w:r>
      <w:r w:rsidR="00C17765" w:rsidRPr="00C17765">
        <w:rPr>
          <w:rFonts w:ascii="Times New Roman" w:hAnsi="Times New Roman" w:cs="Times New Roman"/>
          <w:b/>
          <w:sz w:val="22"/>
          <w:szCs w:val="22"/>
        </w:rPr>
        <w:t xml:space="preserve">meaningful </w:t>
      </w:r>
      <w:r w:rsidR="0084333F" w:rsidRPr="00C17765">
        <w:rPr>
          <w:rFonts w:ascii="Times New Roman" w:hAnsi="Times New Roman" w:cs="Times New Roman"/>
          <w:b/>
          <w:sz w:val="22"/>
          <w:szCs w:val="22"/>
        </w:rPr>
        <w:t>consultation</w:t>
      </w:r>
      <w:r w:rsidR="00C17765">
        <w:rPr>
          <w:rFonts w:ascii="Times New Roman" w:hAnsi="Times New Roman" w:cs="Times New Roman"/>
          <w:sz w:val="22"/>
          <w:szCs w:val="22"/>
        </w:rPr>
        <w:t>”</w:t>
      </w:r>
      <w:r w:rsidR="0084333F" w:rsidRPr="0084333F">
        <w:rPr>
          <w:rFonts w:ascii="Times New Roman" w:hAnsi="Times New Roman" w:cs="Times New Roman"/>
          <w:sz w:val="22"/>
          <w:szCs w:val="22"/>
        </w:rPr>
        <w:t xml:space="preserve"> procedures, with materials and consultations</w:t>
      </w:r>
      <w:r w:rsidR="009046D3">
        <w:rPr>
          <w:rFonts w:ascii="Times New Roman" w:hAnsi="Times New Roman" w:cs="Times New Roman"/>
          <w:sz w:val="22"/>
          <w:szCs w:val="22"/>
        </w:rPr>
        <w:t xml:space="preserve"> to be provided</w:t>
      </w:r>
      <w:r w:rsidR="0084333F" w:rsidRPr="0084333F">
        <w:rPr>
          <w:rFonts w:ascii="Times New Roman" w:hAnsi="Times New Roman" w:cs="Times New Roman"/>
          <w:sz w:val="22"/>
          <w:szCs w:val="22"/>
        </w:rPr>
        <w:t xml:space="preserve"> “</w:t>
      </w:r>
      <w:r w:rsidR="0084333F" w:rsidRPr="00C17765">
        <w:rPr>
          <w:rFonts w:ascii="Times New Roman" w:eastAsiaTheme="minorHAnsi" w:hAnsi="Times New Roman" w:cs="Times New Roman"/>
          <w:b/>
          <w:sz w:val="22"/>
          <w:szCs w:val="22"/>
        </w:rPr>
        <w:t>in a form and</w:t>
      </w:r>
      <w:r w:rsidR="0084333F" w:rsidRPr="00C177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33F" w:rsidRPr="00C17765">
        <w:rPr>
          <w:rFonts w:ascii="Times New Roman" w:eastAsiaTheme="minorHAnsi" w:hAnsi="Times New Roman" w:cs="Times New Roman"/>
          <w:b/>
          <w:sz w:val="22"/>
          <w:szCs w:val="22"/>
        </w:rPr>
        <w:t>language(s) understandable to affected people</w:t>
      </w:r>
      <w:r w:rsidR="0084333F" w:rsidRPr="0084333F">
        <w:rPr>
          <w:rFonts w:ascii="Times New Roman" w:eastAsiaTheme="minorHAnsi" w:hAnsi="Times New Roman" w:cs="Times New Roman"/>
          <w:sz w:val="22"/>
          <w:szCs w:val="22"/>
        </w:rPr>
        <w:t xml:space="preserve"> and other stakeholders. For illiterate people, other suitable communication methods will be used.”</w:t>
      </w:r>
      <w:r w:rsidR="009046D3">
        <w:rPr>
          <w:rFonts w:ascii="Times New Roman" w:hAnsi="Times New Roman" w:cs="Times New Roman"/>
          <w:sz w:val="22"/>
          <w:szCs w:val="22"/>
        </w:rPr>
        <w:t xml:space="preserve"> This is a sharp contrast to the AIIB’s “English only” and “videoconference” approach to consultation.</w:t>
      </w:r>
    </w:p>
    <w:p w14:paraId="34BEDB34" w14:textId="358C7A4D" w:rsidR="0072696D" w:rsidRDefault="0072696D" w:rsidP="0072696D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</w:t>
      </w:r>
      <w:r w:rsidR="00B40835" w:rsidRPr="0072696D">
        <w:rPr>
          <w:rFonts w:ascii="Times New Roman" w:hAnsi="Times New Roman" w:cs="Times New Roman"/>
          <w:sz w:val="22"/>
          <w:szCs w:val="22"/>
        </w:rPr>
        <w:t xml:space="preserve"> </w:t>
      </w:r>
      <w:r w:rsidRPr="0072696D">
        <w:rPr>
          <w:rFonts w:ascii="Times New Roman" w:hAnsi="Times New Roman" w:cs="Times New Roman"/>
          <w:sz w:val="22"/>
          <w:szCs w:val="22"/>
        </w:rPr>
        <w:t>ADB</w:t>
      </w:r>
      <w:r>
        <w:rPr>
          <w:rFonts w:ascii="Times New Roman" w:hAnsi="Times New Roman" w:cs="Times New Roman"/>
          <w:sz w:val="22"/>
          <w:szCs w:val="22"/>
        </w:rPr>
        <w:t>’s</w:t>
      </w:r>
      <w:r w:rsidRPr="0072696D">
        <w:rPr>
          <w:rFonts w:ascii="Times New Roman" w:hAnsi="Times New Roman" w:cs="Times New Roman"/>
          <w:sz w:val="22"/>
          <w:szCs w:val="22"/>
        </w:rPr>
        <w:t xml:space="preserve"> </w:t>
      </w:r>
      <w:r w:rsidRPr="00C17765">
        <w:rPr>
          <w:rFonts w:ascii="Times New Roman" w:hAnsi="Times New Roman" w:cs="Times New Roman"/>
          <w:b/>
          <w:sz w:val="22"/>
          <w:szCs w:val="22"/>
        </w:rPr>
        <w:t>Prohibited Activities List</w:t>
      </w:r>
      <w:r w:rsidRPr="0072696D">
        <w:rPr>
          <w:rFonts w:ascii="Times New Roman" w:hAnsi="Times New Roman" w:cs="Times New Roman"/>
          <w:sz w:val="22"/>
          <w:szCs w:val="22"/>
        </w:rPr>
        <w:t xml:space="preserve"> clearly states that “</w:t>
      </w:r>
      <w:r w:rsidRPr="0072696D">
        <w:rPr>
          <w:rFonts w:asciiTheme="majorHAnsi" w:hAnsiTheme="majorHAnsi" w:cs="Times New Roman"/>
          <w:color w:val="000000"/>
        </w:rPr>
        <w:t xml:space="preserve">The following do not qualify for Asian Development Bank financing”, including “production of or trade in radioactive materials, including </w:t>
      </w:r>
      <w:r w:rsidRPr="00C17765">
        <w:rPr>
          <w:rFonts w:asciiTheme="majorHAnsi" w:hAnsiTheme="majorHAnsi" w:cs="Times New Roman"/>
          <w:b/>
          <w:color w:val="000000"/>
        </w:rPr>
        <w:t>nuclear reactors</w:t>
      </w:r>
      <w:r w:rsidRPr="0072696D">
        <w:rPr>
          <w:rFonts w:asciiTheme="majorHAnsi" w:hAnsiTheme="majorHAnsi" w:cs="Times New Roman"/>
          <w:color w:val="000000"/>
        </w:rPr>
        <w:t xml:space="preserve"> and</w:t>
      </w:r>
      <w:r>
        <w:rPr>
          <w:rFonts w:asciiTheme="majorHAnsi" w:hAnsiTheme="majorHAnsi" w:cs="Times New Roman"/>
          <w:color w:val="000000"/>
        </w:rPr>
        <w:t xml:space="preserve"> </w:t>
      </w:r>
      <w:r w:rsidR="003E2DF3">
        <w:rPr>
          <w:rFonts w:asciiTheme="majorHAnsi" w:hAnsiTheme="majorHAnsi" w:cs="Times New Roman"/>
          <w:color w:val="000000"/>
        </w:rPr>
        <w:t xml:space="preserve">components thereof;” </w:t>
      </w:r>
      <w:r w:rsidRPr="0072696D">
        <w:rPr>
          <w:rFonts w:asciiTheme="majorHAnsi" w:hAnsiTheme="majorHAnsi" w:cs="Times New Roman"/>
          <w:color w:val="000000"/>
        </w:rPr>
        <w:t>and “production or activities involving harmful or exploitative forms of forced labor or</w:t>
      </w:r>
      <w:r>
        <w:rPr>
          <w:rFonts w:asciiTheme="majorHAnsi" w:hAnsiTheme="majorHAnsi" w:cs="Times New Roman"/>
          <w:color w:val="000000"/>
        </w:rPr>
        <w:t xml:space="preserve"> </w:t>
      </w:r>
      <w:r w:rsidRPr="0072696D">
        <w:rPr>
          <w:rFonts w:asciiTheme="majorHAnsi" w:hAnsiTheme="majorHAnsi" w:cs="Times New Roman"/>
          <w:color w:val="000000"/>
        </w:rPr>
        <w:t>child labor.”</w:t>
      </w:r>
      <w:r w:rsidR="003E2DF3">
        <w:rPr>
          <w:rStyle w:val="FootnoteReference"/>
          <w:rFonts w:asciiTheme="majorHAnsi" w:hAnsiTheme="majorHAnsi" w:cs="Times New Roman"/>
          <w:color w:val="000000"/>
        </w:rPr>
        <w:footnoteReference w:id="2"/>
      </w:r>
      <w:r w:rsidRPr="007269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628786" w14:textId="77777777" w:rsidR="002157DD" w:rsidRDefault="002157DD" w:rsidP="002157DD">
      <w:pPr>
        <w:rPr>
          <w:rFonts w:ascii="Times New Roman" w:hAnsi="Times New Roman" w:cs="Times New Roman"/>
          <w:sz w:val="22"/>
          <w:szCs w:val="22"/>
        </w:rPr>
      </w:pPr>
    </w:p>
    <w:p w14:paraId="287C4E9D" w14:textId="2C9C3BB7" w:rsidR="008C1D85" w:rsidRPr="002157DD" w:rsidRDefault="002157DD" w:rsidP="002157DD">
      <w:pPr>
        <w:rPr>
          <w:rFonts w:ascii="Times New Roman" w:hAnsi="Times New Roman" w:cs="Times New Roman"/>
          <w:sz w:val="22"/>
          <w:szCs w:val="22"/>
        </w:rPr>
      </w:pPr>
      <w:r w:rsidRPr="002157DD">
        <w:rPr>
          <w:rFonts w:ascii="Times New Roman" w:hAnsi="Times New Roman" w:cs="Times New Roman"/>
          <w:sz w:val="22"/>
          <w:szCs w:val="22"/>
        </w:rPr>
        <w:t xml:space="preserve">In addition, </w:t>
      </w:r>
      <w:r>
        <w:rPr>
          <w:rFonts w:ascii="Times New Roman" w:hAnsi="Times New Roman" w:cs="Times New Roman"/>
          <w:sz w:val="22"/>
          <w:szCs w:val="22"/>
        </w:rPr>
        <w:t xml:space="preserve">while </w:t>
      </w:r>
      <w:r w:rsidRPr="002157DD">
        <w:rPr>
          <w:rFonts w:ascii="Times New Roman" w:hAnsi="Times New Roman" w:cs="Times New Roman"/>
          <w:sz w:val="22"/>
          <w:szCs w:val="22"/>
        </w:rPr>
        <w:t xml:space="preserve">the </w:t>
      </w:r>
      <w:r w:rsidR="008C1D85" w:rsidRPr="002157DD">
        <w:rPr>
          <w:rFonts w:ascii="Times New Roman" w:hAnsi="Times New Roman" w:cs="Times New Roman"/>
          <w:sz w:val="22"/>
          <w:szCs w:val="22"/>
        </w:rPr>
        <w:t xml:space="preserve">ADB Board votes to approve </w:t>
      </w:r>
      <w:r w:rsidR="00B278C9" w:rsidRPr="002157DD">
        <w:rPr>
          <w:rFonts w:ascii="Times New Roman" w:hAnsi="Times New Roman" w:cs="Times New Roman"/>
          <w:sz w:val="22"/>
          <w:szCs w:val="22"/>
        </w:rPr>
        <w:t xml:space="preserve">ADB </w:t>
      </w:r>
      <w:r>
        <w:rPr>
          <w:rFonts w:ascii="Times New Roman" w:hAnsi="Times New Roman" w:cs="Times New Roman"/>
          <w:sz w:val="22"/>
          <w:szCs w:val="22"/>
        </w:rPr>
        <w:t xml:space="preserve">projects, </w:t>
      </w:r>
      <w:r w:rsidRPr="00983EFB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8C1D85" w:rsidRPr="00983EFB">
        <w:rPr>
          <w:rFonts w:ascii="Times New Roman" w:hAnsi="Times New Roman" w:cs="Times New Roman"/>
          <w:b/>
          <w:sz w:val="22"/>
          <w:szCs w:val="22"/>
        </w:rPr>
        <w:t>AIIB’s Articles of Agreement allow</w:t>
      </w:r>
      <w:r w:rsidRPr="00983EFB">
        <w:rPr>
          <w:rFonts w:ascii="Times New Roman" w:hAnsi="Times New Roman" w:cs="Times New Roman"/>
          <w:b/>
          <w:sz w:val="22"/>
          <w:szCs w:val="22"/>
        </w:rPr>
        <w:t xml:space="preserve"> the</w:t>
      </w:r>
      <w:r w:rsidR="00B278C9" w:rsidRPr="00983EFB">
        <w:rPr>
          <w:rFonts w:ascii="Times New Roman" w:hAnsi="Times New Roman" w:cs="Times New Roman"/>
          <w:b/>
          <w:sz w:val="22"/>
          <w:szCs w:val="22"/>
        </w:rPr>
        <w:t xml:space="preserve"> AIIB</w:t>
      </w:r>
      <w:r w:rsidR="008C1D85" w:rsidRPr="00983EFB">
        <w:rPr>
          <w:rFonts w:ascii="Times New Roman" w:hAnsi="Times New Roman" w:cs="Times New Roman"/>
          <w:b/>
          <w:sz w:val="22"/>
          <w:szCs w:val="22"/>
        </w:rPr>
        <w:t xml:space="preserve"> Board to delegate to AIIB Management the </w:t>
      </w:r>
      <w:r w:rsidR="00321E87" w:rsidRPr="00983EFB">
        <w:rPr>
          <w:rFonts w:ascii="Times New Roman" w:hAnsi="Times New Roman" w:cs="Times New Roman"/>
          <w:b/>
          <w:sz w:val="22"/>
          <w:szCs w:val="22"/>
        </w:rPr>
        <w:t>ability</w:t>
      </w:r>
      <w:r w:rsidR="008C1D85" w:rsidRPr="00983EFB">
        <w:rPr>
          <w:rFonts w:ascii="Times New Roman" w:hAnsi="Times New Roman" w:cs="Times New Roman"/>
          <w:b/>
          <w:sz w:val="22"/>
          <w:szCs w:val="22"/>
        </w:rPr>
        <w:t xml:space="preserve"> to “self-approve” </w:t>
      </w:r>
      <w:r w:rsidR="00321E87" w:rsidRPr="00983EFB">
        <w:rPr>
          <w:rFonts w:ascii="Times New Roman" w:hAnsi="Times New Roman" w:cs="Times New Roman"/>
          <w:b/>
          <w:sz w:val="22"/>
          <w:szCs w:val="22"/>
        </w:rPr>
        <w:t>AIIB projects</w:t>
      </w:r>
      <w:r w:rsidR="00B278C9" w:rsidRPr="002157DD">
        <w:rPr>
          <w:rFonts w:ascii="Times New Roman" w:hAnsi="Times New Roman" w:cs="Times New Roman"/>
          <w:sz w:val="22"/>
          <w:szCs w:val="22"/>
        </w:rPr>
        <w:t>, potentially removing projects from detailed Board scrutiny prior to approval, increasing risk, including to Board regarding fulfillment of fiduciary requirements</w:t>
      </w:r>
      <w:r>
        <w:rPr>
          <w:rFonts w:ascii="Times New Roman" w:hAnsi="Times New Roman" w:cs="Times New Roman"/>
          <w:sz w:val="22"/>
          <w:szCs w:val="22"/>
        </w:rPr>
        <w:t xml:space="preserve"> and to communities and the environment.</w:t>
      </w:r>
      <w:r w:rsidR="004C31FF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</w:p>
    <w:p w14:paraId="19AC9F6F" w14:textId="0E6D2AB6" w:rsidR="00B40835" w:rsidRDefault="00B40835" w:rsidP="0072696D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08D6C29E" w14:textId="77777777" w:rsidR="001B713D" w:rsidRDefault="001B713D" w:rsidP="0072696D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1F4DA93" w14:textId="77777777" w:rsidR="001B713D" w:rsidRDefault="001B713D" w:rsidP="0072696D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8878900" w14:textId="77777777" w:rsidR="00770392" w:rsidRPr="00271521" w:rsidRDefault="00770392" w:rsidP="0077039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70392" w:rsidRPr="00271521" w:rsidSect="00190F46">
      <w:footerReference w:type="even" r:id="rId10"/>
      <w:footerReference w:type="default" r:id="rId11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2D40" w14:textId="77777777" w:rsidR="004C31FF" w:rsidRDefault="004C31FF" w:rsidP="00770392">
      <w:r>
        <w:separator/>
      </w:r>
    </w:p>
  </w:endnote>
  <w:endnote w:type="continuationSeparator" w:id="0">
    <w:p w14:paraId="1A0D3A26" w14:textId="77777777" w:rsidR="004C31FF" w:rsidRDefault="004C31FF" w:rsidP="007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Franklin Gothic Std Med">
    <w:altName w:val="ITC Franklin Gothic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A1EF" w14:textId="77777777" w:rsidR="004C31FF" w:rsidRDefault="004C31FF" w:rsidP="008D6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404F3" w14:textId="77777777" w:rsidR="004C31FF" w:rsidRDefault="004C31FF" w:rsidP="008D6D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D2F1" w14:textId="77777777" w:rsidR="004C31FF" w:rsidRDefault="004C31FF" w:rsidP="008D6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8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3E456" w14:textId="3DF74EDA" w:rsidR="004C31FF" w:rsidRDefault="004C31FF" w:rsidP="008D6DBE">
    <w:pPr>
      <w:pStyle w:val="Footer"/>
      <w:ind w:right="360"/>
      <w:jc w:val="right"/>
    </w:pPr>
  </w:p>
  <w:p w14:paraId="63AB82C5" w14:textId="77777777" w:rsidR="004C31FF" w:rsidRDefault="004C3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5CEA" w14:textId="77777777" w:rsidR="004C31FF" w:rsidRDefault="004C31FF" w:rsidP="00770392">
      <w:r>
        <w:separator/>
      </w:r>
    </w:p>
  </w:footnote>
  <w:footnote w:type="continuationSeparator" w:id="0">
    <w:p w14:paraId="5C94543E" w14:textId="77777777" w:rsidR="004C31FF" w:rsidRDefault="004C31FF" w:rsidP="00770392">
      <w:r>
        <w:continuationSeparator/>
      </w:r>
    </w:p>
  </w:footnote>
  <w:footnote w:id="1">
    <w:p w14:paraId="3F9BB913" w14:textId="144986E2" w:rsidR="004C31FF" w:rsidRDefault="004C31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004C3">
          <w:rPr>
            <w:rStyle w:val="Hyperlink"/>
          </w:rPr>
          <w:t>http://www.aiib.org/html/aboutus/AIIB/</w:t>
        </w:r>
      </w:hyperlink>
      <w:r>
        <w:t>, accessed 29 November, 2015</w:t>
      </w:r>
    </w:p>
  </w:footnote>
  <w:footnote w:id="2">
    <w:p w14:paraId="5AC2916E" w14:textId="1110452A" w:rsidR="004C31FF" w:rsidRPr="003E2DF3" w:rsidRDefault="004C31FF" w:rsidP="003E2DF3">
      <w:pPr>
        <w:pStyle w:val="Default"/>
        <w:rPr>
          <w:rFonts w:asciiTheme="majorHAnsi" w:hAnsiTheme="majorHAnsi"/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For a comparison of AIIB Exclusion List with those of the World Bank, IFC and ADB, s</w:t>
      </w:r>
      <w:r w:rsidRPr="003E2DF3">
        <w:rPr>
          <w:rFonts w:ascii="Times New Roman" w:hAnsi="Times New Roman" w:cs="Times New Roman"/>
          <w:sz w:val="18"/>
          <w:szCs w:val="18"/>
        </w:rPr>
        <w:t>ee also, Concerns about the AIIB Exclusion List and a Comparison with the ADB Prohibited Investment List, IFC Project Exclusion List, and Investments Prohibited under World Bank Safeguards, Ulu Foundation, October 2015</w:t>
      </w:r>
    </w:p>
  </w:footnote>
  <w:footnote w:id="3">
    <w:p w14:paraId="251548E3" w14:textId="39188309" w:rsidR="00C7704A" w:rsidRDefault="004C31FF">
      <w:pPr>
        <w:pStyle w:val="FootnoteText"/>
      </w:pPr>
      <w:r>
        <w:rPr>
          <w:rStyle w:val="FootnoteReference"/>
        </w:rPr>
        <w:footnoteRef/>
      </w:r>
      <w:r>
        <w:t xml:space="preserve"> For insights into the problems of self-assessment and self-review, see </w:t>
      </w:r>
      <w:hyperlink r:id="rId2" w:history="1">
        <w:r w:rsidR="00C7704A" w:rsidRPr="00C7704A">
          <w:rPr>
            <w:rFonts w:eastAsiaTheme="minorHAnsi"/>
            <w:sz w:val="18"/>
            <w:szCs w:val="18"/>
          </w:rPr>
          <w:t>Financial Times, Time to Bolster Safeguards, Not Dilute Them.</w:t>
        </w:r>
      </w:hyperlink>
      <w:r w:rsidR="00C7704A" w:rsidRPr="00C7704A">
        <w:rPr>
          <w:rFonts w:eastAsiaTheme="minorHAnsi"/>
          <w:sz w:val="18"/>
          <w:szCs w:val="18"/>
        </w:rPr>
        <w:t xml:space="preserve"> Critique of World Bank and AIIB draft safeguards co-authored by Director of ADB's IED. October 2015</w:t>
      </w:r>
      <w:r w:rsidR="00C7704A" w:rsidRPr="00C7704A">
        <w:rPr>
          <w:rFonts w:eastAsiaTheme="minorHAnsi"/>
          <w:sz w:val="18"/>
          <w:szCs w:val="18"/>
        </w:rPr>
        <w:t xml:space="preserve">; </w:t>
      </w:r>
      <w:r w:rsidR="00C7704A" w:rsidRPr="00C7704A">
        <w:rPr>
          <w:rFonts w:eastAsiaTheme="minorHAnsi"/>
          <w:sz w:val="18"/>
          <w:szCs w:val="18"/>
        </w:rPr>
        <w:t xml:space="preserve">Ecological Justice, Ulu Foundation, Urgewald. From Volkswagen to Infrastructure Finance, You Get What You Inspect, Not What You Expect: The </w:t>
      </w:r>
      <w:hyperlink r:id="rId3" w:history="1">
        <w:r w:rsidR="00C7704A" w:rsidRPr="00C7704A">
          <w:rPr>
            <w:rFonts w:eastAsiaTheme="minorHAnsi"/>
            <w:sz w:val="18"/>
            <w:szCs w:val="18"/>
          </w:rPr>
          <w:t>Risks of Client Self-Assessment, Self-Monitoring and Self-Regulation at the World Bank and AIIB</w:t>
        </w:r>
      </w:hyperlink>
      <w:r w:rsidR="00C7704A" w:rsidRPr="00C7704A">
        <w:rPr>
          <w:rFonts w:eastAsiaTheme="minorHAnsi"/>
          <w:sz w:val="18"/>
          <w:szCs w:val="18"/>
        </w:rPr>
        <w:t>, September 2015.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78B6668"/>
    <w:multiLevelType w:val="hybridMultilevel"/>
    <w:tmpl w:val="7C4290C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A319F"/>
    <w:multiLevelType w:val="hybridMultilevel"/>
    <w:tmpl w:val="73B0C938"/>
    <w:lvl w:ilvl="0" w:tplc="8A544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6601"/>
    <w:multiLevelType w:val="hybridMultilevel"/>
    <w:tmpl w:val="F288D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45A6F"/>
    <w:multiLevelType w:val="hybridMultilevel"/>
    <w:tmpl w:val="24E481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72BAE"/>
    <w:multiLevelType w:val="hybridMultilevel"/>
    <w:tmpl w:val="53CE6E30"/>
    <w:lvl w:ilvl="0" w:tplc="FE268D6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7B1"/>
    <w:multiLevelType w:val="hybridMultilevel"/>
    <w:tmpl w:val="4814BC44"/>
    <w:lvl w:ilvl="0" w:tplc="C7F69E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ITC Franklin Gothic St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81B73"/>
    <w:multiLevelType w:val="hybridMultilevel"/>
    <w:tmpl w:val="7D8A739E"/>
    <w:lvl w:ilvl="0" w:tplc="C7F69E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ITC Franklin Gothic St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2E5C"/>
    <w:multiLevelType w:val="hybridMultilevel"/>
    <w:tmpl w:val="C41CDC64"/>
    <w:lvl w:ilvl="0" w:tplc="13DAE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2380"/>
    <w:multiLevelType w:val="hybridMultilevel"/>
    <w:tmpl w:val="A9EEA88A"/>
    <w:lvl w:ilvl="0" w:tplc="49F48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2"/>
    <w:rsid w:val="00007933"/>
    <w:rsid w:val="0004204F"/>
    <w:rsid w:val="00042B1B"/>
    <w:rsid w:val="00154EFA"/>
    <w:rsid w:val="00170591"/>
    <w:rsid w:val="00190A2C"/>
    <w:rsid w:val="00190F46"/>
    <w:rsid w:val="001B713D"/>
    <w:rsid w:val="00201423"/>
    <w:rsid w:val="002157DD"/>
    <w:rsid w:val="0027062C"/>
    <w:rsid w:val="00271521"/>
    <w:rsid w:val="0027174B"/>
    <w:rsid w:val="002725A2"/>
    <w:rsid w:val="00275DB1"/>
    <w:rsid w:val="002A54D2"/>
    <w:rsid w:val="002E3E32"/>
    <w:rsid w:val="002F4028"/>
    <w:rsid w:val="00321E87"/>
    <w:rsid w:val="00370986"/>
    <w:rsid w:val="00386D6D"/>
    <w:rsid w:val="003A5C74"/>
    <w:rsid w:val="003B63E8"/>
    <w:rsid w:val="003E2DF3"/>
    <w:rsid w:val="00453940"/>
    <w:rsid w:val="00465364"/>
    <w:rsid w:val="00465E27"/>
    <w:rsid w:val="004721EB"/>
    <w:rsid w:val="004C31FF"/>
    <w:rsid w:val="00512D74"/>
    <w:rsid w:val="00524A8E"/>
    <w:rsid w:val="00532CFC"/>
    <w:rsid w:val="005659F8"/>
    <w:rsid w:val="00580773"/>
    <w:rsid w:val="00580D8A"/>
    <w:rsid w:val="0058353A"/>
    <w:rsid w:val="005D632D"/>
    <w:rsid w:val="005E4EC5"/>
    <w:rsid w:val="005E61CB"/>
    <w:rsid w:val="005F28E1"/>
    <w:rsid w:val="005F63DA"/>
    <w:rsid w:val="006052CF"/>
    <w:rsid w:val="00605506"/>
    <w:rsid w:val="00636FD0"/>
    <w:rsid w:val="00650BD5"/>
    <w:rsid w:val="006B5A4A"/>
    <w:rsid w:val="00711114"/>
    <w:rsid w:val="007129CA"/>
    <w:rsid w:val="0072696D"/>
    <w:rsid w:val="00733800"/>
    <w:rsid w:val="00770392"/>
    <w:rsid w:val="00787D90"/>
    <w:rsid w:val="00802FF3"/>
    <w:rsid w:val="0083499E"/>
    <w:rsid w:val="0084333F"/>
    <w:rsid w:val="00854BB3"/>
    <w:rsid w:val="0086313F"/>
    <w:rsid w:val="00891B6D"/>
    <w:rsid w:val="008B139A"/>
    <w:rsid w:val="008C1D85"/>
    <w:rsid w:val="008D6DBE"/>
    <w:rsid w:val="008E1E36"/>
    <w:rsid w:val="00901418"/>
    <w:rsid w:val="009046D3"/>
    <w:rsid w:val="00951AFE"/>
    <w:rsid w:val="00956A63"/>
    <w:rsid w:val="00983EFB"/>
    <w:rsid w:val="009967EF"/>
    <w:rsid w:val="009B5B82"/>
    <w:rsid w:val="00A07599"/>
    <w:rsid w:val="00A11498"/>
    <w:rsid w:val="00A223EE"/>
    <w:rsid w:val="00A36BBE"/>
    <w:rsid w:val="00A37AE0"/>
    <w:rsid w:val="00AD27E9"/>
    <w:rsid w:val="00B278C9"/>
    <w:rsid w:val="00B35C36"/>
    <w:rsid w:val="00B36836"/>
    <w:rsid w:val="00B40835"/>
    <w:rsid w:val="00B462E4"/>
    <w:rsid w:val="00C12180"/>
    <w:rsid w:val="00C17765"/>
    <w:rsid w:val="00C34189"/>
    <w:rsid w:val="00C7704A"/>
    <w:rsid w:val="00C7706D"/>
    <w:rsid w:val="00CC60FE"/>
    <w:rsid w:val="00CC72E5"/>
    <w:rsid w:val="00D51AE7"/>
    <w:rsid w:val="00D67AF5"/>
    <w:rsid w:val="00D754C8"/>
    <w:rsid w:val="00D87C8D"/>
    <w:rsid w:val="00E2352E"/>
    <w:rsid w:val="00E327C1"/>
    <w:rsid w:val="00E334A8"/>
    <w:rsid w:val="00E358DC"/>
    <w:rsid w:val="00E52E0B"/>
    <w:rsid w:val="00EC12B6"/>
    <w:rsid w:val="00F07983"/>
    <w:rsid w:val="00F11DAC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F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70392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3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92"/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39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703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2"/>
    <w:rPr>
      <w:rFonts w:ascii="Tahoma" w:eastAsia="Calibri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07933"/>
    <w:pPr>
      <w:autoSpaceDE w:val="0"/>
      <w:autoSpaceDN w:val="0"/>
      <w:adjustRightInd w:val="0"/>
      <w:spacing w:line="176" w:lineRule="atLeast"/>
    </w:pPr>
    <w:rPr>
      <w:rFonts w:ascii="ITC Franklin Gothic Std Book" w:eastAsiaTheme="minorHAnsi" w:hAnsi="ITC Franklin Gothic Std Book" w:cstheme="minorBidi"/>
      <w:sz w:val="24"/>
      <w:szCs w:val="24"/>
    </w:rPr>
  </w:style>
  <w:style w:type="character" w:customStyle="1" w:styleId="A10">
    <w:name w:val="A10"/>
    <w:uiPriority w:val="99"/>
    <w:rsid w:val="00007933"/>
    <w:rPr>
      <w:rFonts w:cs="ITC Franklin Gothic Std Book"/>
      <w:color w:val="000000"/>
      <w:sz w:val="10"/>
      <w:szCs w:val="10"/>
    </w:rPr>
  </w:style>
  <w:style w:type="paragraph" w:customStyle="1" w:styleId="Pa8">
    <w:name w:val="Pa8"/>
    <w:basedOn w:val="Normal"/>
    <w:next w:val="Normal"/>
    <w:uiPriority w:val="99"/>
    <w:rsid w:val="00007933"/>
    <w:pPr>
      <w:autoSpaceDE w:val="0"/>
      <w:autoSpaceDN w:val="0"/>
      <w:adjustRightInd w:val="0"/>
      <w:spacing w:line="176" w:lineRule="atLeast"/>
    </w:pPr>
    <w:rPr>
      <w:rFonts w:ascii="ITC Franklin Gothic Std Book" w:eastAsiaTheme="minorHAnsi" w:hAnsi="ITC Franklin Gothic Std Book" w:cstheme="minorBidi"/>
      <w:sz w:val="24"/>
      <w:szCs w:val="24"/>
    </w:rPr>
  </w:style>
  <w:style w:type="character" w:customStyle="1" w:styleId="A11">
    <w:name w:val="A11"/>
    <w:uiPriority w:val="99"/>
    <w:rsid w:val="00007933"/>
    <w:rPr>
      <w:rFonts w:cs="ITC Franklin Gothic Std Book"/>
      <w:color w:val="000000"/>
    </w:rPr>
  </w:style>
  <w:style w:type="paragraph" w:customStyle="1" w:styleId="Pa11">
    <w:name w:val="Pa11"/>
    <w:basedOn w:val="Normal"/>
    <w:next w:val="Normal"/>
    <w:uiPriority w:val="99"/>
    <w:rsid w:val="00007933"/>
    <w:pPr>
      <w:autoSpaceDE w:val="0"/>
      <w:autoSpaceDN w:val="0"/>
      <w:adjustRightInd w:val="0"/>
      <w:spacing w:line="186" w:lineRule="atLeast"/>
    </w:pPr>
    <w:rPr>
      <w:rFonts w:ascii="ITC Franklin Gothic Std Med" w:eastAsiaTheme="minorHAnsi" w:hAnsi="ITC Franklin Gothic Std Med" w:cstheme="minorBidi"/>
      <w:sz w:val="24"/>
      <w:szCs w:val="24"/>
    </w:rPr>
  </w:style>
  <w:style w:type="paragraph" w:customStyle="1" w:styleId="Default">
    <w:name w:val="Default"/>
    <w:rsid w:val="00190F46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6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70392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3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92"/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39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703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2"/>
    <w:rPr>
      <w:rFonts w:ascii="Tahoma" w:eastAsia="Calibri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07933"/>
    <w:pPr>
      <w:autoSpaceDE w:val="0"/>
      <w:autoSpaceDN w:val="0"/>
      <w:adjustRightInd w:val="0"/>
      <w:spacing w:line="176" w:lineRule="atLeast"/>
    </w:pPr>
    <w:rPr>
      <w:rFonts w:ascii="ITC Franklin Gothic Std Book" w:eastAsiaTheme="minorHAnsi" w:hAnsi="ITC Franklin Gothic Std Book" w:cstheme="minorBidi"/>
      <w:sz w:val="24"/>
      <w:szCs w:val="24"/>
    </w:rPr>
  </w:style>
  <w:style w:type="character" w:customStyle="1" w:styleId="A10">
    <w:name w:val="A10"/>
    <w:uiPriority w:val="99"/>
    <w:rsid w:val="00007933"/>
    <w:rPr>
      <w:rFonts w:cs="ITC Franklin Gothic Std Book"/>
      <w:color w:val="000000"/>
      <w:sz w:val="10"/>
      <w:szCs w:val="10"/>
    </w:rPr>
  </w:style>
  <w:style w:type="paragraph" w:customStyle="1" w:styleId="Pa8">
    <w:name w:val="Pa8"/>
    <w:basedOn w:val="Normal"/>
    <w:next w:val="Normal"/>
    <w:uiPriority w:val="99"/>
    <w:rsid w:val="00007933"/>
    <w:pPr>
      <w:autoSpaceDE w:val="0"/>
      <w:autoSpaceDN w:val="0"/>
      <w:adjustRightInd w:val="0"/>
      <w:spacing w:line="176" w:lineRule="atLeast"/>
    </w:pPr>
    <w:rPr>
      <w:rFonts w:ascii="ITC Franklin Gothic Std Book" w:eastAsiaTheme="minorHAnsi" w:hAnsi="ITC Franklin Gothic Std Book" w:cstheme="minorBidi"/>
      <w:sz w:val="24"/>
      <w:szCs w:val="24"/>
    </w:rPr>
  </w:style>
  <w:style w:type="character" w:customStyle="1" w:styleId="A11">
    <w:name w:val="A11"/>
    <w:uiPriority w:val="99"/>
    <w:rsid w:val="00007933"/>
    <w:rPr>
      <w:rFonts w:cs="ITC Franklin Gothic Std Book"/>
      <w:color w:val="000000"/>
    </w:rPr>
  </w:style>
  <w:style w:type="paragraph" w:customStyle="1" w:styleId="Pa11">
    <w:name w:val="Pa11"/>
    <w:basedOn w:val="Normal"/>
    <w:next w:val="Normal"/>
    <w:uiPriority w:val="99"/>
    <w:rsid w:val="00007933"/>
    <w:pPr>
      <w:autoSpaceDE w:val="0"/>
      <w:autoSpaceDN w:val="0"/>
      <w:adjustRightInd w:val="0"/>
      <w:spacing w:line="186" w:lineRule="atLeast"/>
    </w:pPr>
    <w:rPr>
      <w:rFonts w:ascii="ITC Franklin Gothic Std Med" w:eastAsiaTheme="minorHAnsi" w:hAnsi="ITC Franklin Gothic Std Med" w:cstheme="minorBidi"/>
      <w:sz w:val="24"/>
      <w:szCs w:val="24"/>
    </w:rPr>
  </w:style>
  <w:style w:type="paragraph" w:customStyle="1" w:styleId="Default">
    <w:name w:val="Default"/>
    <w:rsid w:val="00190F46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ephanie@ulufoundation.org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ib.org/html/aboutus/AIIB/" TargetMode="External"/><Relationship Id="rId2" Type="http://schemas.openxmlformats.org/officeDocument/2006/relationships/hyperlink" Target="file://8885b957a9cadd0e98aa36b8b2dc8de3:BBECBE2DB5DCCE90DECA" TargetMode="External"/><Relationship Id="rId3" Type="http://schemas.openxmlformats.org/officeDocument/2006/relationships/hyperlink" Target="file://73f82dc7e6728433f42476b15aff9a0b:BBECBE2DB5DCCE90D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 F</cp:lastModifiedBy>
  <cp:revision>12</cp:revision>
  <dcterms:created xsi:type="dcterms:W3CDTF">2015-10-31T22:29:00Z</dcterms:created>
  <dcterms:modified xsi:type="dcterms:W3CDTF">2015-10-31T22:38:00Z</dcterms:modified>
</cp:coreProperties>
</file>