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1940B" w14:textId="77777777" w:rsidR="004579CA" w:rsidRDefault="004579CA">
      <w:pPr>
        <w:rPr>
          <w:rFonts w:ascii="Calibri" w:hAnsi="Calibri"/>
          <w:b/>
          <w:sz w:val="28"/>
          <w:u w:val="single"/>
        </w:rPr>
      </w:pPr>
    </w:p>
    <w:p w14:paraId="16AD7D5D" w14:textId="61A444EB" w:rsidR="00A41606" w:rsidRPr="00380EBC" w:rsidRDefault="00A41606">
      <w:pPr>
        <w:rPr>
          <w:rFonts w:ascii="Calibri" w:hAnsi="Calibri"/>
          <w:b/>
          <w:sz w:val="28"/>
          <w:u w:val="single"/>
        </w:rPr>
      </w:pPr>
      <w:r w:rsidRPr="00380EBC">
        <w:rPr>
          <w:rFonts w:ascii="Calibri" w:hAnsi="Calibri"/>
          <w:b/>
          <w:sz w:val="28"/>
          <w:u w:val="single"/>
        </w:rPr>
        <w:t xml:space="preserve">Task 1. </w:t>
      </w:r>
      <w:r w:rsidR="003124AE">
        <w:rPr>
          <w:rFonts w:ascii="Calibri" w:hAnsi="Calibri"/>
          <w:b/>
          <w:sz w:val="28"/>
          <w:u w:val="single"/>
        </w:rPr>
        <w:t>R</w:t>
      </w:r>
      <w:r w:rsidRPr="00380EBC">
        <w:rPr>
          <w:rFonts w:ascii="Calibri" w:hAnsi="Calibri"/>
          <w:b/>
          <w:sz w:val="28"/>
          <w:u w:val="single"/>
        </w:rPr>
        <w:t>eview of currently available preservation incentives in Seattle</w:t>
      </w:r>
    </w:p>
    <w:p w14:paraId="18AF19AD" w14:textId="77777777" w:rsidR="00A41606" w:rsidRDefault="00A41606">
      <w:pPr>
        <w:rPr>
          <w:rFonts w:ascii="Calibri" w:hAnsi="Calibri"/>
          <w:b/>
        </w:rPr>
      </w:pPr>
    </w:p>
    <w:p w14:paraId="2F477125" w14:textId="55B3E392" w:rsidR="003124AE" w:rsidRDefault="003124AE">
      <w:pPr>
        <w:rPr>
          <w:rFonts w:ascii="Calibri" w:hAnsi="Calibri"/>
          <w:b/>
        </w:rPr>
      </w:pPr>
      <w:r>
        <w:rPr>
          <w:rFonts w:ascii="Calibri" w:hAnsi="Calibri"/>
          <w:b/>
        </w:rPr>
        <w:t>Programs</w:t>
      </w:r>
    </w:p>
    <w:p w14:paraId="62CC610C" w14:textId="77777777" w:rsidR="003124AE" w:rsidRPr="00A427C1" w:rsidRDefault="003124AE">
      <w:pPr>
        <w:rPr>
          <w:rFonts w:ascii="Calibri" w:hAnsi="Calibri"/>
          <w:b/>
        </w:rPr>
      </w:pPr>
    </w:p>
    <w:p w14:paraId="1078C0DE" w14:textId="4B70BB76" w:rsidR="00A708B6" w:rsidRPr="00C91A4E" w:rsidRDefault="00A41606">
      <w:pPr>
        <w:rPr>
          <w:rFonts w:ascii="Calibri" w:hAnsi="Calibri"/>
          <w:b/>
          <w:sz w:val="28"/>
          <w:szCs w:val="28"/>
        </w:rPr>
      </w:pPr>
      <w:r w:rsidRPr="00C91A4E">
        <w:rPr>
          <w:rFonts w:ascii="Calibri" w:hAnsi="Calibri"/>
          <w:b/>
          <w:sz w:val="28"/>
          <w:szCs w:val="28"/>
        </w:rPr>
        <w:t>Transfer</w:t>
      </w:r>
      <w:r w:rsidR="00FD1C28" w:rsidRPr="00C91A4E">
        <w:rPr>
          <w:rFonts w:ascii="Calibri" w:hAnsi="Calibri"/>
          <w:b/>
          <w:sz w:val="28"/>
          <w:szCs w:val="28"/>
        </w:rPr>
        <w:t xml:space="preserve"> of</w:t>
      </w:r>
      <w:r w:rsidRPr="00C91A4E">
        <w:rPr>
          <w:rFonts w:ascii="Calibri" w:hAnsi="Calibri"/>
          <w:b/>
          <w:sz w:val="28"/>
          <w:szCs w:val="28"/>
        </w:rPr>
        <w:t xml:space="preserve"> Development Rights</w:t>
      </w:r>
      <w:r w:rsidR="00FE614B" w:rsidRPr="00C91A4E">
        <w:rPr>
          <w:rFonts w:ascii="Calibri" w:hAnsi="Calibri"/>
          <w:b/>
          <w:sz w:val="28"/>
          <w:szCs w:val="28"/>
        </w:rPr>
        <w:t xml:space="preserve"> (TDR)</w:t>
      </w:r>
    </w:p>
    <w:p w14:paraId="038BAEE9" w14:textId="77777777" w:rsidR="00A41606" w:rsidRPr="00A427C1" w:rsidRDefault="00A41606">
      <w:pPr>
        <w:rPr>
          <w:rFonts w:ascii="Calibri" w:hAnsi="Calibri"/>
          <w:b/>
        </w:rPr>
      </w:pPr>
    </w:p>
    <w:p w14:paraId="20C1E535" w14:textId="023F65B4" w:rsidR="00A41606" w:rsidRPr="00A427C1" w:rsidRDefault="00224DC1">
      <w:pPr>
        <w:rPr>
          <w:rFonts w:ascii="Calibri" w:hAnsi="Calibri"/>
        </w:rPr>
      </w:pPr>
      <w:r>
        <w:rPr>
          <w:rFonts w:ascii="Calibri" w:hAnsi="Calibri"/>
        </w:rPr>
        <w:t>Jurisdiction</w:t>
      </w:r>
      <w:r w:rsidR="00A41606" w:rsidRPr="00A427C1">
        <w:rPr>
          <w:rFonts w:ascii="Calibri" w:hAnsi="Calibri"/>
        </w:rPr>
        <w:t xml:space="preserve">: </w:t>
      </w:r>
      <w:r w:rsidR="0074795A">
        <w:rPr>
          <w:rFonts w:ascii="Calibri" w:hAnsi="Calibri"/>
        </w:rPr>
        <w:t xml:space="preserve">City of Seattle </w:t>
      </w:r>
    </w:p>
    <w:p w14:paraId="4982DD72" w14:textId="77777777" w:rsidR="00A41606" w:rsidRPr="00A427C1" w:rsidRDefault="00A41606">
      <w:pPr>
        <w:rPr>
          <w:rFonts w:ascii="Calibri" w:hAnsi="Calibri"/>
        </w:rPr>
      </w:pPr>
    </w:p>
    <w:p w14:paraId="3C764B49" w14:textId="77777777" w:rsidR="00A41606" w:rsidRPr="00A427C1" w:rsidRDefault="00A41606">
      <w:pPr>
        <w:rPr>
          <w:rFonts w:ascii="Calibri" w:hAnsi="Calibri"/>
        </w:rPr>
      </w:pPr>
      <w:r w:rsidRPr="00A427C1">
        <w:rPr>
          <w:rFonts w:ascii="Calibri" w:hAnsi="Calibri"/>
        </w:rPr>
        <w:t>Responsible Agency: Seattle Department of Planning and Development</w:t>
      </w:r>
    </w:p>
    <w:p w14:paraId="1037FEFF" w14:textId="77777777" w:rsidR="00EA49A9" w:rsidRPr="00A427C1" w:rsidRDefault="00EA49A9">
      <w:pPr>
        <w:rPr>
          <w:rFonts w:ascii="Calibri" w:hAnsi="Calibri"/>
        </w:rPr>
      </w:pPr>
    </w:p>
    <w:p w14:paraId="4F3E3030" w14:textId="64101925" w:rsidR="00EA49A9" w:rsidRPr="00A427C1" w:rsidRDefault="00DF4BED">
      <w:pPr>
        <w:rPr>
          <w:rFonts w:ascii="Calibri" w:hAnsi="Calibri"/>
        </w:rPr>
      </w:pPr>
      <w:r w:rsidRPr="00A427C1">
        <w:rPr>
          <w:rFonts w:ascii="Calibri" w:hAnsi="Calibri"/>
        </w:rPr>
        <w:t>Eligible Properties</w:t>
      </w:r>
      <w:r w:rsidR="00FD1C28" w:rsidRPr="00A427C1">
        <w:rPr>
          <w:rFonts w:ascii="Calibri" w:hAnsi="Calibri"/>
        </w:rPr>
        <w:t xml:space="preserve"> of Interest</w:t>
      </w:r>
      <w:r w:rsidR="00EA49A9" w:rsidRPr="00A427C1">
        <w:rPr>
          <w:rFonts w:ascii="Calibri" w:hAnsi="Calibri"/>
        </w:rPr>
        <w:t xml:space="preserve">: </w:t>
      </w:r>
      <w:r w:rsidR="00FD1C28" w:rsidRPr="00A427C1">
        <w:rPr>
          <w:rFonts w:ascii="Calibri" w:hAnsi="Calibri"/>
        </w:rPr>
        <w:t>L</w:t>
      </w:r>
      <w:r w:rsidR="007C4FDB">
        <w:rPr>
          <w:rFonts w:ascii="Calibri" w:hAnsi="Calibri"/>
        </w:rPr>
        <w:t>ocal l</w:t>
      </w:r>
      <w:r w:rsidR="00FD1C28" w:rsidRPr="00A427C1">
        <w:rPr>
          <w:rFonts w:ascii="Calibri" w:hAnsi="Calibri"/>
        </w:rPr>
        <w:t>andmark buildings</w:t>
      </w:r>
      <w:r w:rsidR="00CA181B">
        <w:rPr>
          <w:rFonts w:ascii="Calibri" w:hAnsi="Calibri"/>
        </w:rPr>
        <w:t xml:space="preserve"> designated by</w:t>
      </w:r>
      <w:r w:rsidR="00666351">
        <w:rPr>
          <w:rFonts w:ascii="Calibri" w:hAnsi="Calibri"/>
        </w:rPr>
        <w:t xml:space="preserve"> city </w:t>
      </w:r>
      <w:r w:rsidR="00CA181B">
        <w:rPr>
          <w:rFonts w:ascii="Calibri" w:hAnsi="Calibri"/>
        </w:rPr>
        <w:t>ordinance</w:t>
      </w:r>
      <w:r w:rsidR="00FD1C28" w:rsidRPr="00A427C1">
        <w:rPr>
          <w:rFonts w:ascii="Calibri" w:hAnsi="Calibri"/>
        </w:rPr>
        <w:t>, contributing structures under </w:t>
      </w:r>
      <w:hyperlink r:id="rId8" w:history="1">
        <w:r w:rsidR="00FD1C28" w:rsidRPr="00A427C1">
          <w:rPr>
            <w:rStyle w:val="Hyperlink"/>
            <w:rFonts w:ascii="Calibri" w:hAnsi="Calibri"/>
          </w:rPr>
          <w:t>SMC 23.66.032</w:t>
        </w:r>
      </w:hyperlink>
      <w:r w:rsidR="00FD1C28" w:rsidRPr="00A427C1">
        <w:rPr>
          <w:rFonts w:ascii="Calibri" w:hAnsi="Calibri"/>
        </w:rPr>
        <w:t>, major</w:t>
      </w:r>
      <w:r w:rsidR="004A4E7A">
        <w:rPr>
          <w:rFonts w:ascii="Calibri" w:hAnsi="Calibri"/>
        </w:rPr>
        <w:t xml:space="preserve"> open space or arts facilities. TDR</w:t>
      </w:r>
      <w:r w:rsidR="00FE614B">
        <w:rPr>
          <w:rFonts w:ascii="Calibri" w:hAnsi="Calibri"/>
        </w:rPr>
        <w:t>s</w:t>
      </w:r>
      <w:r w:rsidR="004A4E7A">
        <w:rPr>
          <w:rFonts w:ascii="Calibri" w:hAnsi="Calibri"/>
        </w:rPr>
        <w:t xml:space="preserve"> are available in most Downtown zones</w:t>
      </w:r>
      <w:r w:rsidR="00FE614B">
        <w:rPr>
          <w:rFonts w:ascii="Calibri" w:hAnsi="Calibri"/>
        </w:rPr>
        <w:t xml:space="preserve">, </w:t>
      </w:r>
      <w:r w:rsidR="00AF297A">
        <w:rPr>
          <w:rFonts w:ascii="Calibri" w:hAnsi="Calibri"/>
        </w:rPr>
        <w:t xml:space="preserve">parts of South downtown, </w:t>
      </w:r>
      <w:r w:rsidR="004A4E7A">
        <w:rPr>
          <w:rFonts w:ascii="Calibri" w:hAnsi="Calibri"/>
        </w:rPr>
        <w:t xml:space="preserve">and </w:t>
      </w:r>
      <w:r w:rsidR="00FE614B">
        <w:rPr>
          <w:rFonts w:ascii="Calibri" w:hAnsi="Calibri"/>
        </w:rPr>
        <w:t xml:space="preserve">parts of </w:t>
      </w:r>
      <w:r w:rsidR="004A4E7A">
        <w:rPr>
          <w:rFonts w:ascii="Calibri" w:hAnsi="Calibri"/>
        </w:rPr>
        <w:t xml:space="preserve">South Lake Union. </w:t>
      </w:r>
      <w:r w:rsidR="00AF297A">
        <w:rPr>
          <w:rFonts w:ascii="Calibri" w:hAnsi="Calibri"/>
        </w:rPr>
        <w:t>Program benefits vary by zone.</w:t>
      </w:r>
    </w:p>
    <w:p w14:paraId="21330670" w14:textId="77777777" w:rsidR="00A41606" w:rsidRPr="00A427C1" w:rsidRDefault="00A41606">
      <w:pPr>
        <w:rPr>
          <w:rFonts w:ascii="Calibri" w:hAnsi="Calibri"/>
        </w:rPr>
      </w:pPr>
    </w:p>
    <w:p w14:paraId="39140B57" w14:textId="0B1E8FDF" w:rsidR="00F4013F" w:rsidRDefault="00BD7AC5" w:rsidP="00BD7AC5">
      <w:pPr>
        <w:rPr>
          <w:rFonts w:ascii="Calibri" w:hAnsi="Calibri"/>
        </w:rPr>
      </w:pPr>
      <w:r w:rsidRPr="00A427C1">
        <w:rPr>
          <w:rFonts w:ascii="Calibri" w:hAnsi="Calibri"/>
        </w:rPr>
        <w:t>Description</w:t>
      </w:r>
      <w:r w:rsidR="00A41606" w:rsidRPr="00A427C1">
        <w:rPr>
          <w:rFonts w:ascii="Calibri" w:hAnsi="Calibri"/>
        </w:rPr>
        <w:t>:</w:t>
      </w:r>
      <w:r w:rsidRPr="00A427C1">
        <w:rPr>
          <w:rFonts w:ascii="Calibri" w:hAnsi="Calibri"/>
        </w:rPr>
        <w:t xml:space="preserve"> </w:t>
      </w:r>
      <w:r w:rsidR="007C754C" w:rsidRPr="00A427C1">
        <w:rPr>
          <w:rFonts w:ascii="Calibri" w:hAnsi="Calibri"/>
        </w:rPr>
        <w:t xml:space="preserve">The </w:t>
      </w:r>
      <w:r w:rsidR="00A41606" w:rsidRPr="00A427C1">
        <w:rPr>
          <w:rFonts w:ascii="Calibri" w:hAnsi="Calibri"/>
        </w:rPr>
        <w:t>Transfer</w:t>
      </w:r>
      <w:r w:rsidR="007C754C" w:rsidRPr="00A427C1">
        <w:rPr>
          <w:rFonts w:ascii="Calibri" w:hAnsi="Calibri"/>
        </w:rPr>
        <w:t xml:space="preserve"> of</w:t>
      </w:r>
      <w:r w:rsidR="00A41606" w:rsidRPr="00A427C1">
        <w:rPr>
          <w:rFonts w:ascii="Calibri" w:hAnsi="Calibri"/>
        </w:rPr>
        <w:t xml:space="preserve"> Development Rights </w:t>
      </w:r>
      <w:r w:rsidR="007C754C" w:rsidRPr="00A427C1">
        <w:rPr>
          <w:rFonts w:ascii="Calibri" w:hAnsi="Calibri"/>
        </w:rPr>
        <w:t>(TDR) program</w:t>
      </w:r>
      <w:r w:rsidR="00063255">
        <w:rPr>
          <w:rFonts w:ascii="Calibri" w:hAnsi="Calibri"/>
        </w:rPr>
        <w:t xml:space="preserve"> is a subset of the Downto</w:t>
      </w:r>
      <w:r w:rsidR="00DF418C">
        <w:rPr>
          <w:rFonts w:ascii="Calibri" w:hAnsi="Calibri"/>
        </w:rPr>
        <w:t xml:space="preserve">wn Incentives/Bonus program </w:t>
      </w:r>
      <w:r w:rsidR="00063255">
        <w:rPr>
          <w:rFonts w:ascii="Calibri" w:hAnsi="Calibri"/>
        </w:rPr>
        <w:t>allow</w:t>
      </w:r>
      <w:r w:rsidR="00DF418C">
        <w:rPr>
          <w:rFonts w:ascii="Calibri" w:hAnsi="Calibri"/>
        </w:rPr>
        <w:t xml:space="preserve">ing </w:t>
      </w:r>
      <w:r w:rsidR="00D96773">
        <w:rPr>
          <w:rFonts w:ascii="Calibri" w:hAnsi="Calibri"/>
        </w:rPr>
        <w:t>unused</w:t>
      </w:r>
      <w:r w:rsidR="007C754C" w:rsidRPr="00A427C1">
        <w:rPr>
          <w:rFonts w:ascii="Calibri" w:hAnsi="Calibri"/>
        </w:rPr>
        <w:t xml:space="preserve"> development rights to be sold from</w:t>
      </w:r>
      <w:r w:rsidR="00EA49A9" w:rsidRPr="00A427C1">
        <w:rPr>
          <w:rFonts w:ascii="Calibri" w:hAnsi="Calibri"/>
        </w:rPr>
        <w:t xml:space="preserve"> one property owner</w:t>
      </w:r>
      <w:r w:rsidR="00936E11">
        <w:rPr>
          <w:rFonts w:ascii="Calibri" w:hAnsi="Calibri"/>
        </w:rPr>
        <w:t xml:space="preserve"> (sending lot)</w:t>
      </w:r>
      <w:r w:rsidR="00EA49A9" w:rsidRPr="00A427C1">
        <w:rPr>
          <w:rFonts w:ascii="Calibri" w:hAnsi="Calibri"/>
        </w:rPr>
        <w:t xml:space="preserve"> to another</w:t>
      </w:r>
      <w:r w:rsidR="00936E11">
        <w:rPr>
          <w:rFonts w:ascii="Calibri" w:hAnsi="Calibri"/>
        </w:rPr>
        <w:t xml:space="preserve"> (receiving lot</w:t>
      </w:r>
      <w:r w:rsidR="00D96773">
        <w:rPr>
          <w:rFonts w:ascii="Calibri" w:hAnsi="Calibri"/>
        </w:rPr>
        <w:t xml:space="preserve">). </w:t>
      </w:r>
      <w:r w:rsidR="00521E57">
        <w:rPr>
          <w:rFonts w:ascii="Calibri" w:hAnsi="Calibri"/>
        </w:rPr>
        <w:t xml:space="preserve"> Floor area of the property is used to calculate unused development rights of the eligible landmark prope</w:t>
      </w:r>
      <w:r w:rsidR="00F4013F">
        <w:rPr>
          <w:rFonts w:ascii="Calibri" w:hAnsi="Calibri"/>
        </w:rPr>
        <w:t>rty. The receiving lot purchases unused development rights to achieve extra floor area above the base floor area (FAR).</w:t>
      </w:r>
    </w:p>
    <w:p w14:paraId="1D551E1D" w14:textId="1A11CC7B" w:rsidR="00F4013F" w:rsidRDefault="00DF418C" w:rsidP="00DF418C">
      <w:pPr>
        <w:tabs>
          <w:tab w:val="left" w:pos="1875"/>
        </w:tabs>
        <w:rPr>
          <w:rFonts w:ascii="Calibri" w:hAnsi="Calibri"/>
        </w:rPr>
      </w:pPr>
      <w:r>
        <w:rPr>
          <w:rFonts w:ascii="Calibri" w:hAnsi="Calibri"/>
        </w:rPr>
        <w:tab/>
      </w:r>
    </w:p>
    <w:p w14:paraId="3F8D13F3" w14:textId="63423B7F" w:rsidR="00FC0E4B" w:rsidRDefault="00FC0E4B" w:rsidP="00BD7AC5">
      <w:pPr>
        <w:rPr>
          <w:rFonts w:ascii="Calibri" w:hAnsi="Calibri"/>
        </w:rPr>
      </w:pPr>
      <w:r>
        <w:rPr>
          <w:rFonts w:ascii="Calibri" w:hAnsi="Calibri"/>
        </w:rPr>
        <w:t xml:space="preserve">Property owners submit an application to the Department of Planning and Development for TDR certification. </w:t>
      </w:r>
      <w:r w:rsidR="00DF418C">
        <w:rPr>
          <w:rFonts w:ascii="Calibri" w:hAnsi="Calibri"/>
        </w:rPr>
        <w:t>The c</w:t>
      </w:r>
      <w:r w:rsidR="00194E5D" w:rsidRPr="00A427C1">
        <w:rPr>
          <w:rFonts w:ascii="Calibri" w:hAnsi="Calibri"/>
        </w:rPr>
        <w:t>ost of the development rights</w:t>
      </w:r>
      <w:r w:rsidR="00DF418C">
        <w:rPr>
          <w:rFonts w:ascii="Calibri" w:hAnsi="Calibri"/>
        </w:rPr>
        <w:t xml:space="preserve"> is n</w:t>
      </w:r>
      <w:r w:rsidR="00DF418C" w:rsidRPr="00A427C1">
        <w:rPr>
          <w:rFonts w:ascii="Calibri" w:hAnsi="Calibri"/>
        </w:rPr>
        <w:t>e</w:t>
      </w:r>
      <w:r w:rsidR="00DF418C">
        <w:rPr>
          <w:rFonts w:ascii="Calibri" w:hAnsi="Calibri"/>
        </w:rPr>
        <w:t>gotiated by the sending and receiving lots</w:t>
      </w:r>
      <w:r w:rsidR="00194E5D" w:rsidRPr="00A427C1">
        <w:rPr>
          <w:rFonts w:ascii="Calibri" w:hAnsi="Calibri"/>
        </w:rPr>
        <w:t>.</w:t>
      </w:r>
      <w:r w:rsidR="00DF418C">
        <w:rPr>
          <w:rFonts w:ascii="Calibri" w:hAnsi="Calibri"/>
        </w:rPr>
        <w:t xml:space="preserve"> This means that cost per square foot of the transaction is influenced by </w:t>
      </w:r>
      <w:r w:rsidR="00FE614B">
        <w:rPr>
          <w:rFonts w:ascii="Calibri" w:hAnsi="Calibri"/>
        </w:rPr>
        <w:t xml:space="preserve">the </w:t>
      </w:r>
      <w:r w:rsidR="00DF418C">
        <w:rPr>
          <w:rFonts w:ascii="Calibri" w:hAnsi="Calibri"/>
        </w:rPr>
        <w:t xml:space="preserve">market </w:t>
      </w:r>
      <w:r w:rsidR="00FE614B">
        <w:rPr>
          <w:rFonts w:ascii="Calibri" w:hAnsi="Calibri"/>
        </w:rPr>
        <w:t>demand</w:t>
      </w:r>
      <w:r w:rsidR="00DF418C">
        <w:rPr>
          <w:rFonts w:ascii="Calibri" w:hAnsi="Calibri"/>
        </w:rPr>
        <w:t>.</w:t>
      </w:r>
      <w:r w:rsidR="00194E5D" w:rsidRPr="00A427C1">
        <w:rPr>
          <w:rFonts w:ascii="Calibri" w:hAnsi="Calibri"/>
        </w:rPr>
        <w:t xml:space="preserve"> The Seattle Department of Planning and Development oversees and c</w:t>
      </w:r>
      <w:r w:rsidR="00194E5D">
        <w:rPr>
          <w:rFonts w:ascii="Calibri" w:hAnsi="Calibri"/>
        </w:rPr>
        <w:t xml:space="preserve">ertifies the transaction. Certification does not ensure a transaction will occur. Following certification, landmark sites must then record a </w:t>
      </w:r>
      <w:r w:rsidR="00194E5D" w:rsidRPr="00B94960">
        <w:rPr>
          <w:rFonts w:ascii="Calibri" w:hAnsi="Calibri"/>
        </w:rPr>
        <w:t>Covenant for Landmark Transferable Development Rights</w:t>
      </w:r>
      <w:r w:rsidR="00194E5D">
        <w:rPr>
          <w:rFonts w:ascii="Calibri" w:hAnsi="Calibri"/>
        </w:rPr>
        <w:t xml:space="preserve"> that requires approval by the Seattle City Council. Following </w:t>
      </w:r>
      <w:r w:rsidR="00FE614B">
        <w:rPr>
          <w:rFonts w:ascii="Calibri" w:hAnsi="Calibri"/>
        </w:rPr>
        <w:t xml:space="preserve">council </w:t>
      </w:r>
      <w:r w:rsidR="00194E5D">
        <w:rPr>
          <w:rFonts w:ascii="Calibri" w:hAnsi="Calibri"/>
        </w:rPr>
        <w:t xml:space="preserve">approval, a deed is recorded and the TDR transaction </w:t>
      </w:r>
      <w:r w:rsidR="00FE614B">
        <w:rPr>
          <w:rFonts w:ascii="Calibri" w:hAnsi="Calibri"/>
        </w:rPr>
        <w:t xml:space="preserve">can </w:t>
      </w:r>
      <w:r w:rsidR="00194E5D">
        <w:rPr>
          <w:rFonts w:ascii="Calibri" w:hAnsi="Calibri"/>
        </w:rPr>
        <w:t xml:space="preserve">occur. </w:t>
      </w:r>
      <w:r w:rsidR="00194E5D" w:rsidRPr="00A427C1">
        <w:rPr>
          <w:rFonts w:ascii="Calibri" w:hAnsi="Calibri"/>
        </w:rPr>
        <w:t xml:space="preserve">The transfer of development rights lasts for the life of the property on the receiving lot. </w:t>
      </w:r>
      <w:r w:rsidR="00194E5D">
        <w:rPr>
          <w:rFonts w:ascii="Calibri" w:hAnsi="Calibri"/>
        </w:rPr>
        <w:t xml:space="preserve"> </w:t>
      </w:r>
    </w:p>
    <w:p w14:paraId="079D3B45" w14:textId="77777777" w:rsidR="00FC0E4B" w:rsidRDefault="00FC0E4B" w:rsidP="00BD7AC5">
      <w:pPr>
        <w:rPr>
          <w:rFonts w:ascii="Calibri" w:hAnsi="Calibri"/>
        </w:rPr>
      </w:pPr>
    </w:p>
    <w:p w14:paraId="6613C3D3" w14:textId="710421AA" w:rsidR="00BD7AC5" w:rsidRPr="00A427C1" w:rsidRDefault="00D96773" w:rsidP="00BD7AC5">
      <w:pPr>
        <w:rPr>
          <w:rFonts w:ascii="Calibri" w:hAnsi="Calibri"/>
        </w:rPr>
      </w:pPr>
      <w:r>
        <w:rPr>
          <w:rFonts w:ascii="Calibri" w:hAnsi="Calibri"/>
        </w:rPr>
        <w:t xml:space="preserve">The </w:t>
      </w:r>
      <w:r w:rsidR="00AF201B">
        <w:rPr>
          <w:rFonts w:ascii="Calibri" w:hAnsi="Calibri"/>
        </w:rPr>
        <w:t xml:space="preserve">City can </w:t>
      </w:r>
      <w:r w:rsidR="00194E5D">
        <w:rPr>
          <w:rFonts w:ascii="Calibri" w:hAnsi="Calibri"/>
        </w:rPr>
        <w:t xml:space="preserve">also </w:t>
      </w:r>
      <w:r>
        <w:rPr>
          <w:rFonts w:ascii="Calibri" w:hAnsi="Calibri"/>
        </w:rPr>
        <w:t>purchase unused development rights to be stored in the city’s TDR bank.</w:t>
      </w:r>
      <w:r w:rsidR="00194E5D">
        <w:rPr>
          <w:rFonts w:ascii="Calibri" w:hAnsi="Calibri"/>
        </w:rPr>
        <w:t xml:space="preserve"> There are TDR bank transactions recorded from 1992 to 2007. Since 2004, there have been zero TDR bank transactions involving landmark properties. </w:t>
      </w:r>
      <w:r>
        <w:rPr>
          <w:rFonts w:ascii="Calibri" w:hAnsi="Calibri"/>
        </w:rPr>
        <w:t xml:space="preserve"> </w:t>
      </w:r>
    </w:p>
    <w:p w14:paraId="124FDAFB" w14:textId="77777777" w:rsidR="004A4E7A" w:rsidRDefault="004A4E7A" w:rsidP="004A4E7A">
      <w:pPr>
        <w:rPr>
          <w:rFonts w:ascii="Calibri" w:hAnsi="Calibri"/>
        </w:rPr>
      </w:pPr>
    </w:p>
    <w:p w14:paraId="3E029093" w14:textId="377A5BE4" w:rsidR="00D03F16" w:rsidRDefault="00D173C2" w:rsidP="00D03F16">
      <w:pPr>
        <w:rPr>
          <w:rFonts w:ascii="Calibri" w:hAnsi="Calibri"/>
        </w:rPr>
      </w:pPr>
      <w:r>
        <w:rPr>
          <w:rFonts w:ascii="Calibri" w:hAnsi="Calibri"/>
        </w:rPr>
        <w:t>Since its inception</w:t>
      </w:r>
      <w:r w:rsidR="00D72304">
        <w:rPr>
          <w:rFonts w:ascii="Calibri" w:hAnsi="Calibri"/>
        </w:rPr>
        <w:t xml:space="preserve"> in 1985</w:t>
      </w:r>
      <w:r w:rsidR="004A47BA">
        <w:rPr>
          <w:rFonts w:ascii="Calibri" w:hAnsi="Calibri"/>
        </w:rPr>
        <w:t xml:space="preserve">, the </w:t>
      </w:r>
      <w:r w:rsidR="00AF201B">
        <w:rPr>
          <w:rFonts w:ascii="Calibri" w:hAnsi="Calibri"/>
        </w:rPr>
        <w:t>zoning qualifications of the TDR program have</w:t>
      </w:r>
      <w:r w:rsidR="004A47BA">
        <w:rPr>
          <w:rFonts w:ascii="Calibri" w:hAnsi="Calibri"/>
        </w:rPr>
        <w:t xml:space="preserve"> </w:t>
      </w:r>
      <w:r>
        <w:rPr>
          <w:rFonts w:ascii="Calibri" w:hAnsi="Calibri"/>
        </w:rPr>
        <w:t xml:space="preserve">been </w:t>
      </w:r>
      <w:r w:rsidR="004A47BA">
        <w:rPr>
          <w:rFonts w:ascii="Calibri" w:hAnsi="Calibri"/>
        </w:rPr>
        <w:t xml:space="preserve">amended and expanded. </w:t>
      </w:r>
      <w:r w:rsidR="00F4013F">
        <w:rPr>
          <w:rFonts w:ascii="Calibri" w:hAnsi="Calibri"/>
        </w:rPr>
        <w:t xml:space="preserve"> </w:t>
      </w:r>
      <w:r w:rsidR="00D03F16">
        <w:rPr>
          <w:rFonts w:ascii="Calibri" w:hAnsi="Calibri"/>
        </w:rPr>
        <w:t xml:space="preserve">In 2010, </w:t>
      </w:r>
      <w:r w:rsidR="00D03F16" w:rsidRPr="004A4E7A">
        <w:rPr>
          <w:rFonts w:ascii="Calibri" w:hAnsi="Calibri"/>
        </w:rPr>
        <w:t>a transfer of deve</w:t>
      </w:r>
      <w:r w:rsidR="00D03F16">
        <w:rPr>
          <w:rFonts w:ascii="Calibri" w:hAnsi="Calibri"/>
        </w:rPr>
        <w:t xml:space="preserve">lopment potential (TDP) program was created to </w:t>
      </w:r>
      <w:r w:rsidR="004579CA">
        <w:rPr>
          <w:rFonts w:ascii="Calibri" w:hAnsi="Calibri"/>
        </w:rPr>
        <w:t>p</w:t>
      </w:r>
      <w:r w:rsidR="00D03F16">
        <w:rPr>
          <w:rFonts w:ascii="Calibri" w:hAnsi="Calibri"/>
        </w:rPr>
        <w:t xml:space="preserve">rovide </w:t>
      </w:r>
      <w:r w:rsidR="00D03F16" w:rsidRPr="004A4E7A">
        <w:rPr>
          <w:rFonts w:ascii="Calibri" w:hAnsi="Calibri"/>
        </w:rPr>
        <w:t>an incentive for m</w:t>
      </w:r>
      <w:r w:rsidR="00D03F16">
        <w:rPr>
          <w:rFonts w:ascii="Calibri" w:hAnsi="Calibri"/>
        </w:rPr>
        <w:t xml:space="preserve">aintaining landmark structures for designated landmark structures on lots zoned </w:t>
      </w:r>
      <w:r w:rsidR="001615E1">
        <w:rPr>
          <w:rFonts w:ascii="Calibri" w:hAnsi="Calibri"/>
        </w:rPr>
        <w:t xml:space="preserve">for </w:t>
      </w:r>
      <w:r w:rsidR="00D03F16">
        <w:rPr>
          <w:rFonts w:ascii="Calibri" w:hAnsi="Calibri"/>
        </w:rPr>
        <w:t xml:space="preserve">Highrise. This program allows </w:t>
      </w:r>
      <w:r w:rsidR="00D03F16" w:rsidRPr="004A4E7A">
        <w:rPr>
          <w:rFonts w:ascii="Calibri" w:hAnsi="Calibri"/>
        </w:rPr>
        <w:t>high</w:t>
      </w:r>
      <w:r w:rsidR="00D03F16">
        <w:rPr>
          <w:rFonts w:ascii="Calibri" w:hAnsi="Calibri"/>
        </w:rPr>
        <w:t>rise residential structures to gain</w:t>
      </w:r>
      <w:r w:rsidR="00D03F16" w:rsidRPr="004A4E7A">
        <w:rPr>
          <w:rFonts w:ascii="Calibri" w:hAnsi="Calibri"/>
        </w:rPr>
        <w:t xml:space="preserve"> additional height and</w:t>
      </w:r>
      <w:r w:rsidR="00D03F16">
        <w:rPr>
          <w:rFonts w:ascii="Calibri" w:hAnsi="Calibri"/>
        </w:rPr>
        <w:t xml:space="preserve"> floor area by acquiring unused </w:t>
      </w:r>
      <w:r w:rsidR="00D03F16" w:rsidRPr="004A4E7A">
        <w:rPr>
          <w:rFonts w:ascii="Calibri" w:hAnsi="Calibri"/>
        </w:rPr>
        <w:t>floor area from designa</w:t>
      </w:r>
      <w:r w:rsidR="00D03F16">
        <w:rPr>
          <w:rFonts w:ascii="Calibri" w:hAnsi="Calibri"/>
        </w:rPr>
        <w:t xml:space="preserve">ted landmark structures. </w:t>
      </w:r>
      <w:r w:rsidR="001615E1">
        <w:rPr>
          <w:rFonts w:ascii="Calibri" w:hAnsi="Calibri"/>
        </w:rPr>
        <w:t xml:space="preserve">This </w:t>
      </w:r>
      <w:r w:rsidR="001615E1">
        <w:rPr>
          <w:rFonts w:ascii="Calibri" w:hAnsi="Calibri"/>
        </w:rPr>
        <w:lastRenderedPageBreak/>
        <w:t xml:space="preserve">bonus requires a case-by-case negotiation over the amount of bonusable floor area. </w:t>
      </w:r>
      <w:r w:rsidR="001615E1">
        <w:t>An eligible sending lot for landmark TDP must be a lot that includes a designated Seattle Landmark structure. The structure on the sending lot must be rehabilitated and maintained as required by the Landmarks Preservation Board.</w:t>
      </w:r>
    </w:p>
    <w:p w14:paraId="46B3B1E8" w14:textId="284B8561" w:rsidR="00BD7AC5" w:rsidRDefault="00BD7AC5" w:rsidP="004A47BA">
      <w:pPr>
        <w:rPr>
          <w:rFonts w:ascii="Calibri" w:hAnsi="Calibri"/>
        </w:rPr>
      </w:pPr>
    </w:p>
    <w:p w14:paraId="75F4E188" w14:textId="77777777" w:rsidR="003124AE" w:rsidRDefault="003124AE" w:rsidP="00BD7AC5">
      <w:pPr>
        <w:rPr>
          <w:rFonts w:ascii="Calibri" w:hAnsi="Calibri"/>
          <w:u w:val="single"/>
        </w:rPr>
      </w:pPr>
    </w:p>
    <w:p w14:paraId="718E4E08" w14:textId="04271D67" w:rsidR="00F47B06" w:rsidRPr="00F25AEE" w:rsidRDefault="00F47B06" w:rsidP="00BD7AC5">
      <w:pPr>
        <w:rPr>
          <w:rFonts w:ascii="Calibri" w:hAnsi="Calibri"/>
          <w:u w:val="single"/>
        </w:rPr>
      </w:pPr>
      <w:r w:rsidRPr="00F25AEE">
        <w:rPr>
          <w:rFonts w:ascii="Calibri" w:hAnsi="Calibri"/>
          <w:u w:val="single"/>
        </w:rPr>
        <w:t xml:space="preserve">TDR Transactions </w:t>
      </w:r>
      <w:r w:rsidR="00975658">
        <w:rPr>
          <w:rFonts w:ascii="Calibri" w:hAnsi="Calibri"/>
          <w:u w:val="single"/>
        </w:rPr>
        <w:t>(</w:t>
      </w:r>
      <w:r w:rsidRPr="00F25AEE">
        <w:rPr>
          <w:rFonts w:ascii="Calibri" w:hAnsi="Calibri"/>
          <w:u w:val="single"/>
        </w:rPr>
        <w:t>2004-2014</w:t>
      </w:r>
      <w:r w:rsidR="00975658">
        <w:rPr>
          <w:rFonts w:ascii="Calibri" w:hAnsi="Calibri"/>
          <w:u w:val="single"/>
        </w:rPr>
        <w:t>)</w:t>
      </w:r>
    </w:p>
    <w:p w14:paraId="1C98E2BF" w14:textId="77777777" w:rsidR="00F47B06" w:rsidRPr="00A427C1" w:rsidRDefault="00F47B06" w:rsidP="00BD7AC5">
      <w:pPr>
        <w:rPr>
          <w:rFonts w:ascii="Calibri" w:hAnsi="Calibri"/>
        </w:rPr>
      </w:pPr>
    </w:p>
    <w:tbl>
      <w:tblPr>
        <w:tblW w:w="9471" w:type="dxa"/>
        <w:tblInd w:w="93" w:type="dxa"/>
        <w:tblLook w:val="04A0" w:firstRow="1" w:lastRow="0" w:firstColumn="1" w:lastColumn="0" w:noHBand="0" w:noVBand="1"/>
      </w:tblPr>
      <w:tblGrid>
        <w:gridCol w:w="2519"/>
        <w:gridCol w:w="3356"/>
        <w:gridCol w:w="3596"/>
      </w:tblGrid>
      <w:tr w:rsidR="00EC7981" w:rsidRPr="00A65978" w14:paraId="60EC2CC6" w14:textId="77777777" w:rsidTr="00400DD1">
        <w:trPr>
          <w:trHeight w:val="349"/>
        </w:trPr>
        <w:tc>
          <w:tcPr>
            <w:tcW w:w="2519" w:type="dxa"/>
            <w:tcBorders>
              <w:top w:val="single" w:sz="4" w:space="0" w:color="000000"/>
              <w:left w:val="single" w:sz="4" w:space="0" w:color="000000"/>
              <w:bottom w:val="single" w:sz="4" w:space="0" w:color="000000"/>
              <w:right w:val="single" w:sz="4" w:space="0" w:color="000000"/>
            </w:tcBorders>
            <w:vAlign w:val="center"/>
          </w:tcPr>
          <w:p w14:paraId="37D576A1" w14:textId="1B8585AA" w:rsidR="00EC7981" w:rsidRPr="00DE31C5" w:rsidRDefault="00EC7981" w:rsidP="00A65978">
            <w:pPr>
              <w:jc w:val="center"/>
              <w:rPr>
                <w:rFonts w:asciiTheme="majorHAnsi" w:eastAsia="Times New Roman" w:hAnsiTheme="majorHAnsi" w:cs="Arial"/>
                <w:b/>
                <w:bCs/>
                <w:sz w:val="22"/>
                <w:szCs w:val="22"/>
              </w:rPr>
            </w:pPr>
            <w:r w:rsidRPr="00DE31C5">
              <w:rPr>
                <w:rFonts w:asciiTheme="majorHAnsi" w:eastAsia="Times New Roman" w:hAnsiTheme="majorHAnsi" w:cs="Arial"/>
                <w:b/>
                <w:bCs/>
                <w:sz w:val="22"/>
                <w:szCs w:val="22"/>
              </w:rPr>
              <w:t>Date</w:t>
            </w:r>
          </w:p>
        </w:tc>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607D52" w14:textId="640D4B0F" w:rsidR="00EC7981" w:rsidRPr="00DE31C5" w:rsidRDefault="00F33E48" w:rsidP="00A65978">
            <w:pPr>
              <w:jc w:val="center"/>
              <w:rPr>
                <w:rFonts w:asciiTheme="majorHAnsi" w:eastAsia="Times New Roman" w:hAnsiTheme="majorHAnsi" w:cs="Arial"/>
                <w:b/>
                <w:bCs/>
                <w:sz w:val="22"/>
                <w:szCs w:val="22"/>
              </w:rPr>
            </w:pPr>
            <w:r>
              <w:rPr>
                <w:rFonts w:asciiTheme="majorHAnsi" w:eastAsia="Times New Roman" w:hAnsiTheme="majorHAnsi" w:cs="Arial"/>
                <w:b/>
                <w:bCs/>
                <w:sz w:val="22"/>
                <w:szCs w:val="22"/>
              </w:rPr>
              <w:t xml:space="preserve">      </w:t>
            </w:r>
            <w:r w:rsidR="00EC7981" w:rsidRPr="00DE31C5">
              <w:rPr>
                <w:rFonts w:asciiTheme="majorHAnsi" w:eastAsia="Times New Roman" w:hAnsiTheme="majorHAnsi" w:cs="Arial"/>
                <w:b/>
                <w:bCs/>
                <w:sz w:val="22"/>
                <w:szCs w:val="22"/>
              </w:rPr>
              <w:t>Price</w:t>
            </w:r>
          </w:p>
        </w:tc>
        <w:tc>
          <w:tcPr>
            <w:tcW w:w="3596" w:type="dxa"/>
            <w:tcBorders>
              <w:top w:val="single" w:sz="4" w:space="0" w:color="000000"/>
              <w:left w:val="nil"/>
              <w:bottom w:val="single" w:sz="4" w:space="0" w:color="000000"/>
              <w:right w:val="single" w:sz="4" w:space="0" w:color="000000"/>
            </w:tcBorders>
            <w:shd w:val="clear" w:color="auto" w:fill="auto"/>
            <w:vAlign w:val="center"/>
            <w:hideMark/>
          </w:tcPr>
          <w:p w14:paraId="2EB47BD8" w14:textId="6D055C8F" w:rsidR="00EC7981" w:rsidRPr="00DE31C5" w:rsidRDefault="00F33E48" w:rsidP="00F33E48">
            <w:pPr>
              <w:rPr>
                <w:rFonts w:asciiTheme="majorHAnsi" w:eastAsia="Times New Roman" w:hAnsiTheme="majorHAnsi" w:cs="Arial"/>
                <w:b/>
                <w:bCs/>
                <w:sz w:val="22"/>
                <w:szCs w:val="22"/>
              </w:rPr>
            </w:pPr>
            <w:r>
              <w:rPr>
                <w:rFonts w:asciiTheme="majorHAnsi" w:eastAsia="Times New Roman" w:hAnsiTheme="majorHAnsi" w:cs="Arial"/>
                <w:b/>
                <w:bCs/>
                <w:sz w:val="22"/>
                <w:szCs w:val="22"/>
              </w:rPr>
              <w:t xml:space="preserve">                $</w:t>
            </w:r>
            <w:r w:rsidR="00EC7981" w:rsidRPr="00DE31C5">
              <w:rPr>
                <w:rFonts w:asciiTheme="majorHAnsi" w:eastAsia="Times New Roman" w:hAnsiTheme="majorHAnsi" w:cs="Arial"/>
                <w:b/>
                <w:bCs/>
                <w:sz w:val="22"/>
                <w:szCs w:val="22"/>
              </w:rPr>
              <w:t>Cost per SF</w:t>
            </w:r>
          </w:p>
        </w:tc>
      </w:tr>
      <w:tr w:rsidR="00CD5ED0" w:rsidRPr="00A65978" w14:paraId="49331C74" w14:textId="77777777" w:rsidTr="00FE614B">
        <w:trPr>
          <w:trHeight w:val="287"/>
        </w:trPr>
        <w:tc>
          <w:tcPr>
            <w:tcW w:w="2519" w:type="dxa"/>
            <w:tcBorders>
              <w:top w:val="single" w:sz="4" w:space="0" w:color="000000"/>
              <w:left w:val="single" w:sz="4" w:space="0" w:color="000000"/>
              <w:bottom w:val="single" w:sz="4" w:space="0" w:color="000000"/>
              <w:right w:val="single" w:sz="4" w:space="0" w:color="000000"/>
            </w:tcBorders>
            <w:vAlign w:val="center"/>
          </w:tcPr>
          <w:p w14:paraId="3DA49BC9" w14:textId="48D76AAD" w:rsidR="00CD5ED0" w:rsidRPr="00CD5ED0" w:rsidRDefault="00CD5ED0" w:rsidP="00A65978">
            <w:pPr>
              <w:jc w:val="center"/>
              <w:rPr>
                <w:rFonts w:asciiTheme="majorHAnsi" w:eastAsia="Times New Roman" w:hAnsiTheme="majorHAnsi" w:cs="Arial"/>
                <w:bCs/>
                <w:sz w:val="22"/>
                <w:szCs w:val="22"/>
              </w:rPr>
            </w:pPr>
            <w:r w:rsidRPr="00CD5ED0">
              <w:rPr>
                <w:rFonts w:asciiTheme="majorHAnsi" w:eastAsia="Times New Roman" w:hAnsiTheme="majorHAnsi" w:cs="Arial"/>
                <w:bCs/>
                <w:sz w:val="22"/>
                <w:szCs w:val="22"/>
              </w:rPr>
              <w:t>2004</w:t>
            </w:r>
          </w:p>
        </w:tc>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94AB4" w14:textId="0B245534" w:rsidR="00CD5ED0" w:rsidRPr="00CD5ED0" w:rsidRDefault="00CD5ED0" w:rsidP="00A65978">
            <w:pPr>
              <w:jc w:val="center"/>
              <w:rPr>
                <w:rFonts w:asciiTheme="majorHAnsi" w:eastAsia="Times New Roman" w:hAnsiTheme="majorHAnsi" w:cs="Arial"/>
                <w:bCs/>
                <w:sz w:val="22"/>
                <w:szCs w:val="22"/>
              </w:rPr>
            </w:pPr>
            <w:r>
              <w:rPr>
                <w:rFonts w:asciiTheme="majorHAnsi" w:eastAsia="Times New Roman" w:hAnsiTheme="majorHAnsi" w:cs="Arial"/>
                <w:bCs/>
                <w:sz w:val="22"/>
                <w:szCs w:val="22"/>
              </w:rPr>
              <w:t>--</w:t>
            </w:r>
          </w:p>
        </w:tc>
        <w:tc>
          <w:tcPr>
            <w:tcW w:w="3596" w:type="dxa"/>
            <w:tcBorders>
              <w:top w:val="single" w:sz="4" w:space="0" w:color="000000"/>
              <w:left w:val="nil"/>
              <w:bottom w:val="single" w:sz="4" w:space="0" w:color="000000"/>
              <w:right w:val="single" w:sz="4" w:space="0" w:color="000000"/>
            </w:tcBorders>
            <w:shd w:val="clear" w:color="auto" w:fill="auto"/>
            <w:vAlign w:val="center"/>
          </w:tcPr>
          <w:p w14:paraId="6CB3CFAD" w14:textId="0BE56404" w:rsidR="00CD5ED0" w:rsidRPr="00CD5ED0" w:rsidRDefault="00CD5ED0" w:rsidP="00A65978">
            <w:pPr>
              <w:jc w:val="center"/>
              <w:rPr>
                <w:rFonts w:asciiTheme="majorHAnsi" w:eastAsia="Times New Roman" w:hAnsiTheme="majorHAnsi" w:cs="Arial"/>
                <w:bCs/>
                <w:sz w:val="22"/>
                <w:szCs w:val="22"/>
              </w:rPr>
            </w:pPr>
            <w:r>
              <w:rPr>
                <w:rFonts w:asciiTheme="majorHAnsi" w:eastAsia="Times New Roman" w:hAnsiTheme="majorHAnsi" w:cs="Arial"/>
                <w:bCs/>
                <w:sz w:val="22"/>
                <w:szCs w:val="22"/>
              </w:rPr>
              <w:t>--</w:t>
            </w:r>
          </w:p>
        </w:tc>
      </w:tr>
      <w:tr w:rsidR="00CD5ED0" w:rsidRPr="00A65978" w14:paraId="552E8E26" w14:textId="77777777" w:rsidTr="00400DD1">
        <w:trPr>
          <w:trHeight w:val="349"/>
        </w:trPr>
        <w:tc>
          <w:tcPr>
            <w:tcW w:w="2519" w:type="dxa"/>
            <w:tcBorders>
              <w:top w:val="single" w:sz="4" w:space="0" w:color="000000"/>
              <w:left w:val="single" w:sz="4" w:space="0" w:color="000000"/>
              <w:bottom w:val="single" w:sz="4" w:space="0" w:color="000000"/>
              <w:right w:val="single" w:sz="4" w:space="0" w:color="000000"/>
            </w:tcBorders>
            <w:vAlign w:val="center"/>
          </w:tcPr>
          <w:p w14:paraId="5218B71F" w14:textId="7A3AA2CD" w:rsidR="00CD5ED0" w:rsidRPr="00CD5ED0" w:rsidRDefault="00CD5ED0" w:rsidP="00A65978">
            <w:pPr>
              <w:jc w:val="center"/>
              <w:rPr>
                <w:rFonts w:asciiTheme="majorHAnsi" w:eastAsia="Times New Roman" w:hAnsiTheme="majorHAnsi" w:cs="Arial"/>
                <w:bCs/>
                <w:sz w:val="22"/>
                <w:szCs w:val="22"/>
              </w:rPr>
            </w:pPr>
            <w:r>
              <w:rPr>
                <w:rFonts w:asciiTheme="majorHAnsi" w:eastAsia="Times New Roman" w:hAnsiTheme="majorHAnsi" w:cs="Arial"/>
                <w:bCs/>
                <w:sz w:val="22"/>
                <w:szCs w:val="22"/>
              </w:rPr>
              <w:t>2005</w:t>
            </w:r>
          </w:p>
        </w:tc>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5FDA0" w14:textId="368478E7" w:rsidR="00CD5ED0" w:rsidRPr="00CD5ED0" w:rsidRDefault="00CD5ED0" w:rsidP="00A65978">
            <w:pPr>
              <w:jc w:val="center"/>
              <w:rPr>
                <w:rFonts w:asciiTheme="majorHAnsi" w:eastAsia="Times New Roman" w:hAnsiTheme="majorHAnsi" w:cs="Arial"/>
                <w:bCs/>
                <w:sz w:val="22"/>
                <w:szCs w:val="22"/>
              </w:rPr>
            </w:pPr>
            <w:r>
              <w:rPr>
                <w:rFonts w:asciiTheme="majorHAnsi" w:eastAsia="Times New Roman" w:hAnsiTheme="majorHAnsi" w:cs="Arial"/>
                <w:bCs/>
                <w:sz w:val="22"/>
                <w:szCs w:val="22"/>
              </w:rPr>
              <w:t>--</w:t>
            </w:r>
          </w:p>
        </w:tc>
        <w:tc>
          <w:tcPr>
            <w:tcW w:w="3596" w:type="dxa"/>
            <w:tcBorders>
              <w:top w:val="single" w:sz="4" w:space="0" w:color="000000"/>
              <w:left w:val="nil"/>
              <w:bottom w:val="single" w:sz="4" w:space="0" w:color="000000"/>
              <w:right w:val="single" w:sz="4" w:space="0" w:color="000000"/>
            </w:tcBorders>
            <w:shd w:val="clear" w:color="auto" w:fill="auto"/>
            <w:vAlign w:val="center"/>
          </w:tcPr>
          <w:p w14:paraId="474FA30A" w14:textId="131EF516" w:rsidR="00CD5ED0" w:rsidRPr="00CD5ED0" w:rsidRDefault="00CD5ED0" w:rsidP="00A65978">
            <w:pPr>
              <w:jc w:val="center"/>
              <w:rPr>
                <w:rFonts w:asciiTheme="majorHAnsi" w:eastAsia="Times New Roman" w:hAnsiTheme="majorHAnsi" w:cs="Arial"/>
                <w:bCs/>
                <w:sz w:val="22"/>
                <w:szCs w:val="22"/>
              </w:rPr>
            </w:pPr>
            <w:r>
              <w:rPr>
                <w:rFonts w:asciiTheme="majorHAnsi" w:eastAsia="Times New Roman" w:hAnsiTheme="majorHAnsi" w:cs="Arial"/>
                <w:bCs/>
                <w:sz w:val="22"/>
                <w:szCs w:val="22"/>
              </w:rPr>
              <w:t>--</w:t>
            </w:r>
          </w:p>
        </w:tc>
      </w:tr>
      <w:tr w:rsidR="00CD5ED0" w:rsidRPr="00A65978" w14:paraId="276D8894" w14:textId="77777777" w:rsidTr="00400DD1">
        <w:trPr>
          <w:trHeight w:val="349"/>
        </w:trPr>
        <w:tc>
          <w:tcPr>
            <w:tcW w:w="2519" w:type="dxa"/>
            <w:tcBorders>
              <w:top w:val="single" w:sz="4" w:space="0" w:color="000000"/>
              <w:left w:val="single" w:sz="4" w:space="0" w:color="000000"/>
              <w:bottom w:val="single" w:sz="4" w:space="0" w:color="000000"/>
              <w:right w:val="single" w:sz="4" w:space="0" w:color="000000"/>
            </w:tcBorders>
            <w:vAlign w:val="center"/>
          </w:tcPr>
          <w:p w14:paraId="5C7038BD" w14:textId="25AD0531" w:rsidR="00CD5ED0" w:rsidRPr="00CD5ED0" w:rsidRDefault="00CD5ED0" w:rsidP="00A65978">
            <w:pPr>
              <w:jc w:val="center"/>
              <w:rPr>
                <w:rFonts w:asciiTheme="majorHAnsi" w:eastAsia="Times New Roman" w:hAnsiTheme="majorHAnsi" w:cs="Arial"/>
                <w:bCs/>
                <w:sz w:val="22"/>
                <w:szCs w:val="22"/>
              </w:rPr>
            </w:pPr>
            <w:r>
              <w:rPr>
                <w:rFonts w:asciiTheme="majorHAnsi" w:eastAsia="Times New Roman" w:hAnsiTheme="majorHAnsi" w:cs="Arial"/>
                <w:bCs/>
                <w:sz w:val="22"/>
                <w:szCs w:val="22"/>
              </w:rPr>
              <w:t>2006</w:t>
            </w:r>
          </w:p>
        </w:tc>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D83AC" w14:textId="79ACE51D" w:rsidR="00CD5ED0" w:rsidRPr="00CD5ED0" w:rsidRDefault="00CD5ED0" w:rsidP="00A65978">
            <w:pPr>
              <w:jc w:val="center"/>
              <w:rPr>
                <w:rFonts w:asciiTheme="majorHAnsi" w:eastAsia="Times New Roman" w:hAnsiTheme="majorHAnsi" w:cs="Arial"/>
                <w:bCs/>
                <w:sz w:val="22"/>
                <w:szCs w:val="22"/>
              </w:rPr>
            </w:pPr>
            <w:r>
              <w:rPr>
                <w:rFonts w:asciiTheme="majorHAnsi" w:eastAsia="Times New Roman" w:hAnsiTheme="majorHAnsi" w:cs="Arial"/>
                <w:bCs/>
                <w:sz w:val="22"/>
                <w:szCs w:val="22"/>
              </w:rPr>
              <w:t>--</w:t>
            </w:r>
          </w:p>
        </w:tc>
        <w:tc>
          <w:tcPr>
            <w:tcW w:w="3596" w:type="dxa"/>
            <w:tcBorders>
              <w:top w:val="single" w:sz="4" w:space="0" w:color="000000"/>
              <w:left w:val="nil"/>
              <w:bottom w:val="single" w:sz="4" w:space="0" w:color="000000"/>
              <w:right w:val="single" w:sz="4" w:space="0" w:color="000000"/>
            </w:tcBorders>
            <w:shd w:val="clear" w:color="auto" w:fill="auto"/>
            <w:vAlign w:val="center"/>
          </w:tcPr>
          <w:p w14:paraId="4AF15598" w14:textId="78DE9234" w:rsidR="00CD5ED0" w:rsidRPr="00CD5ED0" w:rsidRDefault="00CD5ED0" w:rsidP="00A65978">
            <w:pPr>
              <w:jc w:val="center"/>
              <w:rPr>
                <w:rFonts w:asciiTheme="majorHAnsi" w:eastAsia="Times New Roman" w:hAnsiTheme="majorHAnsi" w:cs="Arial"/>
                <w:bCs/>
                <w:sz w:val="22"/>
                <w:szCs w:val="22"/>
              </w:rPr>
            </w:pPr>
            <w:r>
              <w:rPr>
                <w:rFonts w:asciiTheme="majorHAnsi" w:eastAsia="Times New Roman" w:hAnsiTheme="majorHAnsi" w:cs="Arial"/>
                <w:bCs/>
                <w:sz w:val="22"/>
                <w:szCs w:val="22"/>
              </w:rPr>
              <w:t>--</w:t>
            </w:r>
          </w:p>
        </w:tc>
      </w:tr>
      <w:tr w:rsidR="00EC7981" w:rsidRPr="00A65978" w14:paraId="1734715F" w14:textId="77777777" w:rsidTr="00400DD1">
        <w:trPr>
          <w:trHeight w:val="349"/>
        </w:trPr>
        <w:tc>
          <w:tcPr>
            <w:tcW w:w="2519" w:type="dxa"/>
            <w:tcBorders>
              <w:top w:val="nil"/>
              <w:left w:val="single" w:sz="4" w:space="0" w:color="000000"/>
              <w:bottom w:val="single" w:sz="4" w:space="0" w:color="000000"/>
              <w:right w:val="single" w:sz="4" w:space="0" w:color="000000"/>
            </w:tcBorders>
            <w:vAlign w:val="center"/>
          </w:tcPr>
          <w:p w14:paraId="6D89DE1E" w14:textId="6C6586A0" w:rsidR="00EC7981" w:rsidRPr="00DE31C5" w:rsidRDefault="00EC7981" w:rsidP="00A65978">
            <w:pPr>
              <w:jc w:val="center"/>
              <w:rPr>
                <w:rFonts w:asciiTheme="majorHAnsi" w:eastAsia="Times New Roman" w:hAnsiTheme="majorHAnsi" w:cs="Arial"/>
                <w:bCs/>
                <w:sz w:val="22"/>
                <w:szCs w:val="22"/>
              </w:rPr>
            </w:pPr>
            <w:r w:rsidRPr="00DE31C5">
              <w:rPr>
                <w:rFonts w:asciiTheme="majorHAnsi" w:eastAsia="Times New Roman" w:hAnsiTheme="majorHAnsi" w:cs="Arial"/>
                <w:bCs/>
                <w:sz w:val="22"/>
                <w:szCs w:val="22"/>
              </w:rPr>
              <w:t>2007</w:t>
            </w:r>
          </w:p>
        </w:tc>
        <w:tc>
          <w:tcPr>
            <w:tcW w:w="3356" w:type="dxa"/>
            <w:tcBorders>
              <w:top w:val="nil"/>
              <w:left w:val="single" w:sz="4" w:space="0" w:color="000000"/>
              <w:bottom w:val="single" w:sz="4" w:space="0" w:color="000000"/>
              <w:right w:val="single" w:sz="4" w:space="0" w:color="000000"/>
            </w:tcBorders>
            <w:shd w:val="clear" w:color="auto" w:fill="auto"/>
            <w:noWrap/>
            <w:vAlign w:val="center"/>
            <w:hideMark/>
          </w:tcPr>
          <w:p w14:paraId="5F7E9553" w14:textId="512635E0" w:rsidR="00EC7981" w:rsidRPr="00DE31C5" w:rsidRDefault="00F33E48" w:rsidP="00F33E48">
            <w:pPr>
              <w:rPr>
                <w:rFonts w:asciiTheme="majorHAnsi" w:eastAsia="Times New Roman" w:hAnsiTheme="majorHAnsi" w:cs="Arial"/>
                <w:bCs/>
                <w:sz w:val="22"/>
                <w:szCs w:val="22"/>
              </w:rPr>
            </w:pPr>
            <w:r>
              <w:rPr>
                <w:rFonts w:asciiTheme="majorHAnsi" w:eastAsia="Times New Roman" w:hAnsiTheme="majorHAnsi" w:cs="Arial"/>
                <w:bCs/>
                <w:sz w:val="22"/>
                <w:szCs w:val="22"/>
              </w:rPr>
              <w:t xml:space="preserve">                   </w:t>
            </w:r>
            <w:r w:rsidR="00CD5ED0">
              <w:rPr>
                <w:rFonts w:asciiTheme="majorHAnsi" w:eastAsia="Times New Roman" w:hAnsiTheme="majorHAnsi" w:cs="Arial"/>
                <w:bCs/>
                <w:sz w:val="22"/>
                <w:szCs w:val="22"/>
              </w:rPr>
              <w:t>*</w:t>
            </w:r>
            <w:r w:rsidR="00EC7981" w:rsidRPr="00DE31C5">
              <w:rPr>
                <w:rFonts w:asciiTheme="majorHAnsi" w:eastAsia="Times New Roman" w:hAnsiTheme="majorHAnsi" w:cs="Arial"/>
                <w:bCs/>
                <w:sz w:val="22"/>
                <w:szCs w:val="22"/>
              </w:rPr>
              <w:t>Not Listed</w:t>
            </w:r>
          </w:p>
        </w:tc>
        <w:tc>
          <w:tcPr>
            <w:tcW w:w="3596" w:type="dxa"/>
            <w:tcBorders>
              <w:top w:val="nil"/>
              <w:left w:val="nil"/>
              <w:bottom w:val="single" w:sz="4" w:space="0" w:color="000000"/>
              <w:right w:val="single" w:sz="4" w:space="0" w:color="000000"/>
            </w:tcBorders>
            <w:shd w:val="clear" w:color="auto" w:fill="auto"/>
            <w:noWrap/>
            <w:vAlign w:val="center"/>
            <w:hideMark/>
          </w:tcPr>
          <w:p w14:paraId="1633727D" w14:textId="71326D31" w:rsidR="00EC7981" w:rsidRPr="00DE31C5" w:rsidRDefault="00F33E48" w:rsidP="00F33E48">
            <w:pPr>
              <w:rPr>
                <w:rFonts w:asciiTheme="majorHAnsi" w:eastAsia="Times New Roman" w:hAnsiTheme="majorHAnsi" w:cs="Arial"/>
                <w:bCs/>
                <w:sz w:val="22"/>
                <w:szCs w:val="22"/>
              </w:rPr>
            </w:pPr>
            <w:r>
              <w:rPr>
                <w:rFonts w:asciiTheme="majorHAnsi" w:eastAsia="Times New Roman" w:hAnsiTheme="majorHAnsi" w:cs="Arial"/>
                <w:bCs/>
                <w:sz w:val="22"/>
                <w:szCs w:val="22"/>
              </w:rPr>
              <w:t xml:space="preserve">                  </w:t>
            </w:r>
            <w:r w:rsidR="00CD5ED0">
              <w:rPr>
                <w:rFonts w:asciiTheme="majorHAnsi" w:eastAsia="Times New Roman" w:hAnsiTheme="majorHAnsi" w:cs="Arial"/>
                <w:bCs/>
                <w:sz w:val="22"/>
                <w:szCs w:val="22"/>
              </w:rPr>
              <w:t>*</w:t>
            </w:r>
            <w:r w:rsidR="00EC7981" w:rsidRPr="00DE31C5">
              <w:rPr>
                <w:rFonts w:asciiTheme="majorHAnsi" w:eastAsia="Times New Roman" w:hAnsiTheme="majorHAnsi" w:cs="Arial"/>
                <w:bCs/>
                <w:sz w:val="22"/>
                <w:szCs w:val="22"/>
              </w:rPr>
              <w:t>Not Listed</w:t>
            </w:r>
          </w:p>
        </w:tc>
      </w:tr>
      <w:tr w:rsidR="00EC7981" w:rsidRPr="00A65978" w14:paraId="2FD7EA7F" w14:textId="77777777" w:rsidTr="00400DD1">
        <w:trPr>
          <w:trHeight w:val="349"/>
        </w:trPr>
        <w:tc>
          <w:tcPr>
            <w:tcW w:w="2519" w:type="dxa"/>
            <w:tcBorders>
              <w:top w:val="nil"/>
              <w:left w:val="single" w:sz="4" w:space="0" w:color="000000"/>
              <w:bottom w:val="single" w:sz="4" w:space="0" w:color="000000"/>
              <w:right w:val="single" w:sz="4" w:space="0" w:color="000000"/>
            </w:tcBorders>
            <w:vAlign w:val="center"/>
          </w:tcPr>
          <w:p w14:paraId="7138188F" w14:textId="0DEA86FD" w:rsidR="00EC7981" w:rsidRPr="00DE31C5" w:rsidRDefault="00EC7981" w:rsidP="00A65978">
            <w:pPr>
              <w:jc w:val="center"/>
              <w:rPr>
                <w:rFonts w:asciiTheme="majorHAnsi" w:eastAsia="Times New Roman" w:hAnsiTheme="majorHAnsi" w:cs="Arial"/>
                <w:bCs/>
                <w:sz w:val="22"/>
                <w:szCs w:val="22"/>
              </w:rPr>
            </w:pPr>
            <w:r w:rsidRPr="00DE31C5">
              <w:rPr>
                <w:rFonts w:asciiTheme="majorHAnsi" w:eastAsia="Times New Roman" w:hAnsiTheme="majorHAnsi" w:cs="Arial"/>
                <w:bCs/>
                <w:sz w:val="22"/>
                <w:szCs w:val="22"/>
              </w:rPr>
              <w:t>2009</w:t>
            </w:r>
          </w:p>
        </w:tc>
        <w:tc>
          <w:tcPr>
            <w:tcW w:w="3356" w:type="dxa"/>
            <w:tcBorders>
              <w:top w:val="nil"/>
              <w:left w:val="single" w:sz="4" w:space="0" w:color="000000"/>
              <w:bottom w:val="single" w:sz="4" w:space="0" w:color="000000"/>
              <w:right w:val="single" w:sz="4" w:space="0" w:color="000000"/>
            </w:tcBorders>
            <w:shd w:val="clear" w:color="auto" w:fill="auto"/>
            <w:noWrap/>
            <w:vAlign w:val="center"/>
            <w:hideMark/>
          </w:tcPr>
          <w:p w14:paraId="51EE16D6" w14:textId="074730C2" w:rsidR="00EC7981" w:rsidRPr="00DE31C5" w:rsidRDefault="00F33E48" w:rsidP="00F33E48">
            <w:pPr>
              <w:rPr>
                <w:rFonts w:asciiTheme="majorHAnsi" w:eastAsia="Times New Roman" w:hAnsiTheme="majorHAnsi" w:cs="Arial"/>
                <w:bCs/>
                <w:sz w:val="22"/>
                <w:szCs w:val="22"/>
              </w:rPr>
            </w:pPr>
            <w:r>
              <w:rPr>
                <w:rFonts w:asciiTheme="majorHAnsi" w:eastAsia="Times New Roman" w:hAnsiTheme="majorHAnsi" w:cs="Arial"/>
                <w:bCs/>
                <w:sz w:val="22"/>
                <w:szCs w:val="22"/>
              </w:rPr>
              <w:t xml:space="preserve">                   *N</w:t>
            </w:r>
            <w:r w:rsidR="00CD5ED0" w:rsidRPr="00DE31C5">
              <w:rPr>
                <w:rFonts w:asciiTheme="majorHAnsi" w:eastAsia="Times New Roman" w:hAnsiTheme="majorHAnsi" w:cs="Arial"/>
                <w:bCs/>
                <w:sz w:val="22"/>
                <w:szCs w:val="22"/>
              </w:rPr>
              <w:t>ot Listed</w:t>
            </w:r>
          </w:p>
        </w:tc>
        <w:tc>
          <w:tcPr>
            <w:tcW w:w="3596" w:type="dxa"/>
            <w:tcBorders>
              <w:top w:val="nil"/>
              <w:left w:val="nil"/>
              <w:bottom w:val="single" w:sz="4" w:space="0" w:color="000000"/>
              <w:right w:val="single" w:sz="4" w:space="0" w:color="000000"/>
            </w:tcBorders>
            <w:shd w:val="clear" w:color="auto" w:fill="auto"/>
            <w:noWrap/>
            <w:vAlign w:val="center"/>
            <w:hideMark/>
          </w:tcPr>
          <w:p w14:paraId="35EEFAF7" w14:textId="0D78DFE8" w:rsidR="00EC7981" w:rsidRPr="00DE31C5" w:rsidRDefault="00F33E48" w:rsidP="00F33E48">
            <w:pPr>
              <w:rPr>
                <w:rFonts w:asciiTheme="majorHAnsi" w:eastAsia="Times New Roman" w:hAnsiTheme="majorHAnsi" w:cs="Arial"/>
                <w:bCs/>
                <w:sz w:val="22"/>
                <w:szCs w:val="22"/>
              </w:rPr>
            </w:pPr>
            <w:r>
              <w:rPr>
                <w:rFonts w:asciiTheme="majorHAnsi" w:eastAsia="Times New Roman" w:hAnsiTheme="majorHAnsi" w:cs="Arial"/>
                <w:bCs/>
                <w:sz w:val="22"/>
                <w:szCs w:val="22"/>
              </w:rPr>
              <w:t xml:space="preserve">                  </w:t>
            </w:r>
            <w:r w:rsidR="00CD5ED0">
              <w:rPr>
                <w:rFonts w:asciiTheme="majorHAnsi" w:eastAsia="Times New Roman" w:hAnsiTheme="majorHAnsi" w:cs="Arial"/>
                <w:bCs/>
                <w:sz w:val="22"/>
                <w:szCs w:val="22"/>
              </w:rPr>
              <w:t>*</w:t>
            </w:r>
            <w:r w:rsidR="00CD5ED0" w:rsidRPr="00DE31C5">
              <w:rPr>
                <w:rFonts w:asciiTheme="majorHAnsi" w:eastAsia="Times New Roman" w:hAnsiTheme="majorHAnsi" w:cs="Arial"/>
                <w:bCs/>
                <w:sz w:val="22"/>
                <w:szCs w:val="22"/>
              </w:rPr>
              <w:t>Not Listed</w:t>
            </w:r>
          </w:p>
        </w:tc>
      </w:tr>
      <w:tr w:rsidR="00EC7981" w:rsidRPr="00A65978" w14:paraId="2F280BA2" w14:textId="77777777" w:rsidTr="00400DD1">
        <w:trPr>
          <w:trHeight w:val="349"/>
        </w:trPr>
        <w:tc>
          <w:tcPr>
            <w:tcW w:w="2519" w:type="dxa"/>
            <w:tcBorders>
              <w:top w:val="nil"/>
              <w:left w:val="single" w:sz="4" w:space="0" w:color="000000"/>
              <w:bottom w:val="single" w:sz="4" w:space="0" w:color="000000"/>
              <w:right w:val="single" w:sz="4" w:space="0" w:color="000000"/>
            </w:tcBorders>
            <w:vAlign w:val="center"/>
          </w:tcPr>
          <w:p w14:paraId="45E8832A" w14:textId="794949E2" w:rsidR="00EC7981" w:rsidRPr="00DE31C5" w:rsidRDefault="00EC7981" w:rsidP="00A65978">
            <w:pPr>
              <w:jc w:val="center"/>
              <w:rPr>
                <w:rFonts w:asciiTheme="majorHAnsi" w:eastAsia="Times New Roman" w:hAnsiTheme="majorHAnsi" w:cs="Arial"/>
                <w:bCs/>
                <w:sz w:val="22"/>
                <w:szCs w:val="22"/>
              </w:rPr>
            </w:pPr>
            <w:r w:rsidRPr="00DE31C5">
              <w:rPr>
                <w:rFonts w:asciiTheme="majorHAnsi" w:eastAsia="Times New Roman" w:hAnsiTheme="majorHAnsi" w:cs="Arial"/>
                <w:bCs/>
                <w:sz w:val="22"/>
                <w:szCs w:val="22"/>
              </w:rPr>
              <w:t>2012</w:t>
            </w:r>
          </w:p>
        </w:tc>
        <w:tc>
          <w:tcPr>
            <w:tcW w:w="3356" w:type="dxa"/>
            <w:tcBorders>
              <w:top w:val="nil"/>
              <w:left w:val="single" w:sz="4" w:space="0" w:color="000000"/>
              <w:bottom w:val="single" w:sz="4" w:space="0" w:color="000000"/>
              <w:right w:val="single" w:sz="4" w:space="0" w:color="000000"/>
            </w:tcBorders>
            <w:shd w:val="clear" w:color="auto" w:fill="auto"/>
            <w:noWrap/>
            <w:vAlign w:val="center"/>
            <w:hideMark/>
          </w:tcPr>
          <w:p w14:paraId="094BE28E" w14:textId="74CD2D36" w:rsidR="00EC7981" w:rsidRPr="00DE31C5" w:rsidRDefault="00F33E48" w:rsidP="00F33E48">
            <w:pPr>
              <w:rPr>
                <w:rFonts w:asciiTheme="majorHAnsi" w:eastAsia="Times New Roman" w:hAnsiTheme="majorHAnsi" w:cs="Arial"/>
                <w:bCs/>
                <w:sz w:val="22"/>
                <w:szCs w:val="22"/>
              </w:rPr>
            </w:pPr>
            <w:r>
              <w:rPr>
                <w:rFonts w:asciiTheme="majorHAnsi" w:eastAsia="Times New Roman" w:hAnsiTheme="majorHAnsi" w:cs="Arial"/>
                <w:bCs/>
                <w:sz w:val="22"/>
                <w:szCs w:val="22"/>
              </w:rPr>
              <w:t xml:space="preserve">                       $</w:t>
            </w:r>
            <w:r w:rsidR="00EC7981" w:rsidRPr="00DE31C5">
              <w:rPr>
                <w:rFonts w:asciiTheme="majorHAnsi" w:eastAsia="Times New Roman" w:hAnsiTheme="majorHAnsi" w:cs="Arial"/>
                <w:bCs/>
                <w:sz w:val="22"/>
                <w:szCs w:val="22"/>
              </w:rPr>
              <w:t>826,620</w:t>
            </w:r>
          </w:p>
        </w:tc>
        <w:tc>
          <w:tcPr>
            <w:tcW w:w="3596" w:type="dxa"/>
            <w:tcBorders>
              <w:top w:val="nil"/>
              <w:left w:val="nil"/>
              <w:bottom w:val="single" w:sz="4" w:space="0" w:color="000000"/>
              <w:right w:val="single" w:sz="4" w:space="0" w:color="000000"/>
            </w:tcBorders>
            <w:shd w:val="clear" w:color="auto" w:fill="auto"/>
            <w:noWrap/>
            <w:vAlign w:val="center"/>
            <w:hideMark/>
          </w:tcPr>
          <w:p w14:paraId="3F3F21F3" w14:textId="066D6BDB" w:rsidR="00EC7981" w:rsidRPr="00DE31C5" w:rsidRDefault="00F33E48" w:rsidP="00F33E48">
            <w:pPr>
              <w:rPr>
                <w:rFonts w:asciiTheme="majorHAnsi" w:eastAsia="Times New Roman" w:hAnsiTheme="majorHAnsi" w:cs="Arial"/>
                <w:bCs/>
                <w:sz w:val="22"/>
                <w:szCs w:val="22"/>
              </w:rPr>
            </w:pPr>
            <w:r>
              <w:rPr>
                <w:rFonts w:asciiTheme="majorHAnsi" w:eastAsia="Times New Roman" w:hAnsiTheme="majorHAnsi" w:cs="Arial"/>
                <w:bCs/>
                <w:sz w:val="22"/>
                <w:szCs w:val="22"/>
              </w:rPr>
              <w:t xml:space="preserve">                          </w:t>
            </w:r>
            <w:r w:rsidR="00EC7981" w:rsidRPr="00DE31C5">
              <w:rPr>
                <w:rFonts w:asciiTheme="majorHAnsi" w:eastAsia="Times New Roman" w:hAnsiTheme="majorHAnsi" w:cs="Arial"/>
                <w:bCs/>
                <w:sz w:val="22"/>
                <w:szCs w:val="22"/>
              </w:rPr>
              <w:t>$11.50</w:t>
            </w:r>
          </w:p>
        </w:tc>
      </w:tr>
      <w:tr w:rsidR="00EC7981" w:rsidRPr="00A65978" w14:paraId="00A68195" w14:textId="77777777" w:rsidTr="00400DD1">
        <w:trPr>
          <w:trHeight w:val="349"/>
        </w:trPr>
        <w:tc>
          <w:tcPr>
            <w:tcW w:w="2519" w:type="dxa"/>
            <w:tcBorders>
              <w:top w:val="nil"/>
              <w:left w:val="single" w:sz="4" w:space="0" w:color="000000"/>
              <w:bottom w:val="single" w:sz="4" w:space="0" w:color="000000"/>
              <w:right w:val="single" w:sz="4" w:space="0" w:color="000000"/>
            </w:tcBorders>
            <w:vAlign w:val="center"/>
          </w:tcPr>
          <w:p w14:paraId="11A37E70" w14:textId="0BA4693A" w:rsidR="00EC7981" w:rsidRPr="00DE31C5" w:rsidRDefault="00EC7981" w:rsidP="00A65978">
            <w:pPr>
              <w:jc w:val="center"/>
              <w:rPr>
                <w:rFonts w:asciiTheme="majorHAnsi" w:eastAsia="Times New Roman" w:hAnsiTheme="majorHAnsi" w:cs="Arial"/>
                <w:bCs/>
                <w:sz w:val="22"/>
                <w:szCs w:val="22"/>
              </w:rPr>
            </w:pPr>
            <w:r w:rsidRPr="00DE31C5">
              <w:rPr>
                <w:rFonts w:asciiTheme="majorHAnsi" w:eastAsia="Times New Roman" w:hAnsiTheme="majorHAnsi" w:cs="Arial"/>
                <w:bCs/>
                <w:sz w:val="22"/>
                <w:szCs w:val="22"/>
              </w:rPr>
              <w:t>2012</w:t>
            </w:r>
          </w:p>
        </w:tc>
        <w:tc>
          <w:tcPr>
            <w:tcW w:w="3356" w:type="dxa"/>
            <w:tcBorders>
              <w:top w:val="nil"/>
              <w:left w:val="single" w:sz="4" w:space="0" w:color="000000"/>
              <w:bottom w:val="single" w:sz="4" w:space="0" w:color="000000"/>
              <w:right w:val="single" w:sz="4" w:space="0" w:color="000000"/>
            </w:tcBorders>
            <w:shd w:val="clear" w:color="auto" w:fill="auto"/>
            <w:noWrap/>
            <w:vAlign w:val="center"/>
            <w:hideMark/>
          </w:tcPr>
          <w:p w14:paraId="2E5307DD" w14:textId="54E481CB" w:rsidR="00EC7981" w:rsidRPr="00DE31C5" w:rsidRDefault="00F33E48" w:rsidP="00F33E48">
            <w:pPr>
              <w:rPr>
                <w:rFonts w:asciiTheme="majorHAnsi" w:eastAsia="Times New Roman" w:hAnsiTheme="majorHAnsi" w:cs="Arial"/>
                <w:bCs/>
                <w:sz w:val="22"/>
                <w:szCs w:val="22"/>
              </w:rPr>
            </w:pPr>
            <w:r>
              <w:rPr>
                <w:rFonts w:asciiTheme="majorHAnsi" w:eastAsia="Times New Roman" w:hAnsiTheme="majorHAnsi" w:cs="Arial"/>
                <w:bCs/>
                <w:sz w:val="22"/>
                <w:szCs w:val="22"/>
              </w:rPr>
              <w:t xml:space="preserve">                    </w:t>
            </w:r>
            <w:r w:rsidR="00CD5ED0">
              <w:rPr>
                <w:rFonts w:asciiTheme="majorHAnsi" w:eastAsia="Times New Roman" w:hAnsiTheme="majorHAnsi" w:cs="Arial"/>
                <w:bCs/>
                <w:sz w:val="22"/>
                <w:szCs w:val="22"/>
              </w:rPr>
              <w:t>*</w:t>
            </w:r>
            <w:r w:rsidR="00CD5ED0" w:rsidRPr="00DE31C5">
              <w:rPr>
                <w:rFonts w:asciiTheme="majorHAnsi" w:eastAsia="Times New Roman" w:hAnsiTheme="majorHAnsi" w:cs="Arial"/>
                <w:bCs/>
                <w:sz w:val="22"/>
                <w:szCs w:val="22"/>
              </w:rPr>
              <w:t>Not Listed</w:t>
            </w:r>
          </w:p>
        </w:tc>
        <w:tc>
          <w:tcPr>
            <w:tcW w:w="3596" w:type="dxa"/>
            <w:tcBorders>
              <w:top w:val="nil"/>
              <w:left w:val="nil"/>
              <w:bottom w:val="single" w:sz="4" w:space="0" w:color="000000"/>
              <w:right w:val="single" w:sz="4" w:space="0" w:color="000000"/>
            </w:tcBorders>
            <w:shd w:val="clear" w:color="auto" w:fill="auto"/>
            <w:noWrap/>
            <w:vAlign w:val="center"/>
            <w:hideMark/>
          </w:tcPr>
          <w:p w14:paraId="42618419" w14:textId="62E1DA19" w:rsidR="00EC7981" w:rsidRPr="00DE31C5" w:rsidRDefault="00F33E48" w:rsidP="00F33E48">
            <w:pPr>
              <w:rPr>
                <w:rFonts w:asciiTheme="majorHAnsi" w:eastAsia="Times New Roman" w:hAnsiTheme="majorHAnsi" w:cs="Arial"/>
                <w:bCs/>
                <w:sz w:val="22"/>
                <w:szCs w:val="22"/>
              </w:rPr>
            </w:pPr>
            <w:r>
              <w:rPr>
                <w:rFonts w:asciiTheme="majorHAnsi" w:eastAsia="Times New Roman" w:hAnsiTheme="majorHAnsi" w:cs="Arial"/>
                <w:bCs/>
                <w:sz w:val="22"/>
                <w:szCs w:val="22"/>
              </w:rPr>
              <w:t xml:space="preserve">                  </w:t>
            </w:r>
            <w:r w:rsidR="00CD5ED0">
              <w:rPr>
                <w:rFonts w:asciiTheme="majorHAnsi" w:eastAsia="Times New Roman" w:hAnsiTheme="majorHAnsi" w:cs="Arial"/>
                <w:bCs/>
                <w:sz w:val="22"/>
                <w:szCs w:val="22"/>
              </w:rPr>
              <w:t>*</w:t>
            </w:r>
            <w:r w:rsidR="00CD5ED0" w:rsidRPr="00DE31C5">
              <w:rPr>
                <w:rFonts w:asciiTheme="majorHAnsi" w:eastAsia="Times New Roman" w:hAnsiTheme="majorHAnsi" w:cs="Arial"/>
                <w:bCs/>
                <w:sz w:val="22"/>
                <w:szCs w:val="22"/>
              </w:rPr>
              <w:t>Not Listed</w:t>
            </w:r>
          </w:p>
        </w:tc>
      </w:tr>
      <w:tr w:rsidR="00EC7981" w:rsidRPr="00A65978" w14:paraId="4349D491" w14:textId="77777777" w:rsidTr="00400DD1">
        <w:trPr>
          <w:trHeight w:val="349"/>
        </w:trPr>
        <w:tc>
          <w:tcPr>
            <w:tcW w:w="2519" w:type="dxa"/>
            <w:tcBorders>
              <w:top w:val="nil"/>
              <w:left w:val="single" w:sz="4" w:space="0" w:color="000000"/>
              <w:bottom w:val="single" w:sz="4" w:space="0" w:color="000000"/>
              <w:right w:val="single" w:sz="4" w:space="0" w:color="000000"/>
            </w:tcBorders>
            <w:vAlign w:val="center"/>
          </w:tcPr>
          <w:p w14:paraId="66CB5D73" w14:textId="3D658EF1" w:rsidR="00EC7981" w:rsidRPr="00DE31C5" w:rsidRDefault="00EC7981" w:rsidP="00A65978">
            <w:pPr>
              <w:jc w:val="center"/>
              <w:rPr>
                <w:rFonts w:asciiTheme="majorHAnsi" w:eastAsia="Times New Roman" w:hAnsiTheme="majorHAnsi" w:cs="Arial"/>
                <w:bCs/>
                <w:sz w:val="22"/>
                <w:szCs w:val="22"/>
              </w:rPr>
            </w:pPr>
            <w:r w:rsidRPr="00DE31C5">
              <w:rPr>
                <w:rFonts w:asciiTheme="majorHAnsi" w:eastAsia="Times New Roman" w:hAnsiTheme="majorHAnsi" w:cs="Arial"/>
                <w:bCs/>
                <w:sz w:val="22"/>
                <w:szCs w:val="22"/>
              </w:rPr>
              <w:t>2013</w:t>
            </w:r>
          </w:p>
        </w:tc>
        <w:tc>
          <w:tcPr>
            <w:tcW w:w="3356" w:type="dxa"/>
            <w:tcBorders>
              <w:top w:val="nil"/>
              <w:left w:val="single" w:sz="4" w:space="0" w:color="000000"/>
              <w:bottom w:val="single" w:sz="4" w:space="0" w:color="000000"/>
              <w:right w:val="single" w:sz="4" w:space="0" w:color="000000"/>
            </w:tcBorders>
            <w:shd w:val="clear" w:color="auto" w:fill="auto"/>
            <w:noWrap/>
            <w:vAlign w:val="center"/>
            <w:hideMark/>
          </w:tcPr>
          <w:p w14:paraId="0EC5DDDD" w14:textId="5D543A43" w:rsidR="00EC7981" w:rsidRPr="00DE31C5" w:rsidRDefault="00F33E48" w:rsidP="00A65978">
            <w:pPr>
              <w:jc w:val="center"/>
              <w:rPr>
                <w:rFonts w:asciiTheme="majorHAnsi" w:eastAsia="Times New Roman" w:hAnsiTheme="majorHAnsi" w:cs="Arial"/>
                <w:bCs/>
                <w:sz w:val="22"/>
                <w:szCs w:val="22"/>
              </w:rPr>
            </w:pPr>
            <w:r>
              <w:rPr>
                <w:rFonts w:asciiTheme="majorHAnsi" w:eastAsia="Times New Roman" w:hAnsiTheme="majorHAnsi" w:cs="Arial"/>
                <w:bCs/>
                <w:sz w:val="22"/>
                <w:szCs w:val="22"/>
              </w:rPr>
              <w:t xml:space="preserve">   </w:t>
            </w:r>
            <w:r w:rsidR="00EC7981" w:rsidRPr="00DE31C5">
              <w:rPr>
                <w:rFonts w:asciiTheme="majorHAnsi" w:eastAsia="Times New Roman" w:hAnsiTheme="majorHAnsi" w:cs="Arial"/>
                <w:bCs/>
                <w:sz w:val="22"/>
                <w:szCs w:val="22"/>
              </w:rPr>
              <w:t>634,872</w:t>
            </w:r>
          </w:p>
        </w:tc>
        <w:tc>
          <w:tcPr>
            <w:tcW w:w="3596" w:type="dxa"/>
            <w:tcBorders>
              <w:top w:val="nil"/>
              <w:left w:val="nil"/>
              <w:bottom w:val="single" w:sz="4" w:space="0" w:color="000000"/>
              <w:right w:val="single" w:sz="4" w:space="0" w:color="000000"/>
            </w:tcBorders>
            <w:shd w:val="clear" w:color="auto" w:fill="auto"/>
            <w:noWrap/>
            <w:vAlign w:val="center"/>
            <w:hideMark/>
          </w:tcPr>
          <w:p w14:paraId="57DD2B9F" w14:textId="596FA38F" w:rsidR="00EC7981" w:rsidRPr="00DE31C5" w:rsidRDefault="00EC7981" w:rsidP="00A65978">
            <w:pPr>
              <w:jc w:val="center"/>
              <w:rPr>
                <w:rFonts w:asciiTheme="majorHAnsi" w:eastAsia="Times New Roman" w:hAnsiTheme="majorHAnsi" w:cs="Arial"/>
                <w:bCs/>
                <w:sz w:val="22"/>
                <w:szCs w:val="22"/>
              </w:rPr>
            </w:pPr>
            <w:r w:rsidRPr="00DE31C5">
              <w:rPr>
                <w:rFonts w:asciiTheme="majorHAnsi" w:eastAsia="Times New Roman" w:hAnsiTheme="majorHAnsi" w:cs="Arial"/>
                <w:bCs/>
                <w:sz w:val="22"/>
                <w:szCs w:val="22"/>
              </w:rPr>
              <w:t>12.00</w:t>
            </w:r>
          </w:p>
        </w:tc>
      </w:tr>
      <w:tr w:rsidR="00EC7981" w:rsidRPr="00A65978" w14:paraId="4B5698DE" w14:textId="77777777" w:rsidTr="00400DD1">
        <w:trPr>
          <w:trHeight w:val="349"/>
        </w:trPr>
        <w:tc>
          <w:tcPr>
            <w:tcW w:w="2519" w:type="dxa"/>
            <w:tcBorders>
              <w:top w:val="nil"/>
              <w:left w:val="single" w:sz="4" w:space="0" w:color="000000"/>
              <w:bottom w:val="single" w:sz="4" w:space="0" w:color="000000"/>
              <w:right w:val="single" w:sz="4" w:space="0" w:color="000000"/>
            </w:tcBorders>
            <w:vAlign w:val="center"/>
          </w:tcPr>
          <w:p w14:paraId="2D450E5E" w14:textId="7C298837" w:rsidR="00EC7981" w:rsidRPr="00DE31C5" w:rsidRDefault="00EC7981" w:rsidP="00A65978">
            <w:pPr>
              <w:jc w:val="center"/>
              <w:rPr>
                <w:rFonts w:asciiTheme="majorHAnsi" w:eastAsia="Times New Roman" w:hAnsiTheme="majorHAnsi" w:cs="Arial"/>
                <w:bCs/>
                <w:sz w:val="22"/>
                <w:szCs w:val="22"/>
              </w:rPr>
            </w:pPr>
            <w:r w:rsidRPr="00DE31C5">
              <w:rPr>
                <w:rFonts w:asciiTheme="majorHAnsi" w:eastAsia="Times New Roman" w:hAnsiTheme="majorHAnsi" w:cs="Arial"/>
                <w:bCs/>
                <w:sz w:val="22"/>
                <w:szCs w:val="22"/>
              </w:rPr>
              <w:t>2013</w:t>
            </w:r>
          </w:p>
        </w:tc>
        <w:tc>
          <w:tcPr>
            <w:tcW w:w="3356" w:type="dxa"/>
            <w:tcBorders>
              <w:top w:val="nil"/>
              <w:left w:val="single" w:sz="4" w:space="0" w:color="000000"/>
              <w:bottom w:val="single" w:sz="4" w:space="0" w:color="000000"/>
              <w:right w:val="single" w:sz="4" w:space="0" w:color="000000"/>
            </w:tcBorders>
            <w:shd w:val="clear" w:color="auto" w:fill="auto"/>
            <w:noWrap/>
            <w:vAlign w:val="center"/>
            <w:hideMark/>
          </w:tcPr>
          <w:p w14:paraId="026C8530" w14:textId="36FE1FEC" w:rsidR="00EC7981" w:rsidRPr="00DE31C5" w:rsidRDefault="00F33E48" w:rsidP="00F33E48">
            <w:pPr>
              <w:rPr>
                <w:rFonts w:asciiTheme="majorHAnsi" w:eastAsia="Times New Roman" w:hAnsiTheme="majorHAnsi" w:cs="Arial"/>
                <w:bCs/>
                <w:sz w:val="22"/>
                <w:szCs w:val="22"/>
              </w:rPr>
            </w:pPr>
            <w:r>
              <w:rPr>
                <w:rFonts w:asciiTheme="majorHAnsi" w:eastAsia="Times New Roman" w:hAnsiTheme="majorHAnsi" w:cs="Arial"/>
                <w:bCs/>
                <w:sz w:val="22"/>
                <w:szCs w:val="22"/>
              </w:rPr>
              <w:t xml:space="preserve">                       </w:t>
            </w:r>
            <w:r w:rsidR="00EC7981" w:rsidRPr="00DE31C5">
              <w:rPr>
                <w:rFonts w:asciiTheme="majorHAnsi" w:eastAsia="Times New Roman" w:hAnsiTheme="majorHAnsi" w:cs="Arial"/>
                <w:bCs/>
                <w:sz w:val="22"/>
                <w:szCs w:val="22"/>
              </w:rPr>
              <w:t>1,133,831</w:t>
            </w:r>
          </w:p>
        </w:tc>
        <w:tc>
          <w:tcPr>
            <w:tcW w:w="3596" w:type="dxa"/>
            <w:tcBorders>
              <w:top w:val="nil"/>
              <w:left w:val="nil"/>
              <w:bottom w:val="single" w:sz="4" w:space="0" w:color="000000"/>
              <w:right w:val="single" w:sz="4" w:space="0" w:color="000000"/>
            </w:tcBorders>
            <w:shd w:val="clear" w:color="auto" w:fill="auto"/>
            <w:noWrap/>
            <w:vAlign w:val="center"/>
            <w:hideMark/>
          </w:tcPr>
          <w:p w14:paraId="183E32FE" w14:textId="2AE2992A" w:rsidR="00EC7981" w:rsidRPr="00DE31C5" w:rsidRDefault="00EC7981" w:rsidP="00A65978">
            <w:pPr>
              <w:jc w:val="center"/>
              <w:rPr>
                <w:rFonts w:asciiTheme="majorHAnsi" w:eastAsia="Times New Roman" w:hAnsiTheme="majorHAnsi" w:cs="Arial"/>
                <w:bCs/>
                <w:sz w:val="22"/>
                <w:szCs w:val="22"/>
              </w:rPr>
            </w:pPr>
            <w:r w:rsidRPr="00DE31C5">
              <w:rPr>
                <w:rFonts w:asciiTheme="majorHAnsi" w:eastAsia="Times New Roman" w:hAnsiTheme="majorHAnsi" w:cs="Arial"/>
                <w:bCs/>
                <w:sz w:val="22"/>
                <w:szCs w:val="22"/>
              </w:rPr>
              <w:t>11.25</w:t>
            </w:r>
          </w:p>
        </w:tc>
      </w:tr>
      <w:tr w:rsidR="00EC7981" w:rsidRPr="00A65978" w14:paraId="42FF6C5B" w14:textId="77777777" w:rsidTr="00400DD1">
        <w:trPr>
          <w:trHeight w:val="349"/>
        </w:trPr>
        <w:tc>
          <w:tcPr>
            <w:tcW w:w="2519" w:type="dxa"/>
            <w:tcBorders>
              <w:top w:val="nil"/>
              <w:left w:val="single" w:sz="4" w:space="0" w:color="000000"/>
              <w:bottom w:val="single" w:sz="4" w:space="0" w:color="000000"/>
              <w:right w:val="single" w:sz="4" w:space="0" w:color="000000"/>
            </w:tcBorders>
            <w:vAlign w:val="center"/>
          </w:tcPr>
          <w:p w14:paraId="696B8A74" w14:textId="605BAFEC" w:rsidR="00EC7981" w:rsidRPr="00DE31C5" w:rsidRDefault="00EC7981" w:rsidP="00A65978">
            <w:pPr>
              <w:jc w:val="center"/>
              <w:rPr>
                <w:rFonts w:asciiTheme="majorHAnsi" w:eastAsia="Times New Roman" w:hAnsiTheme="majorHAnsi" w:cs="Arial"/>
                <w:bCs/>
                <w:sz w:val="22"/>
                <w:szCs w:val="22"/>
              </w:rPr>
            </w:pPr>
            <w:r w:rsidRPr="00DE31C5">
              <w:rPr>
                <w:rFonts w:asciiTheme="majorHAnsi" w:eastAsia="Times New Roman" w:hAnsiTheme="majorHAnsi" w:cs="Arial"/>
                <w:bCs/>
                <w:sz w:val="22"/>
                <w:szCs w:val="22"/>
              </w:rPr>
              <w:t>2013</w:t>
            </w:r>
          </w:p>
        </w:tc>
        <w:tc>
          <w:tcPr>
            <w:tcW w:w="3356" w:type="dxa"/>
            <w:tcBorders>
              <w:top w:val="nil"/>
              <w:left w:val="single" w:sz="4" w:space="0" w:color="000000"/>
              <w:bottom w:val="single" w:sz="4" w:space="0" w:color="000000"/>
              <w:right w:val="single" w:sz="4" w:space="0" w:color="000000"/>
            </w:tcBorders>
            <w:shd w:val="clear" w:color="auto" w:fill="auto"/>
            <w:noWrap/>
            <w:vAlign w:val="center"/>
            <w:hideMark/>
          </w:tcPr>
          <w:p w14:paraId="5433598F" w14:textId="3D772A25" w:rsidR="00EC7981" w:rsidRPr="00DE31C5" w:rsidRDefault="00EC7981" w:rsidP="00A65978">
            <w:pPr>
              <w:jc w:val="center"/>
              <w:rPr>
                <w:rFonts w:asciiTheme="majorHAnsi" w:eastAsia="Times New Roman" w:hAnsiTheme="majorHAnsi" w:cs="Arial"/>
                <w:bCs/>
                <w:sz w:val="22"/>
                <w:szCs w:val="22"/>
              </w:rPr>
            </w:pPr>
            <w:r w:rsidRPr="00DE31C5">
              <w:rPr>
                <w:rFonts w:asciiTheme="majorHAnsi" w:eastAsia="Times New Roman" w:hAnsiTheme="majorHAnsi" w:cs="Arial"/>
                <w:bCs/>
                <w:sz w:val="22"/>
                <w:szCs w:val="22"/>
              </w:rPr>
              <w:t>$227,250</w:t>
            </w:r>
          </w:p>
        </w:tc>
        <w:tc>
          <w:tcPr>
            <w:tcW w:w="3596" w:type="dxa"/>
            <w:tcBorders>
              <w:top w:val="nil"/>
              <w:left w:val="nil"/>
              <w:bottom w:val="single" w:sz="4" w:space="0" w:color="000000"/>
              <w:right w:val="single" w:sz="4" w:space="0" w:color="000000"/>
            </w:tcBorders>
            <w:shd w:val="clear" w:color="auto" w:fill="auto"/>
            <w:noWrap/>
            <w:vAlign w:val="center"/>
            <w:hideMark/>
          </w:tcPr>
          <w:p w14:paraId="50FFA5C7" w14:textId="521AAF88" w:rsidR="00EC7981" w:rsidRPr="00DE31C5" w:rsidRDefault="00EC7981" w:rsidP="00A65978">
            <w:pPr>
              <w:jc w:val="center"/>
              <w:rPr>
                <w:rFonts w:asciiTheme="majorHAnsi" w:eastAsia="Times New Roman" w:hAnsiTheme="majorHAnsi" w:cs="Arial"/>
                <w:bCs/>
                <w:sz w:val="22"/>
                <w:szCs w:val="22"/>
              </w:rPr>
            </w:pPr>
            <w:r w:rsidRPr="00DE31C5">
              <w:rPr>
                <w:rFonts w:asciiTheme="majorHAnsi" w:eastAsia="Times New Roman" w:hAnsiTheme="majorHAnsi" w:cs="Arial"/>
                <w:bCs/>
                <w:sz w:val="22"/>
                <w:szCs w:val="22"/>
              </w:rPr>
              <w:t>11.25</w:t>
            </w:r>
          </w:p>
        </w:tc>
      </w:tr>
      <w:tr w:rsidR="00EC7981" w:rsidRPr="00A65978" w14:paraId="6625DAB5" w14:textId="77777777" w:rsidTr="00400DD1">
        <w:trPr>
          <w:trHeight w:val="349"/>
        </w:trPr>
        <w:tc>
          <w:tcPr>
            <w:tcW w:w="2519" w:type="dxa"/>
            <w:tcBorders>
              <w:top w:val="nil"/>
              <w:left w:val="single" w:sz="4" w:space="0" w:color="000000"/>
              <w:bottom w:val="single" w:sz="4" w:space="0" w:color="000000"/>
              <w:right w:val="single" w:sz="4" w:space="0" w:color="000000"/>
            </w:tcBorders>
            <w:vAlign w:val="center"/>
          </w:tcPr>
          <w:p w14:paraId="16DEA2B5" w14:textId="3878DA02" w:rsidR="00EC7981" w:rsidRPr="00DE31C5" w:rsidRDefault="00EC7981" w:rsidP="00A65978">
            <w:pPr>
              <w:jc w:val="center"/>
              <w:rPr>
                <w:rFonts w:asciiTheme="majorHAnsi" w:eastAsia="Times New Roman" w:hAnsiTheme="majorHAnsi" w:cs="Arial"/>
                <w:bCs/>
                <w:sz w:val="22"/>
                <w:szCs w:val="22"/>
              </w:rPr>
            </w:pPr>
            <w:r w:rsidRPr="00DE31C5">
              <w:rPr>
                <w:rFonts w:asciiTheme="majorHAnsi" w:eastAsia="Times New Roman" w:hAnsiTheme="majorHAnsi" w:cs="Arial"/>
                <w:bCs/>
                <w:sz w:val="22"/>
                <w:szCs w:val="22"/>
              </w:rPr>
              <w:t>2014</w:t>
            </w:r>
          </w:p>
        </w:tc>
        <w:tc>
          <w:tcPr>
            <w:tcW w:w="3356" w:type="dxa"/>
            <w:tcBorders>
              <w:top w:val="nil"/>
              <w:left w:val="single" w:sz="4" w:space="0" w:color="000000"/>
              <w:bottom w:val="single" w:sz="4" w:space="0" w:color="000000"/>
              <w:right w:val="single" w:sz="4" w:space="0" w:color="000000"/>
            </w:tcBorders>
            <w:shd w:val="clear" w:color="auto" w:fill="auto"/>
            <w:noWrap/>
            <w:vAlign w:val="center"/>
            <w:hideMark/>
          </w:tcPr>
          <w:p w14:paraId="5BECB3F3" w14:textId="3C289FEB" w:rsidR="00EC7981" w:rsidRPr="00DE31C5" w:rsidRDefault="00EC7981" w:rsidP="00A65978">
            <w:pPr>
              <w:jc w:val="center"/>
              <w:rPr>
                <w:rFonts w:asciiTheme="majorHAnsi" w:eastAsia="Times New Roman" w:hAnsiTheme="majorHAnsi" w:cs="Arial"/>
                <w:bCs/>
                <w:sz w:val="22"/>
                <w:szCs w:val="22"/>
              </w:rPr>
            </w:pPr>
            <w:r w:rsidRPr="00DE31C5">
              <w:rPr>
                <w:rFonts w:asciiTheme="majorHAnsi" w:eastAsia="Times New Roman" w:hAnsiTheme="majorHAnsi" w:cs="Arial"/>
                <w:bCs/>
                <w:sz w:val="22"/>
                <w:szCs w:val="22"/>
              </w:rPr>
              <w:t>$674,118</w:t>
            </w:r>
          </w:p>
        </w:tc>
        <w:tc>
          <w:tcPr>
            <w:tcW w:w="3596" w:type="dxa"/>
            <w:tcBorders>
              <w:top w:val="nil"/>
              <w:left w:val="nil"/>
              <w:bottom w:val="single" w:sz="4" w:space="0" w:color="000000"/>
              <w:right w:val="single" w:sz="4" w:space="0" w:color="000000"/>
            </w:tcBorders>
            <w:shd w:val="clear" w:color="auto" w:fill="auto"/>
            <w:noWrap/>
            <w:vAlign w:val="center"/>
            <w:hideMark/>
          </w:tcPr>
          <w:p w14:paraId="22C069C4" w14:textId="64CCD4FD" w:rsidR="00EC7981" w:rsidRPr="00DE31C5" w:rsidRDefault="00EC7981" w:rsidP="00A65978">
            <w:pPr>
              <w:jc w:val="center"/>
              <w:rPr>
                <w:rFonts w:asciiTheme="majorHAnsi" w:eastAsia="Times New Roman" w:hAnsiTheme="majorHAnsi" w:cs="Arial"/>
                <w:bCs/>
                <w:sz w:val="22"/>
                <w:szCs w:val="22"/>
              </w:rPr>
            </w:pPr>
            <w:r w:rsidRPr="00DE31C5">
              <w:rPr>
                <w:rFonts w:asciiTheme="majorHAnsi" w:eastAsia="Times New Roman" w:hAnsiTheme="majorHAnsi" w:cs="Arial"/>
                <w:bCs/>
                <w:sz w:val="22"/>
                <w:szCs w:val="22"/>
              </w:rPr>
              <w:t>17.50</w:t>
            </w:r>
          </w:p>
        </w:tc>
      </w:tr>
      <w:tr w:rsidR="00EC7981" w:rsidRPr="00A65978" w14:paraId="605FBD59" w14:textId="77777777" w:rsidTr="00400DD1">
        <w:trPr>
          <w:trHeight w:val="349"/>
        </w:trPr>
        <w:tc>
          <w:tcPr>
            <w:tcW w:w="2519" w:type="dxa"/>
            <w:tcBorders>
              <w:top w:val="nil"/>
              <w:left w:val="single" w:sz="4" w:space="0" w:color="000000"/>
              <w:bottom w:val="single" w:sz="4" w:space="0" w:color="000000"/>
              <w:right w:val="single" w:sz="4" w:space="0" w:color="000000"/>
            </w:tcBorders>
            <w:vAlign w:val="center"/>
          </w:tcPr>
          <w:p w14:paraId="1157ECD8" w14:textId="0F506070" w:rsidR="00EC7981" w:rsidRPr="00DE31C5" w:rsidRDefault="00EC7981" w:rsidP="00A65978">
            <w:pPr>
              <w:jc w:val="center"/>
              <w:rPr>
                <w:rFonts w:asciiTheme="majorHAnsi" w:eastAsia="Times New Roman" w:hAnsiTheme="majorHAnsi" w:cs="Arial"/>
                <w:bCs/>
                <w:sz w:val="22"/>
                <w:szCs w:val="22"/>
              </w:rPr>
            </w:pPr>
            <w:r w:rsidRPr="00DE31C5">
              <w:rPr>
                <w:rFonts w:asciiTheme="majorHAnsi" w:eastAsia="Times New Roman" w:hAnsiTheme="majorHAnsi" w:cs="Arial"/>
                <w:bCs/>
                <w:sz w:val="22"/>
                <w:szCs w:val="22"/>
              </w:rPr>
              <w:t>2014</w:t>
            </w:r>
          </w:p>
        </w:tc>
        <w:tc>
          <w:tcPr>
            <w:tcW w:w="3356" w:type="dxa"/>
            <w:tcBorders>
              <w:top w:val="nil"/>
              <w:left w:val="single" w:sz="4" w:space="0" w:color="000000"/>
              <w:bottom w:val="single" w:sz="4" w:space="0" w:color="000000"/>
              <w:right w:val="single" w:sz="4" w:space="0" w:color="000000"/>
            </w:tcBorders>
            <w:shd w:val="clear" w:color="auto" w:fill="auto"/>
            <w:noWrap/>
            <w:vAlign w:val="center"/>
            <w:hideMark/>
          </w:tcPr>
          <w:p w14:paraId="5544461E" w14:textId="16CAC095" w:rsidR="00EC7981" w:rsidRPr="00DE31C5" w:rsidRDefault="00F33E48" w:rsidP="00F33E48">
            <w:pPr>
              <w:jc w:val="center"/>
              <w:rPr>
                <w:rFonts w:asciiTheme="majorHAnsi" w:eastAsia="Times New Roman" w:hAnsiTheme="majorHAnsi" w:cs="Arial"/>
                <w:bCs/>
                <w:sz w:val="22"/>
                <w:szCs w:val="22"/>
              </w:rPr>
            </w:pPr>
            <w:r>
              <w:rPr>
                <w:rFonts w:asciiTheme="majorHAnsi" w:eastAsia="Times New Roman" w:hAnsiTheme="majorHAnsi" w:cs="Arial"/>
                <w:bCs/>
                <w:sz w:val="22"/>
                <w:szCs w:val="22"/>
              </w:rPr>
              <w:t xml:space="preserve">      </w:t>
            </w:r>
            <w:r w:rsidR="00EC7981" w:rsidRPr="00DE31C5">
              <w:rPr>
                <w:rFonts w:asciiTheme="majorHAnsi" w:eastAsia="Times New Roman" w:hAnsiTheme="majorHAnsi" w:cs="Arial"/>
                <w:bCs/>
                <w:sz w:val="22"/>
                <w:szCs w:val="22"/>
              </w:rPr>
              <w:t>32,095</w:t>
            </w:r>
          </w:p>
        </w:tc>
        <w:tc>
          <w:tcPr>
            <w:tcW w:w="3596" w:type="dxa"/>
            <w:tcBorders>
              <w:top w:val="nil"/>
              <w:left w:val="nil"/>
              <w:bottom w:val="single" w:sz="4" w:space="0" w:color="000000"/>
              <w:right w:val="single" w:sz="4" w:space="0" w:color="000000"/>
            </w:tcBorders>
            <w:shd w:val="clear" w:color="auto" w:fill="auto"/>
            <w:noWrap/>
            <w:vAlign w:val="center"/>
            <w:hideMark/>
          </w:tcPr>
          <w:p w14:paraId="3742CA1C" w14:textId="2113CCEC" w:rsidR="00EC7981" w:rsidRPr="00DE31C5" w:rsidRDefault="00EC7981" w:rsidP="00A65978">
            <w:pPr>
              <w:jc w:val="center"/>
              <w:rPr>
                <w:rFonts w:asciiTheme="majorHAnsi" w:eastAsia="Times New Roman" w:hAnsiTheme="majorHAnsi" w:cs="Arial"/>
                <w:bCs/>
                <w:sz w:val="22"/>
                <w:szCs w:val="22"/>
              </w:rPr>
            </w:pPr>
            <w:r w:rsidRPr="00DE31C5">
              <w:rPr>
                <w:rFonts w:asciiTheme="majorHAnsi" w:eastAsia="Times New Roman" w:hAnsiTheme="majorHAnsi" w:cs="Arial"/>
                <w:bCs/>
                <w:sz w:val="22"/>
                <w:szCs w:val="22"/>
              </w:rPr>
              <w:t>17.50</w:t>
            </w:r>
          </w:p>
        </w:tc>
      </w:tr>
      <w:tr w:rsidR="00EC7981" w:rsidRPr="00A65978" w14:paraId="51A8C7A7" w14:textId="77777777" w:rsidTr="00400DD1">
        <w:trPr>
          <w:trHeight w:val="349"/>
        </w:trPr>
        <w:tc>
          <w:tcPr>
            <w:tcW w:w="2519" w:type="dxa"/>
            <w:tcBorders>
              <w:top w:val="nil"/>
              <w:left w:val="single" w:sz="4" w:space="0" w:color="000000"/>
              <w:bottom w:val="single" w:sz="4" w:space="0" w:color="000000"/>
              <w:right w:val="single" w:sz="4" w:space="0" w:color="000000"/>
            </w:tcBorders>
            <w:vAlign w:val="center"/>
          </w:tcPr>
          <w:p w14:paraId="45D094CB" w14:textId="199056C5" w:rsidR="00EC7981" w:rsidRPr="00DE31C5" w:rsidRDefault="00EC7981" w:rsidP="00A65978">
            <w:pPr>
              <w:jc w:val="center"/>
              <w:rPr>
                <w:rFonts w:asciiTheme="majorHAnsi" w:eastAsia="Times New Roman" w:hAnsiTheme="majorHAnsi" w:cs="Arial"/>
                <w:bCs/>
                <w:sz w:val="22"/>
                <w:szCs w:val="22"/>
              </w:rPr>
            </w:pPr>
            <w:r w:rsidRPr="00DE31C5">
              <w:rPr>
                <w:rFonts w:asciiTheme="majorHAnsi" w:eastAsia="Times New Roman" w:hAnsiTheme="majorHAnsi" w:cs="Arial"/>
                <w:bCs/>
                <w:sz w:val="22"/>
                <w:szCs w:val="22"/>
              </w:rPr>
              <w:t>2014</w:t>
            </w:r>
          </w:p>
        </w:tc>
        <w:tc>
          <w:tcPr>
            <w:tcW w:w="3356" w:type="dxa"/>
            <w:tcBorders>
              <w:top w:val="nil"/>
              <w:left w:val="single" w:sz="4" w:space="0" w:color="000000"/>
              <w:bottom w:val="single" w:sz="4" w:space="0" w:color="000000"/>
              <w:right w:val="single" w:sz="4" w:space="0" w:color="000000"/>
            </w:tcBorders>
            <w:shd w:val="clear" w:color="auto" w:fill="auto"/>
            <w:noWrap/>
            <w:vAlign w:val="center"/>
            <w:hideMark/>
          </w:tcPr>
          <w:p w14:paraId="53EFDE6A" w14:textId="4B90216B" w:rsidR="00EC7981" w:rsidRPr="00DE31C5" w:rsidRDefault="00F33E48" w:rsidP="00A65978">
            <w:pPr>
              <w:jc w:val="center"/>
              <w:rPr>
                <w:rFonts w:asciiTheme="majorHAnsi" w:eastAsia="Times New Roman" w:hAnsiTheme="majorHAnsi" w:cs="Arial"/>
                <w:bCs/>
                <w:sz w:val="22"/>
                <w:szCs w:val="22"/>
              </w:rPr>
            </w:pPr>
            <w:r>
              <w:rPr>
                <w:rFonts w:asciiTheme="majorHAnsi" w:eastAsia="Times New Roman" w:hAnsiTheme="majorHAnsi" w:cs="Arial"/>
                <w:bCs/>
                <w:sz w:val="22"/>
                <w:szCs w:val="22"/>
              </w:rPr>
              <w:t xml:space="preserve">    </w:t>
            </w:r>
            <w:r w:rsidR="00EC7981" w:rsidRPr="00DE31C5">
              <w:rPr>
                <w:rFonts w:asciiTheme="majorHAnsi" w:eastAsia="Times New Roman" w:hAnsiTheme="majorHAnsi" w:cs="Arial"/>
                <w:bCs/>
                <w:sz w:val="22"/>
                <w:szCs w:val="22"/>
              </w:rPr>
              <w:t>382,813</w:t>
            </w:r>
          </w:p>
        </w:tc>
        <w:tc>
          <w:tcPr>
            <w:tcW w:w="3596" w:type="dxa"/>
            <w:tcBorders>
              <w:top w:val="nil"/>
              <w:left w:val="nil"/>
              <w:bottom w:val="single" w:sz="4" w:space="0" w:color="000000"/>
              <w:right w:val="single" w:sz="4" w:space="0" w:color="000000"/>
            </w:tcBorders>
            <w:shd w:val="clear" w:color="auto" w:fill="auto"/>
            <w:noWrap/>
            <w:vAlign w:val="center"/>
            <w:hideMark/>
          </w:tcPr>
          <w:p w14:paraId="3434759B" w14:textId="0FA93980" w:rsidR="00EC7981" w:rsidRPr="00DE31C5" w:rsidRDefault="00EC7981" w:rsidP="00A65978">
            <w:pPr>
              <w:jc w:val="center"/>
              <w:rPr>
                <w:rFonts w:asciiTheme="majorHAnsi" w:eastAsia="Times New Roman" w:hAnsiTheme="majorHAnsi" w:cs="Arial"/>
                <w:bCs/>
                <w:sz w:val="22"/>
                <w:szCs w:val="22"/>
              </w:rPr>
            </w:pPr>
            <w:r w:rsidRPr="00DE31C5">
              <w:rPr>
                <w:rFonts w:asciiTheme="majorHAnsi" w:eastAsia="Times New Roman" w:hAnsiTheme="majorHAnsi" w:cs="Arial"/>
                <w:bCs/>
                <w:sz w:val="22"/>
                <w:szCs w:val="22"/>
              </w:rPr>
              <w:t>17.50</w:t>
            </w:r>
          </w:p>
        </w:tc>
      </w:tr>
      <w:tr w:rsidR="00EC7981" w:rsidRPr="00A65978" w14:paraId="68EADAA1" w14:textId="77777777" w:rsidTr="00400DD1">
        <w:trPr>
          <w:trHeight w:val="349"/>
        </w:trPr>
        <w:tc>
          <w:tcPr>
            <w:tcW w:w="2519" w:type="dxa"/>
            <w:tcBorders>
              <w:top w:val="nil"/>
              <w:left w:val="single" w:sz="4" w:space="0" w:color="000000"/>
              <w:bottom w:val="single" w:sz="4" w:space="0" w:color="000000"/>
              <w:right w:val="single" w:sz="4" w:space="0" w:color="000000"/>
            </w:tcBorders>
            <w:vAlign w:val="center"/>
          </w:tcPr>
          <w:p w14:paraId="20FC0756" w14:textId="515D923E" w:rsidR="00EC7981" w:rsidRPr="00DE31C5" w:rsidRDefault="00EC7981" w:rsidP="00A65978">
            <w:pPr>
              <w:jc w:val="center"/>
              <w:rPr>
                <w:rFonts w:asciiTheme="majorHAnsi" w:eastAsia="Times New Roman" w:hAnsiTheme="majorHAnsi" w:cs="Arial"/>
                <w:bCs/>
                <w:sz w:val="22"/>
                <w:szCs w:val="22"/>
              </w:rPr>
            </w:pPr>
            <w:r w:rsidRPr="00DE31C5">
              <w:rPr>
                <w:rFonts w:asciiTheme="majorHAnsi" w:eastAsia="Times New Roman" w:hAnsiTheme="majorHAnsi" w:cs="Arial"/>
                <w:bCs/>
                <w:sz w:val="22"/>
                <w:szCs w:val="22"/>
              </w:rPr>
              <w:t>2014</w:t>
            </w:r>
          </w:p>
        </w:tc>
        <w:tc>
          <w:tcPr>
            <w:tcW w:w="3356" w:type="dxa"/>
            <w:tcBorders>
              <w:top w:val="nil"/>
              <w:left w:val="single" w:sz="4" w:space="0" w:color="000000"/>
              <w:bottom w:val="single" w:sz="4" w:space="0" w:color="000000"/>
              <w:right w:val="single" w:sz="4" w:space="0" w:color="000000"/>
            </w:tcBorders>
            <w:shd w:val="clear" w:color="auto" w:fill="auto"/>
            <w:noWrap/>
            <w:vAlign w:val="center"/>
            <w:hideMark/>
          </w:tcPr>
          <w:p w14:paraId="53003373" w14:textId="7F61D22D" w:rsidR="00EC7981" w:rsidRPr="00DE31C5" w:rsidRDefault="00F33E48" w:rsidP="00F33E48">
            <w:pPr>
              <w:jc w:val="center"/>
              <w:rPr>
                <w:rFonts w:asciiTheme="majorHAnsi" w:eastAsia="Times New Roman" w:hAnsiTheme="majorHAnsi" w:cs="Arial"/>
                <w:bCs/>
                <w:sz w:val="22"/>
                <w:szCs w:val="22"/>
              </w:rPr>
            </w:pPr>
            <w:r>
              <w:rPr>
                <w:rFonts w:asciiTheme="majorHAnsi" w:eastAsia="Times New Roman" w:hAnsiTheme="majorHAnsi" w:cs="Arial"/>
                <w:bCs/>
                <w:sz w:val="22"/>
                <w:szCs w:val="22"/>
              </w:rPr>
              <w:t xml:space="preserve">    </w:t>
            </w:r>
            <w:r w:rsidR="00EC7981" w:rsidRPr="00DE31C5">
              <w:rPr>
                <w:rFonts w:asciiTheme="majorHAnsi" w:eastAsia="Times New Roman" w:hAnsiTheme="majorHAnsi" w:cs="Arial"/>
                <w:bCs/>
                <w:sz w:val="22"/>
                <w:szCs w:val="22"/>
              </w:rPr>
              <w:t>711,095</w:t>
            </w:r>
          </w:p>
        </w:tc>
        <w:tc>
          <w:tcPr>
            <w:tcW w:w="3596" w:type="dxa"/>
            <w:tcBorders>
              <w:top w:val="nil"/>
              <w:left w:val="nil"/>
              <w:bottom w:val="single" w:sz="4" w:space="0" w:color="000000"/>
              <w:right w:val="single" w:sz="4" w:space="0" w:color="000000"/>
            </w:tcBorders>
            <w:shd w:val="clear" w:color="auto" w:fill="auto"/>
            <w:noWrap/>
            <w:vAlign w:val="center"/>
            <w:hideMark/>
          </w:tcPr>
          <w:p w14:paraId="49C29E31" w14:textId="6A0FAD14" w:rsidR="00EC7981" w:rsidRPr="00DE31C5" w:rsidRDefault="00EC7981" w:rsidP="00A65978">
            <w:pPr>
              <w:jc w:val="center"/>
              <w:rPr>
                <w:rFonts w:asciiTheme="majorHAnsi" w:eastAsia="Times New Roman" w:hAnsiTheme="majorHAnsi" w:cs="Arial"/>
                <w:bCs/>
                <w:sz w:val="22"/>
                <w:szCs w:val="22"/>
              </w:rPr>
            </w:pPr>
            <w:r w:rsidRPr="00DE31C5">
              <w:rPr>
                <w:rFonts w:asciiTheme="majorHAnsi" w:eastAsia="Times New Roman" w:hAnsiTheme="majorHAnsi" w:cs="Arial"/>
                <w:bCs/>
                <w:sz w:val="22"/>
                <w:szCs w:val="22"/>
              </w:rPr>
              <w:t>14.50</w:t>
            </w:r>
          </w:p>
        </w:tc>
      </w:tr>
      <w:tr w:rsidR="00EC7981" w:rsidRPr="00A65978" w14:paraId="5DDE76EB" w14:textId="77777777" w:rsidTr="00400DD1">
        <w:trPr>
          <w:trHeight w:val="349"/>
        </w:trPr>
        <w:tc>
          <w:tcPr>
            <w:tcW w:w="2519" w:type="dxa"/>
            <w:tcBorders>
              <w:top w:val="nil"/>
              <w:left w:val="single" w:sz="4" w:space="0" w:color="000000"/>
              <w:bottom w:val="single" w:sz="4" w:space="0" w:color="auto"/>
              <w:right w:val="single" w:sz="4" w:space="0" w:color="000000"/>
            </w:tcBorders>
            <w:vAlign w:val="center"/>
          </w:tcPr>
          <w:p w14:paraId="74872AAE" w14:textId="0DC023BA" w:rsidR="00EC7981" w:rsidRPr="00DE31C5" w:rsidRDefault="00EC7981" w:rsidP="00A65978">
            <w:pPr>
              <w:jc w:val="center"/>
              <w:rPr>
                <w:rFonts w:asciiTheme="majorHAnsi" w:eastAsia="Times New Roman" w:hAnsiTheme="majorHAnsi" w:cs="Arial"/>
                <w:bCs/>
                <w:sz w:val="22"/>
                <w:szCs w:val="22"/>
              </w:rPr>
            </w:pPr>
            <w:r w:rsidRPr="00DE31C5">
              <w:rPr>
                <w:rFonts w:asciiTheme="majorHAnsi" w:eastAsia="Times New Roman" w:hAnsiTheme="majorHAnsi" w:cs="Arial"/>
                <w:bCs/>
                <w:sz w:val="22"/>
                <w:szCs w:val="22"/>
              </w:rPr>
              <w:t>2014</w:t>
            </w:r>
          </w:p>
        </w:tc>
        <w:tc>
          <w:tcPr>
            <w:tcW w:w="3356" w:type="dxa"/>
            <w:tcBorders>
              <w:top w:val="nil"/>
              <w:left w:val="single" w:sz="4" w:space="0" w:color="000000"/>
              <w:bottom w:val="single" w:sz="4" w:space="0" w:color="auto"/>
              <w:right w:val="single" w:sz="4" w:space="0" w:color="000000"/>
            </w:tcBorders>
            <w:shd w:val="clear" w:color="auto" w:fill="auto"/>
            <w:noWrap/>
            <w:vAlign w:val="center"/>
            <w:hideMark/>
          </w:tcPr>
          <w:p w14:paraId="14D24EF2" w14:textId="4DC7B1B1" w:rsidR="00EC7981" w:rsidRPr="00DE31C5" w:rsidRDefault="00F33E48" w:rsidP="00F33E48">
            <w:pPr>
              <w:jc w:val="center"/>
              <w:rPr>
                <w:rFonts w:asciiTheme="majorHAnsi" w:eastAsia="Times New Roman" w:hAnsiTheme="majorHAnsi" w:cs="Arial"/>
                <w:bCs/>
                <w:sz w:val="22"/>
                <w:szCs w:val="22"/>
              </w:rPr>
            </w:pPr>
            <w:r>
              <w:rPr>
                <w:rFonts w:asciiTheme="majorHAnsi" w:eastAsia="Times New Roman" w:hAnsiTheme="majorHAnsi" w:cs="Arial"/>
                <w:bCs/>
                <w:sz w:val="22"/>
                <w:szCs w:val="22"/>
              </w:rPr>
              <w:t xml:space="preserve">    </w:t>
            </w:r>
            <w:r w:rsidR="00EC7981" w:rsidRPr="00DE31C5">
              <w:rPr>
                <w:rFonts w:asciiTheme="majorHAnsi" w:eastAsia="Times New Roman" w:hAnsiTheme="majorHAnsi" w:cs="Arial"/>
                <w:bCs/>
                <w:sz w:val="22"/>
                <w:szCs w:val="22"/>
              </w:rPr>
              <w:t>504,000</w:t>
            </w:r>
          </w:p>
        </w:tc>
        <w:tc>
          <w:tcPr>
            <w:tcW w:w="3596" w:type="dxa"/>
            <w:tcBorders>
              <w:top w:val="nil"/>
              <w:left w:val="nil"/>
              <w:bottom w:val="single" w:sz="4" w:space="0" w:color="auto"/>
              <w:right w:val="single" w:sz="4" w:space="0" w:color="000000"/>
            </w:tcBorders>
            <w:shd w:val="clear" w:color="auto" w:fill="auto"/>
            <w:noWrap/>
            <w:vAlign w:val="center"/>
            <w:hideMark/>
          </w:tcPr>
          <w:p w14:paraId="632B6870" w14:textId="6C6554A7" w:rsidR="00EC7981" w:rsidRPr="00DE31C5" w:rsidRDefault="00F33E48" w:rsidP="00F33E48">
            <w:pPr>
              <w:rPr>
                <w:rFonts w:asciiTheme="majorHAnsi" w:eastAsia="Times New Roman" w:hAnsiTheme="majorHAnsi" w:cs="Arial"/>
                <w:bCs/>
                <w:sz w:val="22"/>
                <w:szCs w:val="22"/>
              </w:rPr>
            </w:pPr>
            <w:r>
              <w:rPr>
                <w:rFonts w:asciiTheme="majorHAnsi" w:eastAsia="Times New Roman" w:hAnsiTheme="majorHAnsi" w:cs="Arial"/>
                <w:bCs/>
                <w:sz w:val="22"/>
                <w:szCs w:val="22"/>
              </w:rPr>
              <w:t xml:space="preserve">                             </w:t>
            </w:r>
            <w:r w:rsidR="00EC7981" w:rsidRPr="00DE31C5">
              <w:rPr>
                <w:rFonts w:asciiTheme="majorHAnsi" w:eastAsia="Times New Roman" w:hAnsiTheme="majorHAnsi" w:cs="Arial"/>
                <w:bCs/>
                <w:sz w:val="22"/>
                <w:szCs w:val="22"/>
              </w:rPr>
              <w:t>14.00</w:t>
            </w:r>
          </w:p>
        </w:tc>
      </w:tr>
      <w:tr w:rsidR="00EC7981" w:rsidRPr="00A65978" w14:paraId="7F25CEC4" w14:textId="77777777" w:rsidTr="00400DD1">
        <w:trPr>
          <w:trHeight w:val="349"/>
        </w:trPr>
        <w:tc>
          <w:tcPr>
            <w:tcW w:w="2519" w:type="dxa"/>
            <w:tcBorders>
              <w:top w:val="single" w:sz="4" w:space="0" w:color="auto"/>
              <w:left w:val="single" w:sz="4" w:space="0" w:color="auto"/>
              <w:bottom w:val="single" w:sz="4" w:space="0" w:color="auto"/>
              <w:right w:val="single" w:sz="4" w:space="0" w:color="auto"/>
            </w:tcBorders>
            <w:shd w:val="clear" w:color="000000" w:fill="FFFF00"/>
            <w:vAlign w:val="center"/>
          </w:tcPr>
          <w:p w14:paraId="601239FB" w14:textId="1C203DD4" w:rsidR="00EC7981" w:rsidRPr="00DE31C5" w:rsidRDefault="00EC7981" w:rsidP="00A65978">
            <w:pPr>
              <w:jc w:val="center"/>
              <w:rPr>
                <w:rFonts w:asciiTheme="majorHAnsi" w:eastAsia="Times New Roman" w:hAnsiTheme="majorHAnsi"/>
                <w:b/>
                <w:bCs/>
                <w:sz w:val="22"/>
                <w:szCs w:val="22"/>
              </w:rPr>
            </w:pPr>
            <w:r w:rsidRPr="00DE31C5">
              <w:rPr>
                <w:rFonts w:asciiTheme="majorHAnsi" w:eastAsia="Times New Roman" w:hAnsiTheme="majorHAnsi"/>
                <w:b/>
                <w:bCs/>
                <w:sz w:val="22"/>
                <w:szCs w:val="22"/>
              </w:rPr>
              <w:t>Total</w:t>
            </w:r>
          </w:p>
        </w:tc>
        <w:tc>
          <w:tcPr>
            <w:tcW w:w="335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A84F7C1" w14:textId="7B4AC7FA" w:rsidR="00EC7981" w:rsidRPr="00DE31C5" w:rsidRDefault="00F33E48" w:rsidP="00F33E48">
            <w:pPr>
              <w:rPr>
                <w:rFonts w:asciiTheme="majorHAnsi" w:eastAsia="Times New Roman" w:hAnsiTheme="majorHAnsi"/>
                <w:b/>
                <w:bCs/>
                <w:sz w:val="22"/>
                <w:szCs w:val="22"/>
              </w:rPr>
            </w:pPr>
            <w:r>
              <w:rPr>
                <w:rFonts w:asciiTheme="majorHAnsi" w:eastAsia="Times New Roman" w:hAnsiTheme="majorHAnsi"/>
                <w:b/>
                <w:bCs/>
                <w:sz w:val="22"/>
                <w:szCs w:val="22"/>
              </w:rPr>
              <w:t xml:space="preserve">                     </w:t>
            </w:r>
            <w:r w:rsidR="00EC7981" w:rsidRPr="00DE31C5">
              <w:rPr>
                <w:rFonts w:asciiTheme="majorHAnsi" w:eastAsia="Times New Roman" w:hAnsiTheme="majorHAnsi"/>
                <w:b/>
                <w:bCs/>
                <w:sz w:val="22"/>
                <w:szCs w:val="22"/>
              </w:rPr>
              <w:t>$5,126,694</w:t>
            </w:r>
          </w:p>
        </w:tc>
        <w:tc>
          <w:tcPr>
            <w:tcW w:w="359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A216D8C" w14:textId="6E45835B" w:rsidR="00EC7981" w:rsidRPr="00DE31C5" w:rsidRDefault="00EC7981" w:rsidP="00A65978">
            <w:pPr>
              <w:jc w:val="center"/>
              <w:rPr>
                <w:rFonts w:asciiTheme="majorHAnsi" w:eastAsia="Times New Roman" w:hAnsiTheme="majorHAnsi"/>
                <w:bCs/>
                <w:sz w:val="22"/>
                <w:szCs w:val="22"/>
              </w:rPr>
            </w:pPr>
          </w:p>
        </w:tc>
      </w:tr>
      <w:tr w:rsidR="00C90980" w:rsidRPr="00A65978" w14:paraId="6C1E6DFE" w14:textId="77777777" w:rsidTr="00400DD1">
        <w:trPr>
          <w:trHeight w:val="349"/>
        </w:trPr>
        <w:tc>
          <w:tcPr>
            <w:tcW w:w="2519" w:type="dxa"/>
            <w:tcBorders>
              <w:top w:val="single" w:sz="4" w:space="0" w:color="auto"/>
              <w:left w:val="single" w:sz="4" w:space="0" w:color="auto"/>
              <w:bottom w:val="single" w:sz="4" w:space="0" w:color="auto"/>
              <w:right w:val="single" w:sz="4" w:space="0" w:color="auto"/>
            </w:tcBorders>
            <w:shd w:val="clear" w:color="000000" w:fill="FFFF00"/>
            <w:vAlign w:val="center"/>
          </w:tcPr>
          <w:p w14:paraId="51A5BD6D" w14:textId="1B3A0264" w:rsidR="00C90980" w:rsidRPr="00DE31C5" w:rsidRDefault="00550F4F" w:rsidP="00A65978">
            <w:pPr>
              <w:jc w:val="center"/>
              <w:rPr>
                <w:rFonts w:asciiTheme="majorHAnsi" w:eastAsia="Times New Roman" w:hAnsiTheme="majorHAnsi"/>
                <w:b/>
                <w:bCs/>
                <w:sz w:val="22"/>
                <w:szCs w:val="22"/>
              </w:rPr>
            </w:pPr>
            <w:r>
              <w:rPr>
                <w:rFonts w:asciiTheme="majorHAnsi" w:eastAsia="Times New Roman" w:hAnsiTheme="majorHAnsi"/>
                <w:b/>
                <w:bCs/>
                <w:sz w:val="22"/>
                <w:szCs w:val="22"/>
              </w:rPr>
              <w:t>Number of Projects</w:t>
            </w:r>
          </w:p>
        </w:tc>
        <w:tc>
          <w:tcPr>
            <w:tcW w:w="3356"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E60D224" w14:textId="3DB36724" w:rsidR="00C90980" w:rsidRPr="00DE31C5" w:rsidRDefault="00C90980" w:rsidP="00A65978">
            <w:pPr>
              <w:jc w:val="center"/>
              <w:rPr>
                <w:rFonts w:asciiTheme="majorHAnsi" w:eastAsia="Times New Roman" w:hAnsiTheme="majorHAnsi"/>
                <w:b/>
                <w:bCs/>
                <w:sz w:val="22"/>
                <w:szCs w:val="22"/>
              </w:rPr>
            </w:pPr>
            <w:r>
              <w:rPr>
                <w:rFonts w:asciiTheme="majorHAnsi" w:eastAsia="Times New Roman" w:hAnsiTheme="majorHAnsi"/>
                <w:b/>
                <w:bCs/>
                <w:sz w:val="22"/>
                <w:szCs w:val="22"/>
              </w:rPr>
              <w:t>12</w:t>
            </w:r>
          </w:p>
        </w:tc>
        <w:tc>
          <w:tcPr>
            <w:tcW w:w="3596"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436A9D39" w14:textId="77777777" w:rsidR="00C90980" w:rsidRPr="00DE31C5" w:rsidRDefault="00C90980" w:rsidP="00A65978">
            <w:pPr>
              <w:jc w:val="center"/>
              <w:rPr>
                <w:rFonts w:asciiTheme="majorHAnsi" w:eastAsia="Times New Roman" w:hAnsiTheme="majorHAnsi"/>
                <w:bCs/>
                <w:sz w:val="22"/>
                <w:szCs w:val="22"/>
              </w:rPr>
            </w:pPr>
          </w:p>
        </w:tc>
      </w:tr>
    </w:tbl>
    <w:p w14:paraId="6D85CE13" w14:textId="1426D26C" w:rsidR="00DF418C" w:rsidRDefault="00CD5ED0" w:rsidP="00DF418C">
      <w:pPr>
        <w:rPr>
          <w:rFonts w:ascii="Calibri" w:hAnsi="Calibri"/>
        </w:rPr>
      </w:pPr>
      <w:r>
        <w:rPr>
          <w:rFonts w:ascii="Calibri" w:hAnsi="Calibri"/>
        </w:rPr>
        <w:t xml:space="preserve">*The price and cost per square foot is not listed because the seller applied personal TDR to their own development project on the receiving site. </w:t>
      </w:r>
    </w:p>
    <w:p w14:paraId="518DF817" w14:textId="77777777" w:rsidR="004579CA" w:rsidRDefault="004579CA" w:rsidP="00DF418C">
      <w:pPr>
        <w:rPr>
          <w:rFonts w:ascii="Calibri" w:hAnsi="Calibri"/>
        </w:rPr>
      </w:pPr>
    </w:p>
    <w:p w14:paraId="4E736ACA" w14:textId="3CD49875" w:rsidR="004579CA" w:rsidRDefault="004579CA" w:rsidP="00DF418C">
      <w:pPr>
        <w:rPr>
          <w:rFonts w:ascii="Calibri" w:hAnsi="Calibri"/>
          <w:b/>
        </w:rPr>
      </w:pPr>
      <w:r>
        <w:rPr>
          <w:rFonts w:ascii="Calibri" w:hAnsi="Calibri"/>
          <w:b/>
        </w:rPr>
        <w:t>Analysis</w:t>
      </w:r>
    </w:p>
    <w:p w14:paraId="4DFB0587" w14:textId="2E5C7F02" w:rsidR="00FE614B" w:rsidRPr="00FE614B" w:rsidRDefault="00FE614B" w:rsidP="00DF418C">
      <w:pPr>
        <w:rPr>
          <w:rFonts w:ascii="Calibri" w:hAnsi="Calibri"/>
        </w:rPr>
      </w:pPr>
      <w:r w:rsidRPr="00FE614B">
        <w:rPr>
          <w:rFonts w:ascii="Calibri" w:hAnsi="Calibri"/>
        </w:rPr>
        <w:t xml:space="preserve">Over the </w:t>
      </w:r>
      <w:r>
        <w:rPr>
          <w:rFonts w:ascii="Calibri" w:hAnsi="Calibri"/>
        </w:rPr>
        <w:t xml:space="preserve">life of the TDR program there have been </w:t>
      </w:r>
      <w:r w:rsidR="008F765B">
        <w:rPr>
          <w:rFonts w:ascii="Calibri" w:hAnsi="Calibri"/>
        </w:rPr>
        <w:t xml:space="preserve">only </w:t>
      </w:r>
      <w:r>
        <w:rPr>
          <w:rFonts w:ascii="Calibri" w:hAnsi="Calibri"/>
        </w:rPr>
        <w:t xml:space="preserve">a limited number of transactions utilizing this incentive, suggesting under-utilization. </w:t>
      </w:r>
      <w:r w:rsidR="00E97DEF">
        <w:rPr>
          <w:rFonts w:ascii="Calibri" w:hAnsi="Calibri"/>
        </w:rPr>
        <w:t xml:space="preserve">The effectiveness of the TDR program is limited geographically due to zoning requirements. There is the potential to extend the TDR program to other areas of the city, such as the University District, where upzoning is under consideration, but </w:t>
      </w:r>
      <w:r w:rsidR="00AE7B33">
        <w:rPr>
          <w:rFonts w:ascii="Calibri" w:hAnsi="Calibri"/>
        </w:rPr>
        <w:t xml:space="preserve">at present </w:t>
      </w:r>
      <w:r w:rsidR="00E97DEF">
        <w:rPr>
          <w:rFonts w:ascii="Calibri" w:hAnsi="Calibri"/>
        </w:rPr>
        <w:t xml:space="preserve">this program </w:t>
      </w:r>
      <w:r w:rsidR="00AE7B33">
        <w:rPr>
          <w:rFonts w:ascii="Calibri" w:hAnsi="Calibri"/>
        </w:rPr>
        <w:t xml:space="preserve">is not </w:t>
      </w:r>
      <w:r w:rsidR="000618D2">
        <w:rPr>
          <w:rFonts w:ascii="Calibri" w:hAnsi="Calibri"/>
        </w:rPr>
        <w:t xml:space="preserve">available </w:t>
      </w:r>
      <w:r w:rsidR="00E97DEF">
        <w:rPr>
          <w:rFonts w:ascii="Calibri" w:hAnsi="Calibri"/>
        </w:rPr>
        <w:t xml:space="preserve">to all </w:t>
      </w:r>
      <w:r w:rsidR="00AE7B33">
        <w:rPr>
          <w:rFonts w:ascii="Calibri" w:hAnsi="Calibri"/>
        </w:rPr>
        <w:t xml:space="preserve">designated landmark </w:t>
      </w:r>
      <w:r w:rsidR="000618D2">
        <w:rPr>
          <w:rFonts w:ascii="Calibri" w:hAnsi="Calibri"/>
        </w:rPr>
        <w:t xml:space="preserve">structures </w:t>
      </w:r>
      <w:r w:rsidR="00E97DEF">
        <w:rPr>
          <w:rFonts w:ascii="Calibri" w:hAnsi="Calibri"/>
        </w:rPr>
        <w:t>throughout the</w:t>
      </w:r>
      <w:r w:rsidR="00AE7B33">
        <w:rPr>
          <w:rFonts w:ascii="Calibri" w:hAnsi="Calibri"/>
        </w:rPr>
        <w:t xml:space="preserve"> </w:t>
      </w:r>
      <w:r w:rsidR="00E97DEF">
        <w:rPr>
          <w:rFonts w:ascii="Calibri" w:hAnsi="Calibri"/>
        </w:rPr>
        <w:t xml:space="preserve">city. A point of emphasis is that TDR transactions do not require, nor necessarily result in rehabilitation of the </w:t>
      </w:r>
      <w:r w:rsidR="000618D2">
        <w:rPr>
          <w:rFonts w:ascii="Calibri" w:hAnsi="Calibri"/>
        </w:rPr>
        <w:t xml:space="preserve">landmark structure </w:t>
      </w:r>
      <w:r w:rsidR="00E97DEF">
        <w:rPr>
          <w:rFonts w:ascii="Calibri" w:hAnsi="Calibri"/>
        </w:rPr>
        <w:t xml:space="preserve">on the receiving lot. </w:t>
      </w:r>
      <w:r w:rsidR="008F765B">
        <w:rPr>
          <w:rFonts w:ascii="Calibri" w:hAnsi="Calibri"/>
        </w:rPr>
        <w:t xml:space="preserve">Under the downtown </w:t>
      </w:r>
      <w:r w:rsidR="008F765B">
        <w:rPr>
          <w:rFonts w:ascii="Calibri" w:hAnsi="Calibri"/>
        </w:rPr>
        <w:lastRenderedPageBreak/>
        <w:t xml:space="preserve">Incentive Bonus zoning, a </w:t>
      </w:r>
      <w:r>
        <w:rPr>
          <w:rFonts w:ascii="Calibri" w:hAnsi="Calibri"/>
        </w:rPr>
        <w:t xml:space="preserve">limitation </w:t>
      </w:r>
      <w:r w:rsidR="00E97DEF">
        <w:rPr>
          <w:rFonts w:ascii="Calibri" w:hAnsi="Calibri"/>
        </w:rPr>
        <w:t xml:space="preserve">of the Landmark TDR program is that 75 percent of the development incentive is dedicated to affordable housing, </w:t>
      </w:r>
      <w:r w:rsidR="000618D2">
        <w:rPr>
          <w:rFonts w:ascii="Calibri" w:hAnsi="Calibri"/>
        </w:rPr>
        <w:t xml:space="preserve">with </w:t>
      </w:r>
      <w:r w:rsidR="00E97DEF">
        <w:rPr>
          <w:rFonts w:ascii="Calibri" w:hAnsi="Calibri"/>
        </w:rPr>
        <w:t xml:space="preserve">the remaining 25 percent </w:t>
      </w:r>
      <w:r w:rsidR="000618D2">
        <w:rPr>
          <w:rFonts w:ascii="Calibri" w:hAnsi="Calibri"/>
        </w:rPr>
        <w:t xml:space="preserve">allowed </w:t>
      </w:r>
      <w:r w:rsidR="00E97DEF">
        <w:rPr>
          <w:rFonts w:ascii="Calibri" w:hAnsi="Calibri"/>
        </w:rPr>
        <w:t xml:space="preserve">for </w:t>
      </w:r>
      <w:r>
        <w:rPr>
          <w:rFonts w:ascii="Calibri" w:hAnsi="Calibri"/>
        </w:rPr>
        <w:t>other options</w:t>
      </w:r>
      <w:r w:rsidR="00E97DEF">
        <w:rPr>
          <w:rFonts w:ascii="Calibri" w:hAnsi="Calibri"/>
        </w:rPr>
        <w:t xml:space="preserve"> besides Landmark protection</w:t>
      </w:r>
      <w:r w:rsidR="000618D2">
        <w:rPr>
          <w:rFonts w:ascii="Calibri" w:hAnsi="Calibri"/>
        </w:rPr>
        <w:t xml:space="preserve"> that may compete</w:t>
      </w:r>
      <w:r w:rsidR="00E97DEF">
        <w:rPr>
          <w:rFonts w:ascii="Calibri" w:hAnsi="Calibri"/>
        </w:rPr>
        <w:t>, such as open space, childcare, green streets, and protection of rural/regional resource lands (Transfer of Development Credits).</w:t>
      </w:r>
      <w:r w:rsidR="00AE7B33">
        <w:rPr>
          <w:rFonts w:ascii="Calibri" w:hAnsi="Calibri"/>
        </w:rPr>
        <w:t xml:space="preserve"> </w:t>
      </w:r>
      <w:r w:rsidR="008F765B">
        <w:rPr>
          <w:rFonts w:ascii="Calibri" w:hAnsi="Calibri"/>
        </w:rPr>
        <w:t xml:space="preserve">Still another challenge to executing the financial transaction for </w:t>
      </w:r>
      <w:r w:rsidR="00AE7B33">
        <w:rPr>
          <w:rFonts w:ascii="Calibri" w:hAnsi="Calibri"/>
        </w:rPr>
        <w:t xml:space="preserve">TDR program for historic properties </w:t>
      </w:r>
      <w:r w:rsidR="008F765B">
        <w:rPr>
          <w:rFonts w:ascii="Calibri" w:hAnsi="Calibri"/>
        </w:rPr>
        <w:t xml:space="preserve">is the need to pair </w:t>
      </w:r>
      <w:r w:rsidR="00AE7B33">
        <w:rPr>
          <w:rFonts w:ascii="Calibri" w:hAnsi="Calibri"/>
        </w:rPr>
        <w:t>a</w:t>
      </w:r>
      <w:r w:rsidR="000618D2">
        <w:rPr>
          <w:rFonts w:ascii="Calibri" w:hAnsi="Calibri"/>
        </w:rPr>
        <w:t xml:space="preserve">n available and </w:t>
      </w:r>
      <w:r w:rsidR="00AE7B33">
        <w:rPr>
          <w:rFonts w:ascii="Calibri" w:hAnsi="Calibri"/>
        </w:rPr>
        <w:t xml:space="preserve">willing seller to negotiate a </w:t>
      </w:r>
      <w:r w:rsidR="000618D2">
        <w:rPr>
          <w:rFonts w:ascii="Calibri" w:hAnsi="Calibri"/>
        </w:rPr>
        <w:t xml:space="preserve">non-fixed </w:t>
      </w:r>
      <w:r w:rsidR="00AE7B33">
        <w:rPr>
          <w:rFonts w:ascii="Calibri" w:hAnsi="Calibri"/>
        </w:rPr>
        <w:t>sales price with a</w:t>
      </w:r>
      <w:r w:rsidR="000618D2">
        <w:rPr>
          <w:rFonts w:ascii="Calibri" w:hAnsi="Calibri"/>
        </w:rPr>
        <w:t xml:space="preserve">n available and </w:t>
      </w:r>
      <w:r w:rsidR="00AE7B33">
        <w:rPr>
          <w:rFonts w:ascii="Calibri" w:hAnsi="Calibri"/>
        </w:rPr>
        <w:t>willing purchaser through a timely market driven process. The city’s TDR Bank</w:t>
      </w:r>
      <w:r w:rsidR="008F765B">
        <w:rPr>
          <w:rFonts w:ascii="Calibri" w:hAnsi="Calibri"/>
        </w:rPr>
        <w:t>,</w:t>
      </w:r>
      <w:r w:rsidR="00AE7B33">
        <w:rPr>
          <w:rFonts w:ascii="Calibri" w:hAnsi="Calibri"/>
        </w:rPr>
        <w:t xml:space="preserve"> by acquiring historic property TDRs and holding them for future development, could bridge the marketability and time sensitivity of the TDR transaction, but has been underfunded and is rarely used.</w:t>
      </w:r>
      <w:r w:rsidR="00DA6214">
        <w:rPr>
          <w:rFonts w:ascii="Calibri" w:hAnsi="Calibri"/>
        </w:rPr>
        <w:t xml:space="preserve"> Structures listed under the Federal Register </w:t>
      </w:r>
      <w:r w:rsidR="000618D2">
        <w:rPr>
          <w:rFonts w:ascii="Calibri" w:hAnsi="Calibri"/>
        </w:rPr>
        <w:t>of Historic Places are not eligible to apply for the TDR program.</w:t>
      </w:r>
    </w:p>
    <w:p w14:paraId="3E6EC12A" w14:textId="77777777" w:rsidR="00CD5ED0" w:rsidRPr="00DF418C" w:rsidRDefault="00CD5ED0" w:rsidP="00DF418C">
      <w:pPr>
        <w:rPr>
          <w:rFonts w:ascii="Calibri" w:hAnsi="Calibri"/>
        </w:rPr>
      </w:pPr>
    </w:p>
    <w:p w14:paraId="04E40657" w14:textId="6FE86B0C" w:rsidR="00FD1C28" w:rsidRPr="00C91A4E" w:rsidRDefault="00FD1C28" w:rsidP="00BD7AC5">
      <w:pPr>
        <w:rPr>
          <w:rFonts w:ascii="Calibri" w:hAnsi="Calibri"/>
        </w:rPr>
      </w:pPr>
      <w:r w:rsidRPr="00C91A4E">
        <w:rPr>
          <w:rFonts w:ascii="Calibri" w:hAnsi="Calibri"/>
        </w:rPr>
        <w:t xml:space="preserve">Sources: </w:t>
      </w:r>
    </w:p>
    <w:p w14:paraId="42F12383" w14:textId="04854AE9" w:rsidR="00F25AEE" w:rsidRPr="008871DB" w:rsidRDefault="00EB7B1A" w:rsidP="008871DB">
      <w:pPr>
        <w:pStyle w:val="ListParagraph"/>
        <w:numPr>
          <w:ilvl w:val="0"/>
          <w:numId w:val="5"/>
        </w:numPr>
        <w:rPr>
          <w:rFonts w:ascii="Calibri" w:hAnsi="Calibri"/>
        </w:rPr>
      </w:pPr>
      <w:r w:rsidRPr="008871DB">
        <w:rPr>
          <w:rFonts w:ascii="Calibri" w:hAnsi="Calibri"/>
        </w:rPr>
        <w:t>Departm</w:t>
      </w:r>
      <w:r w:rsidR="00C91A4E">
        <w:rPr>
          <w:rFonts w:ascii="Calibri" w:hAnsi="Calibri"/>
        </w:rPr>
        <w:t xml:space="preserve">ent of Planning and Development, </w:t>
      </w:r>
      <w:r w:rsidRPr="008871DB">
        <w:rPr>
          <w:rFonts w:ascii="Calibri" w:hAnsi="Calibri"/>
        </w:rPr>
        <w:t>3</w:t>
      </w:r>
      <w:r w:rsidRPr="008871DB">
        <w:rPr>
          <w:rFonts w:ascii="Calibri" w:hAnsi="Calibri"/>
          <w:vertAlign w:val="superscript"/>
        </w:rPr>
        <w:t>rd</w:t>
      </w:r>
      <w:r w:rsidRPr="008871DB">
        <w:rPr>
          <w:rFonts w:ascii="Calibri" w:hAnsi="Calibri"/>
        </w:rPr>
        <w:t xml:space="preserve"> Quarter TDR Report </w:t>
      </w:r>
    </w:p>
    <w:p w14:paraId="3AD3F19A" w14:textId="27FC998A" w:rsidR="00FD1C28" w:rsidRPr="008871DB" w:rsidRDefault="00C52780" w:rsidP="008871DB">
      <w:pPr>
        <w:pStyle w:val="ListParagraph"/>
        <w:numPr>
          <w:ilvl w:val="0"/>
          <w:numId w:val="5"/>
        </w:numPr>
        <w:rPr>
          <w:rFonts w:ascii="Calibri" w:hAnsi="Calibri"/>
        </w:rPr>
      </w:pPr>
      <w:hyperlink r:id="rId9" w:history="1">
        <w:r w:rsidR="00FD1C28" w:rsidRPr="008871DB">
          <w:rPr>
            <w:rStyle w:val="Hyperlink"/>
            <w:rFonts w:ascii="Calibri" w:hAnsi="Calibri"/>
          </w:rPr>
          <w:t>http://www.seattle.gov/housing/incentives/TDRbonus.htm</w:t>
        </w:r>
      </w:hyperlink>
    </w:p>
    <w:p w14:paraId="6ACE00F1" w14:textId="67182A80" w:rsidR="00FD1C28" w:rsidRDefault="00C52780" w:rsidP="008871DB">
      <w:pPr>
        <w:pStyle w:val="ListParagraph"/>
        <w:numPr>
          <w:ilvl w:val="0"/>
          <w:numId w:val="5"/>
        </w:numPr>
        <w:rPr>
          <w:rFonts w:ascii="Calibri" w:hAnsi="Calibri"/>
        </w:rPr>
      </w:pPr>
      <w:hyperlink r:id="rId10" w:history="1">
        <w:r w:rsidR="00EB7B1A" w:rsidRPr="008871DB">
          <w:rPr>
            <w:rStyle w:val="Hyperlink"/>
            <w:rFonts w:ascii="Calibri" w:hAnsi="Calibri"/>
          </w:rPr>
          <w:t>http://www.seattle.gov/neighborhoods/preservation/documents/brochure_incentives.pdf</w:t>
        </w:r>
      </w:hyperlink>
      <w:r w:rsidR="00EB7B1A" w:rsidRPr="008871DB">
        <w:rPr>
          <w:rFonts w:ascii="Calibri" w:hAnsi="Calibri"/>
        </w:rPr>
        <w:t xml:space="preserve"> </w:t>
      </w:r>
    </w:p>
    <w:p w14:paraId="6E3174F2" w14:textId="27900A14" w:rsidR="00AF297A" w:rsidRDefault="00C52780" w:rsidP="00AF297A">
      <w:pPr>
        <w:pStyle w:val="ListParagraph"/>
        <w:numPr>
          <w:ilvl w:val="0"/>
          <w:numId w:val="5"/>
        </w:numPr>
        <w:rPr>
          <w:rFonts w:ascii="Calibri" w:hAnsi="Calibri"/>
        </w:rPr>
      </w:pPr>
      <w:hyperlink r:id="rId11" w:history="1">
        <w:r w:rsidR="00AF297A" w:rsidRPr="000C4435">
          <w:rPr>
            <w:rStyle w:val="Hyperlink"/>
            <w:rFonts w:ascii="Calibri" w:hAnsi="Calibri"/>
          </w:rPr>
          <w:t>http://www.seattle.gov/dPd/cs/groups/pan/@pan/documents/web_informational/s048509.pdf</w:t>
        </w:r>
      </w:hyperlink>
    </w:p>
    <w:p w14:paraId="6C241430" w14:textId="6E13BD4B" w:rsidR="001615E1" w:rsidRDefault="00C52780" w:rsidP="001615E1">
      <w:pPr>
        <w:pStyle w:val="ListParagraph"/>
        <w:numPr>
          <w:ilvl w:val="0"/>
          <w:numId w:val="5"/>
        </w:numPr>
        <w:rPr>
          <w:rFonts w:ascii="Calibri" w:hAnsi="Calibri"/>
        </w:rPr>
      </w:pPr>
      <w:hyperlink r:id="rId12" w:history="1">
        <w:r w:rsidR="001615E1" w:rsidRPr="000C4435">
          <w:rPr>
            <w:rStyle w:val="Hyperlink"/>
            <w:rFonts w:ascii="Calibri" w:hAnsi="Calibri"/>
          </w:rPr>
          <w:t>http://www.seattle.gov/dpd/vault/cs/groups/pan/@pan/documents/web_informational/s048352.pdf</w:t>
        </w:r>
      </w:hyperlink>
    </w:p>
    <w:p w14:paraId="5D3E77C7" w14:textId="77777777" w:rsidR="001615E1" w:rsidRDefault="001615E1" w:rsidP="001615E1">
      <w:pPr>
        <w:pStyle w:val="ListParagraph"/>
        <w:rPr>
          <w:rFonts w:ascii="Calibri" w:hAnsi="Calibri"/>
        </w:rPr>
      </w:pPr>
    </w:p>
    <w:p w14:paraId="08ADDF21" w14:textId="77777777" w:rsidR="004579CA" w:rsidRDefault="004579CA" w:rsidP="00BD7AC5">
      <w:pPr>
        <w:rPr>
          <w:rFonts w:ascii="Calibri" w:hAnsi="Calibri"/>
          <w:b/>
        </w:rPr>
      </w:pPr>
    </w:p>
    <w:p w14:paraId="793092B8" w14:textId="08E629BC" w:rsidR="008F765B" w:rsidRPr="00C91A4E" w:rsidRDefault="009B157A" w:rsidP="008F765B">
      <w:pPr>
        <w:rPr>
          <w:rFonts w:ascii="Calibri" w:hAnsi="Calibri"/>
          <w:b/>
          <w:sz w:val="28"/>
          <w:szCs w:val="28"/>
        </w:rPr>
      </w:pPr>
      <w:r w:rsidRPr="00C91A4E">
        <w:rPr>
          <w:rFonts w:ascii="Calibri" w:hAnsi="Calibri"/>
          <w:b/>
          <w:sz w:val="28"/>
          <w:szCs w:val="28"/>
        </w:rPr>
        <w:t xml:space="preserve">Zoning, </w:t>
      </w:r>
      <w:r w:rsidR="008F765B" w:rsidRPr="00C91A4E">
        <w:rPr>
          <w:rFonts w:ascii="Calibri" w:hAnsi="Calibri"/>
          <w:b/>
          <w:sz w:val="28"/>
          <w:szCs w:val="28"/>
        </w:rPr>
        <w:t>Building and Energy Code</w:t>
      </w:r>
      <w:r w:rsidR="00C91A4E">
        <w:rPr>
          <w:rFonts w:ascii="Calibri" w:hAnsi="Calibri"/>
          <w:b/>
          <w:sz w:val="28"/>
          <w:szCs w:val="28"/>
        </w:rPr>
        <w:t>s</w:t>
      </w:r>
      <w:r w:rsidR="008F765B" w:rsidRPr="00C91A4E">
        <w:rPr>
          <w:rFonts w:ascii="Calibri" w:hAnsi="Calibri"/>
          <w:b/>
          <w:sz w:val="28"/>
          <w:szCs w:val="28"/>
        </w:rPr>
        <w:t xml:space="preserve"> </w:t>
      </w:r>
      <w:r w:rsidRPr="00C91A4E">
        <w:rPr>
          <w:rFonts w:ascii="Calibri" w:hAnsi="Calibri"/>
          <w:b/>
          <w:sz w:val="28"/>
          <w:szCs w:val="28"/>
        </w:rPr>
        <w:t xml:space="preserve">Relief </w:t>
      </w:r>
      <w:r w:rsidR="008F765B" w:rsidRPr="00C91A4E">
        <w:rPr>
          <w:rFonts w:ascii="Calibri" w:hAnsi="Calibri"/>
          <w:b/>
          <w:sz w:val="28"/>
          <w:szCs w:val="28"/>
        </w:rPr>
        <w:t>for Historic Landmarks</w:t>
      </w:r>
    </w:p>
    <w:p w14:paraId="43363961" w14:textId="77777777" w:rsidR="009B157A" w:rsidRDefault="009B157A" w:rsidP="008F765B">
      <w:pPr>
        <w:rPr>
          <w:rFonts w:ascii="Calibri" w:hAnsi="Calibri"/>
          <w:b/>
        </w:rPr>
      </w:pPr>
    </w:p>
    <w:p w14:paraId="000DC136" w14:textId="77777777" w:rsidR="009B157A" w:rsidRDefault="009B157A" w:rsidP="009B157A">
      <w:pPr>
        <w:rPr>
          <w:rFonts w:ascii="Calibri" w:hAnsi="Calibri"/>
        </w:rPr>
      </w:pPr>
      <w:r>
        <w:rPr>
          <w:rFonts w:ascii="Calibri" w:hAnsi="Calibri"/>
        </w:rPr>
        <w:t>Jurisdiction</w:t>
      </w:r>
      <w:r w:rsidRPr="00A427C1">
        <w:rPr>
          <w:rFonts w:ascii="Calibri" w:hAnsi="Calibri"/>
        </w:rPr>
        <w:t xml:space="preserve">: </w:t>
      </w:r>
      <w:r>
        <w:rPr>
          <w:rFonts w:ascii="Calibri" w:hAnsi="Calibri"/>
        </w:rPr>
        <w:t xml:space="preserve">City of Seattle </w:t>
      </w:r>
    </w:p>
    <w:p w14:paraId="657CCE93" w14:textId="77777777" w:rsidR="009B157A" w:rsidRDefault="009B157A" w:rsidP="008F765B">
      <w:pPr>
        <w:rPr>
          <w:rFonts w:ascii="Calibri" w:hAnsi="Calibri"/>
          <w:b/>
        </w:rPr>
      </w:pPr>
    </w:p>
    <w:p w14:paraId="06086048" w14:textId="6BB33106" w:rsidR="008F765B" w:rsidRDefault="009B157A" w:rsidP="00BD7AC5">
      <w:pPr>
        <w:rPr>
          <w:rFonts w:ascii="Calibri" w:hAnsi="Calibri"/>
        </w:rPr>
      </w:pPr>
      <w:r>
        <w:rPr>
          <w:rFonts w:ascii="Calibri" w:hAnsi="Calibri"/>
        </w:rPr>
        <w:t xml:space="preserve">For a </w:t>
      </w:r>
      <w:r w:rsidR="000143CB">
        <w:rPr>
          <w:rFonts w:ascii="Calibri" w:hAnsi="Calibri"/>
        </w:rPr>
        <w:t>locally (</w:t>
      </w:r>
      <w:r w:rsidR="000143CB" w:rsidRPr="000143CB">
        <w:rPr>
          <w:rFonts w:ascii="Calibri" w:hAnsi="Calibri"/>
          <w:i/>
        </w:rPr>
        <w:t>and National Register</w:t>
      </w:r>
      <w:r w:rsidR="000143CB">
        <w:rPr>
          <w:rFonts w:ascii="Calibri" w:hAnsi="Calibri"/>
        </w:rPr>
        <w:t xml:space="preserve">?) </w:t>
      </w:r>
      <w:r>
        <w:rPr>
          <w:rFonts w:ascii="Calibri" w:hAnsi="Calibri"/>
        </w:rPr>
        <w:t xml:space="preserve">designated landmark, The Director of the Department of Planning and Development (DPD) has the discretion to permit nonconforming uses in a land use zone, and waive or modify development standards such as setbacks, </w:t>
      </w:r>
      <w:r w:rsidR="00EC2548">
        <w:rPr>
          <w:rFonts w:ascii="Calibri" w:hAnsi="Calibri"/>
        </w:rPr>
        <w:t xml:space="preserve">parking, </w:t>
      </w:r>
      <w:r>
        <w:rPr>
          <w:rFonts w:ascii="Calibri" w:hAnsi="Calibri"/>
        </w:rPr>
        <w:t>open space and other requirements. The DPD Director may also waive or modify building and energy code requirements for landmark structures as long as a reasonable degree of safety to occupants and public is maintained.</w:t>
      </w:r>
      <w:r w:rsidR="00EC2548">
        <w:rPr>
          <w:rFonts w:ascii="Calibri" w:hAnsi="Calibri"/>
        </w:rPr>
        <w:t xml:space="preserve"> Waivers are considered through the application process, subject to approval by the city Landmarks Board or Director of the Department of Neighborhoods.</w:t>
      </w:r>
    </w:p>
    <w:p w14:paraId="4433F946" w14:textId="77777777" w:rsidR="009B157A" w:rsidRDefault="009B157A" w:rsidP="00BD7AC5">
      <w:pPr>
        <w:rPr>
          <w:rFonts w:ascii="Calibri" w:hAnsi="Calibri"/>
          <w:b/>
        </w:rPr>
      </w:pPr>
    </w:p>
    <w:p w14:paraId="0A6253AC" w14:textId="328AFDED" w:rsidR="008F765B" w:rsidRDefault="00CA36D1" w:rsidP="00BD7AC5">
      <w:pPr>
        <w:rPr>
          <w:rFonts w:ascii="Calibri" w:hAnsi="Calibri"/>
          <w:b/>
        </w:rPr>
      </w:pPr>
      <w:r>
        <w:rPr>
          <w:rFonts w:ascii="Calibri" w:hAnsi="Calibri"/>
          <w:b/>
        </w:rPr>
        <w:t>Analysis</w:t>
      </w:r>
    </w:p>
    <w:p w14:paraId="2117E033" w14:textId="44DD6A65" w:rsidR="00CA36D1" w:rsidRDefault="00CA36D1" w:rsidP="00BD7AC5">
      <w:pPr>
        <w:rPr>
          <w:rFonts w:ascii="Calibri" w:hAnsi="Calibri"/>
        </w:rPr>
      </w:pPr>
      <w:r>
        <w:rPr>
          <w:rFonts w:ascii="Calibri" w:hAnsi="Calibri"/>
        </w:rPr>
        <w:t>Data is not available for individual landmark structures to determine the value of financial incentives of code departures.</w:t>
      </w:r>
      <w:r w:rsidRPr="00CA36D1">
        <w:rPr>
          <w:rFonts w:ascii="Calibri" w:hAnsi="Calibri"/>
        </w:rPr>
        <w:t xml:space="preserve"> </w:t>
      </w:r>
      <w:r>
        <w:rPr>
          <w:rFonts w:ascii="Calibri" w:hAnsi="Calibri"/>
        </w:rPr>
        <w:t xml:space="preserve">As building codes </w:t>
      </w:r>
      <w:r w:rsidR="0046539A">
        <w:rPr>
          <w:rFonts w:ascii="Calibri" w:hAnsi="Calibri"/>
        </w:rPr>
        <w:t xml:space="preserve">change over time and were non-existent for some very old structures, codes </w:t>
      </w:r>
      <w:r>
        <w:rPr>
          <w:rFonts w:ascii="Calibri" w:hAnsi="Calibri"/>
        </w:rPr>
        <w:t>can often run in conflict with preservation standards</w:t>
      </w:r>
      <w:r w:rsidR="0046539A">
        <w:rPr>
          <w:rFonts w:ascii="Calibri" w:hAnsi="Calibri"/>
        </w:rPr>
        <w:t xml:space="preserve">. Granting of code departures can be a meaningful way </w:t>
      </w:r>
      <w:r w:rsidR="009B157A">
        <w:rPr>
          <w:rFonts w:ascii="Calibri" w:hAnsi="Calibri"/>
        </w:rPr>
        <w:t>to modify stringent requirements and to</w:t>
      </w:r>
      <w:r w:rsidR="0046539A">
        <w:rPr>
          <w:rFonts w:ascii="Calibri" w:hAnsi="Calibri"/>
        </w:rPr>
        <w:t xml:space="preserve"> </w:t>
      </w:r>
      <w:r w:rsidR="001F28A5">
        <w:rPr>
          <w:rFonts w:ascii="Calibri" w:hAnsi="Calibri"/>
        </w:rPr>
        <w:t xml:space="preserve">reconcile </w:t>
      </w:r>
      <w:r w:rsidR="001F28A5">
        <w:rPr>
          <w:rFonts w:ascii="Calibri" w:hAnsi="Calibri"/>
        </w:rPr>
        <w:lastRenderedPageBreak/>
        <w:t>the</w:t>
      </w:r>
      <w:r w:rsidR="0046539A">
        <w:rPr>
          <w:rFonts w:ascii="Calibri" w:hAnsi="Calibri"/>
        </w:rPr>
        <w:t xml:space="preserve"> </w:t>
      </w:r>
      <w:r w:rsidR="009B157A">
        <w:rPr>
          <w:rFonts w:ascii="Calibri" w:hAnsi="Calibri"/>
        </w:rPr>
        <w:t xml:space="preserve">goal of </w:t>
      </w:r>
      <w:r w:rsidR="0046539A">
        <w:rPr>
          <w:rFonts w:ascii="Calibri" w:hAnsi="Calibri"/>
        </w:rPr>
        <w:t>maintain</w:t>
      </w:r>
      <w:r w:rsidR="009B157A">
        <w:rPr>
          <w:rFonts w:ascii="Calibri" w:hAnsi="Calibri"/>
        </w:rPr>
        <w:t>ing</w:t>
      </w:r>
      <w:r w:rsidR="0046539A">
        <w:rPr>
          <w:rFonts w:ascii="Calibri" w:hAnsi="Calibri"/>
        </w:rPr>
        <w:t xml:space="preserve"> preservation standards for rehabilitation of historic buildings, while addressing issues of health, safety, and welfare. </w:t>
      </w:r>
    </w:p>
    <w:p w14:paraId="00DBC646" w14:textId="77777777" w:rsidR="00C91A4E" w:rsidRDefault="00C91A4E" w:rsidP="00BD7AC5">
      <w:pPr>
        <w:rPr>
          <w:rFonts w:ascii="Calibri" w:hAnsi="Calibri"/>
        </w:rPr>
      </w:pPr>
    </w:p>
    <w:p w14:paraId="29FED27C" w14:textId="6502910D" w:rsidR="009B157A" w:rsidRDefault="009B157A" w:rsidP="00BD7AC5">
      <w:pPr>
        <w:rPr>
          <w:rFonts w:ascii="Calibri" w:hAnsi="Calibri"/>
        </w:rPr>
      </w:pPr>
      <w:r>
        <w:rPr>
          <w:rFonts w:ascii="Calibri" w:hAnsi="Calibri"/>
        </w:rPr>
        <w:t xml:space="preserve">Sources: </w:t>
      </w:r>
    </w:p>
    <w:p w14:paraId="2E839FA0" w14:textId="57DECE22" w:rsidR="009B157A" w:rsidRPr="00CA36D1" w:rsidRDefault="00EC2548" w:rsidP="00BD7AC5">
      <w:pPr>
        <w:rPr>
          <w:rFonts w:ascii="Calibri" w:hAnsi="Calibri"/>
        </w:rPr>
      </w:pPr>
      <w:r>
        <w:rPr>
          <w:rFonts w:ascii="Calibri" w:hAnsi="Calibri"/>
        </w:rPr>
        <w:t>Seattle Municipal Code Sections 23.44.026, 23.45.124, 23.47.004, 23.47.027, 23.54.020.</w:t>
      </w:r>
    </w:p>
    <w:p w14:paraId="3382E5D2" w14:textId="77777777" w:rsidR="00CA36D1" w:rsidRDefault="00CA36D1" w:rsidP="00BD7AC5">
      <w:pPr>
        <w:rPr>
          <w:rFonts w:ascii="Calibri" w:hAnsi="Calibri"/>
          <w:b/>
        </w:rPr>
      </w:pPr>
    </w:p>
    <w:p w14:paraId="02D82BDE" w14:textId="651DDAC7" w:rsidR="00FD1C28" w:rsidRPr="00C91A4E" w:rsidRDefault="00DF4BED" w:rsidP="00BD7AC5">
      <w:pPr>
        <w:rPr>
          <w:rFonts w:ascii="Calibri" w:hAnsi="Calibri"/>
          <w:b/>
          <w:sz w:val="28"/>
          <w:szCs w:val="28"/>
        </w:rPr>
      </w:pPr>
      <w:r w:rsidRPr="00C91A4E">
        <w:rPr>
          <w:rFonts w:ascii="Calibri" w:hAnsi="Calibri"/>
          <w:b/>
          <w:sz w:val="28"/>
          <w:szCs w:val="28"/>
        </w:rPr>
        <w:t xml:space="preserve">Special </w:t>
      </w:r>
      <w:r w:rsidR="00EE24FA" w:rsidRPr="00C91A4E">
        <w:rPr>
          <w:rFonts w:ascii="Calibri" w:hAnsi="Calibri"/>
          <w:b/>
          <w:sz w:val="28"/>
          <w:szCs w:val="28"/>
        </w:rPr>
        <w:t xml:space="preserve">Property </w:t>
      </w:r>
      <w:r w:rsidRPr="00C91A4E">
        <w:rPr>
          <w:rFonts w:ascii="Calibri" w:hAnsi="Calibri"/>
          <w:b/>
          <w:sz w:val="28"/>
          <w:szCs w:val="28"/>
        </w:rPr>
        <w:t>Tax Val</w:t>
      </w:r>
      <w:r w:rsidR="00EE24FA" w:rsidRPr="00C91A4E">
        <w:rPr>
          <w:rFonts w:ascii="Calibri" w:hAnsi="Calibri"/>
          <w:b/>
          <w:sz w:val="28"/>
          <w:szCs w:val="28"/>
        </w:rPr>
        <w:t xml:space="preserve">uation for </w:t>
      </w:r>
      <w:r w:rsidRPr="00C91A4E">
        <w:rPr>
          <w:rFonts w:ascii="Calibri" w:hAnsi="Calibri"/>
          <w:b/>
          <w:sz w:val="28"/>
          <w:szCs w:val="28"/>
        </w:rPr>
        <w:t>Historic Properties</w:t>
      </w:r>
    </w:p>
    <w:p w14:paraId="0F5FC9FE" w14:textId="77777777" w:rsidR="00DF4BED" w:rsidRPr="00A427C1" w:rsidRDefault="00DF4BED" w:rsidP="00BD7AC5">
      <w:pPr>
        <w:rPr>
          <w:rFonts w:ascii="Calibri" w:hAnsi="Calibri"/>
          <w:b/>
        </w:rPr>
      </w:pPr>
    </w:p>
    <w:p w14:paraId="3DB2BB65" w14:textId="43DE8702" w:rsidR="00DF4BED" w:rsidRPr="00A427C1" w:rsidRDefault="00400DD1" w:rsidP="00DF4BED">
      <w:pPr>
        <w:rPr>
          <w:rFonts w:ascii="Calibri" w:hAnsi="Calibri"/>
        </w:rPr>
      </w:pPr>
      <w:r>
        <w:rPr>
          <w:rFonts w:ascii="Calibri" w:hAnsi="Calibri"/>
        </w:rPr>
        <w:t>Jurisdiction</w:t>
      </w:r>
      <w:r w:rsidR="00DF4BED" w:rsidRPr="00A427C1">
        <w:rPr>
          <w:rFonts w:ascii="Calibri" w:hAnsi="Calibri"/>
        </w:rPr>
        <w:t xml:space="preserve">: </w:t>
      </w:r>
      <w:r w:rsidR="00CD387E">
        <w:rPr>
          <w:rFonts w:ascii="Calibri" w:hAnsi="Calibri"/>
        </w:rPr>
        <w:t>Washington State</w:t>
      </w:r>
    </w:p>
    <w:p w14:paraId="0CCBD8A7" w14:textId="77777777" w:rsidR="00DF4BED" w:rsidRPr="00A427C1" w:rsidRDefault="00DF4BED" w:rsidP="00DF4BED">
      <w:pPr>
        <w:rPr>
          <w:rFonts w:ascii="Calibri" w:hAnsi="Calibri"/>
        </w:rPr>
      </w:pPr>
    </w:p>
    <w:p w14:paraId="034332AC" w14:textId="5B49042A" w:rsidR="00DF4BED" w:rsidRPr="00A427C1" w:rsidRDefault="00DF4BED" w:rsidP="00DF4BED">
      <w:pPr>
        <w:rPr>
          <w:rFonts w:ascii="Calibri" w:hAnsi="Calibri"/>
        </w:rPr>
      </w:pPr>
      <w:r w:rsidRPr="00A427C1">
        <w:rPr>
          <w:rFonts w:ascii="Calibri" w:hAnsi="Calibri"/>
        </w:rPr>
        <w:t>Responsible Agency: Seattle L</w:t>
      </w:r>
      <w:r w:rsidR="00CD387E">
        <w:rPr>
          <w:rFonts w:ascii="Calibri" w:hAnsi="Calibri"/>
        </w:rPr>
        <w:t>andmarks Preservation Board (Local Review Board)</w:t>
      </w:r>
    </w:p>
    <w:p w14:paraId="43FBA635" w14:textId="77777777" w:rsidR="00DF4BED" w:rsidRDefault="00DF4BED" w:rsidP="00DF4BED">
      <w:pPr>
        <w:rPr>
          <w:rFonts w:ascii="Calibri" w:hAnsi="Calibri"/>
        </w:rPr>
      </w:pPr>
    </w:p>
    <w:p w14:paraId="1279B9C4" w14:textId="4C5A58E5" w:rsidR="009378BA" w:rsidRPr="00A427C1" w:rsidRDefault="009378BA" w:rsidP="009378BA">
      <w:pPr>
        <w:rPr>
          <w:rFonts w:ascii="Calibri" w:hAnsi="Calibri"/>
        </w:rPr>
      </w:pPr>
      <w:r w:rsidRPr="00A427C1">
        <w:rPr>
          <w:rFonts w:ascii="Calibri" w:hAnsi="Calibri"/>
        </w:rPr>
        <w:t>Eligible Properties of Interest:</w:t>
      </w:r>
      <w:r w:rsidR="00250A70">
        <w:rPr>
          <w:rFonts w:ascii="Calibri" w:hAnsi="Calibri"/>
        </w:rPr>
        <w:t xml:space="preserve"> Locally designated l</w:t>
      </w:r>
      <w:r w:rsidRPr="00A427C1">
        <w:rPr>
          <w:rFonts w:ascii="Calibri" w:hAnsi="Calibri"/>
        </w:rPr>
        <w:t>andmark buildings that have undergone an approved rehabilitation project within the last two years of the date of application. Rehabilitation costs must equal or exceed 25% of the assessed improvement value</w:t>
      </w:r>
      <w:r w:rsidR="000F0D49">
        <w:rPr>
          <w:rFonts w:ascii="Calibri" w:hAnsi="Calibri"/>
        </w:rPr>
        <w:t xml:space="preserve"> (RCW 84.26)</w:t>
      </w:r>
      <w:r w:rsidRPr="00A427C1">
        <w:rPr>
          <w:rFonts w:ascii="Calibri" w:hAnsi="Calibri"/>
        </w:rPr>
        <w:t xml:space="preserve"> </w:t>
      </w:r>
    </w:p>
    <w:p w14:paraId="5E2D7F4E" w14:textId="77777777" w:rsidR="009378BA" w:rsidRPr="00A427C1" w:rsidRDefault="009378BA" w:rsidP="00DF4BED">
      <w:pPr>
        <w:rPr>
          <w:rFonts w:ascii="Calibri" w:hAnsi="Calibri"/>
        </w:rPr>
      </w:pPr>
    </w:p>
    <w:p w14:paraId="3371DA21" w14:textId="66E7FF1E" w:rsidR="00135B1C" w:rsidRDefault="00DF4BED" w:rsidP="0042116B">
      <w:pPr>
        <w:rPr>
          <w:rFonts w:ascii="Calibri" w:hAnsi="Calibri"/>
        </w:rPr>
      </w:pPr>
      <w:r w:rsidRPr="00A427C1">
        <w:rPr>
          <w:rFonts w:ascii="Calibri" w:hAnsi="Calibri"/>
        </w:rPr>
        <w:t xml:space="preserve">Description: </w:t>
      </w:r>
      <w:r w:rsidR="00E6761B" w:rsidRPr="00A427C1">
        <w:rPr>
          <w:rFonts w:ascii="Calibri" w:hAnsi="Calibri"/>
        </w:rPr>
        <w:t>Th</w:t>
      </w:r>
      <w:r w:rsidR="003137CA" w:rsidRPr="00A427C1">
        <w:rPr>
          <w:rFonts w:ascii="Calibri" w:hAnsi="Calibri"/>
        </w:rPr>
        <w:t xml:space="preserve">e Special Tax Valuation </w:t>
      </w:r>
      <w:r w:rsidR="00C6168F" w:rsidRPr="00A427C1">
        <w:rPr>
          <w:rFonts w:ascii="Calibri" w:hAnsi="Calibri"/>
        </w:rPr>
        <w:t xml:space="preserve">(STV) </w:t>
      </w:r>
      <w:r w:rsidR="003137CA" w:rsidRPr="00A427C1">
        <w:rPr>
          <w:rFonts w:ascii="Calibri" w:hAnsi="Calibri"/>
        </w:rPr>
        <w:t xml:space="preserve">program </w:t>
      </w:r>
      <w:r w:rsidR="00135B1C">
        <w:rPr>
          <w:rFonts w:ascii="Calibri" w:hAnsi="Calibri"/>
        </w:rPr>
        <w:t>provides property tax reductions to</w:t>
      </w:r>
      <w:r w:rsidR="003137CA" w:rsidRPr="00A427C1">
        <w:rPr>
          <w:rFonts w:ascii="Calibri" w:hAnsi="Calibri"/>
        </w:rPr>
        <w:t xml:space="preserve"> </w:t>
      </w:r>
      <w:r w:rsidR="00135B1C">
        <w:rPr>
          <w:rFonts w:ascii="Calibri" w:hAnsi="Calibri"/>
        </w:rPr>
        <w:t xml:space="preserve">eligible </w:t>
      </w:r>
      <w:r w:rsidR="003137CA" w:rsidRPr="00A427C1">
        <w:rPr>
          <w:rFonts w:ascii="Calibri" w:hAnsi="Calibri"/>
        </w:rPr>
        <w:t xml:space="preserve">rehabilitated </w:t>
      </w:r>
      <w:r w:rsidR="009C3353" w:rsidRPr="00A427C1">
        <w:rPr>
          <w:rFonts w:ascii="Calibri" w:hAnsi="Calibri"/>
        </w:rPr>
        <w:t>buildings of historical significance</w:t>
      </w:r>
      <w:r w:rsidR="00135B1C">
        <w:rPr>
          <w:rFonts w:ascii="Calibri" w:hAnsi="Calibri"/>
        </w:rPr>
        <w:t>. The STV program reassesses the value of an eligible rehabilitated landmark property by subtracting for up to 10 years, qualified rehabilitation costs. Property taxes owed during the 10 year special valua</w:t>
      </w:r>
      <w:r w:rsidR="006666AF">
        <w:rPr>
          <w:rFonts w:ascii="Calibri" w:hAnsi="Calibri"/>
        </w:rPr>
        <w:t>tion period do</w:t>
      </w:r>
      <w:r w:rsidR="00784B21">
        <w:rPr>
          <w:rFonts w:ascii="Calibri" w:hAnsi="Calibri"/>
        </w:rPr>
        <w:t xml:space="preserve"> not reflect</w:t>
      </w:r>
      <w:r w:rsidR="00135B1C">
        <w:rPr>
          <w:rFonts w:ascii="Calibri" w:hAnsi="Calibri"/>
        </w:rPr>
        <w:t xml:space="preserve"> improvements made as a result of rehabilitation. </w:t>
      </w:r>
    </w:p>
    <w:p w14:paraId="3B191C6C" w14:textId="77777777" w:rsidR="00135B1C" w:rsidRDefault="00135B1C" w:rsidP="0042116B">
      <w:pPr>
        <w:rPr>
          <w:rFonts w:ascii="Calibri" w:hAnsi="Calibri"/>
        </w:rPr>
      </w:pPr>
    </w:p>
    <w:p w14:paraId="3431F57C" w14:textId="0979656E" w:rsidR="001D4816" w:rsidRPr="00A427C1" w:rsidRDefault="00784B21" w:rsidP="0042116B">
      <w:pPr>
        <w:rPr>
          <w:rFonts w:ascii="Calibri" w:hAnsi="Calibri"/>
        </w:rPr>
      </w:pPr>
      <w:r>
        <w:rPr>
          <w:rFonts w:ascii="Calibri" w:hAnsi="Calibri"/>
        </w:rPr>
        <w:t xml:space="preserve">The STV is a </w:t>
      </w:r>
      <w:r w:rsidR="007C4A4C">
        <w:rPr>
          <w:rFonts w:ascii="Calibri" w:hAnsi="Calibri"/>
        </w:rPr>
        <w:t>statewide</w:t>
      </w:r>
      <w:r>
        <w:rPr>
          <w:rFonts w:ascii="Calibri" w:hAnsi="Calibri"/>
        </w:rPr>
        <w:t xml:space="preserve"> program that requires designation of </w:t>
      </w:r>
      <w:r w:rsidRPr="00A427C1">
        <w:rPr>
          <w:rFonts w:ascii="Calibri" w:hAnsi="Calibri"/>
        </w:rPr>
        <w:t>a local review board</w:t>
      </w:r>
      <w:r w:rsidR="00205603">
        <w:rPr>
          <w:rFonts w:ascii="Calibri" w:hAnsi="Calibri"/>
        </w:rPr>
        <w:t xml:space="preserve"> to administer the STV program</w:t>
      </w:r>
      <w:r w:rsidRPr="00A427C1">
        <w:rPr>
          <w:rFonts w:ascii="Calibri" w:hAnsi="Calibri"/>
        </w:rPr>
        <w:t>.</w:t>
      </w:r>
      <w:r w:rsidR="000F0D49">
        <w:rPr>
          <w:rFonts w:ascii="Calibri" w:hAnsi="Calibri"/>
        </w:rPr>
        <w:t xml:space="preserve"> </w:t>
      </w:r>
      <w:r w:rsidR="00FB3DCE">
        <w:rPr>
          <w:rFonts w:ascii="Calibri" w:hAnsi="Calibri"/>
        </w:rPr>
        <w:t xml:space="preserve">Chapter 84.26 RCW outlines the qualifications for a historic property </w:t>
      </w:r>
      <w:r w:rsidR="00624A21">
        <w:rPr>
          <w:rFonts w:ascii="Calibri" w:hAnsi="Calibri"/>
        </w:rPr>
        <w:t>and rehabilitation project eligible for</w:t>
      </w:r>
      <w:r w:rsidR="00FB3DCE">
        <w:rPr>
          <w:rFonts w:ascii="Calibri" w:hAnsi="Calibri"/>
        </w:rPr>
        <w:t xml:space="preserve"> STV. </w:t>
      </w:r>
      <w:r w:rsidR="005F473B">
        <w:rPr>
          <w:rFonts w:ascii="Calibri" w:hAnsi="Calibri"/>
        </w:rPr>
        <w:t xml:space="preserve"> </w:t>
      </w:r>
      <w:r w:rsidR="002A4705">
        <w:rPr>
          <w:rFonts w:ascii="Calibri" w:hAnsi="Calibri"/>
        </w:rPr>
        <w:t xml:space="preserve">Eligible costs for STV are based on the IRS definition of </w:t>
      </w:r>
      <w:r w:rsidR="0042116B" w:rsidRPr="002A4705">
        <w:rPr>
          <w:rFonts w:ascii="Calibri" w:hAnsi="Calibri"/>
        </w:rPr>
        <w:t>“Qualified Rehabilitation Expenditures</w:t>
      </w:r>
      <w:r w:rsidR="002A4705" w:rsidRPr="002A4705">
        <w:rPr>
          <w:rFonts w:ascii="Calibri" w:hAnsi="Calibri"/>
        </w:rPr>
        <w:t>.</w:t>
      </w:r>
      <w:r w:rsidR="0042116B" w:rsidRPr="002A4705">
        <w:rPr>
          <w:rFonts w:ascii="Calibri" w:hAnsi="Calibri"/>
        </w:rPr>
        <w:t>”</w:t>
      </w:r>
      <w:r w:rsidR="002A4705" w:rsidRPr="002A4705">
        <w:rPr>
          <w:rFonts w:ascii="Calibri" w:hAnsi="Calibri"/>
        </w:rPr>
        <w:t xml:space="preserve"> Qualified Rehabilitation Expenditures</w:t>
      </w:r>
      <w:r w:rsidR="000F0D49">
        <w:rPr>
          <w:rFonts w:ascii="Calibri" w:hAnsi="Calibri"/>
        </w:rPr>
        <w:t xml:space="preserve"> are any costs accrued during the rehabilitation process. Not included are any additions to the existing perimeter of the building, or the cost of acquiring the property. </w:t>
      </w:r>
      <w:r w:rsidR="001D4816">
        <w:rPr>
          <w:rFonts w:ascii="Calibri" w:hAnsi="Calibri"/>
        </w:rPr>
        <w:t>Qualified Rehabilitation Expenditures (QREs) include direct construction costs, architectural and engineering fees, construction permits and other code-related expenses, development management fees, construction load interest and fee, utilities, taxes, and insurance for the construction period, and state sales tax</w:t>
      </w:r>
      <w:r w:rsidR="007B6300">
        <w:rPr>
          <w:rFonts w:ascii="Calibri" w:hAnsi="Calibri"/>
        </w:rPr>
        <w:t xml:space="preserve"> (King County Technical Paper No.17)</w:t>
      </w:r>
      <w:r w:rsidR="001D4816">
        <w:rPr>
          <w:rFonts w:ascii="Calibri" w:hAnsi="Calibri"/>
        </w:rPr>
        <w:t xml:space="preserve">. </w:t>
      </w:r>
    </w:p>
    <w:p w14:paraId="6C214747" w14:textId="3A8601F5" w:rsidR="00655BE7" w:rsidRPr="00FB3DCE" w:rsidRDefault="0042116B" w:rsidP="00DF4BED">
      <w:pPr>
        <w:rPr>
          <w:rFonts w:ascii="Calibri" w:hAnsi="Calibri"/>
        </w:rPr>
      </w:pPr>
      <w:r w:rsidRPr="00FB3DCE">
        <w:rPr>
          <w:rFonts w:ascii="Calibri" w:hAnsi="Calibri"/>
        </w:rPr>
        <w:t xml:space="preserve"> </w:t>
      </w:r>
    </w:p>
    <w:p w14:paraId="5075985D" w14:textId="78D9614E" w:rsidR="00AA5587" w:rsidRPr="00890CAF" w:rsidRDefault="00995821" w:rsidP="00DF4BED">
      <w:pPr>
        <w:rPr>
          <w:rFonts w:ascii="Calibri" w:hAnsi="Calibri"/>
          <w:b/>
        </w:rPr>
      </w:pPr>
      <w:r>
        <w:rPr>
          <w:rFonts w:ascii="Calibri" w:hAnsi="Calibri"/>
        </w:rPr>
        <w:t>Applications are submitted to the King County Department of Assessments. October 1</w:t>
      </w:r>
      <w:r w:rsidRPr="00995821">
        <w:rPr>
          <w:rFonts w:ascii="Calibri" w:hAnsi="Calibri"/>
          <w:vertAlign w:val="superscript"/>
        </w:rPr>
        <w:t>st</w:t>
      </w:r>
      <w:r>
        <w:rPr>
          <w:rFonts w:ascii="Calibri" w:hAnsi="Calibri"/>
        </w:rPr>
        <w:t xml:space="preserve"> is the last day of the calendar year that STV applications are accepted. </w:t>
      </w:r>
      <w:r w:rsidR="00E853B8">
        <w:rPr>
          <w:rFonts w:ascii="Calibri" w:hAnsi="Calibri"/>
        </w:rPr>
        <w:t>Applications must be approved or denied by December 31</w:t>
      </w:r>
      <w:r w:rsidR="00E853B8" w:rsidRPr="00E853B8">
        <w:rPr>
          <w:rFonts w:ascii="Calibri" w:hAnsi="Calibri"/>
          <w:vertAlign w:val="superscript"/>
        </w:rPr>
        <w:t>st</w:t>
      </w:r>
      <w:r w:rsidR="00725D8F">
        <w:rPr>
          <w:rFonts w:ascii="Calibri" w:hAnsi="Calibri"/>
        </w:rPr>
        <w:t>. After the application has been submitted</w:t>
      </w:r>
      <w:r w:rsidR="004A26F4">
        <w:rPr>
          <w:rFonts w:ascii="Calibri" w:hAnsi="Calibri"/>
        </w:rPr>
        <w:t>, the Department of Assessments will refer the application to the Landmarks Commission</w:t>
      </w:r>
      <w:r w:rsidR="00725D8F">
        <w:rPr>
          <w:rFonts w:ascii="Calibri" w:hAnsi="Calibri"/>
        </w:rPr>
        <w:t xml:space="preserve">. </w:t>
      </w:r>
      <w:r w:rsidR="00725D8F" w:rsidRPr="001D4816">
        <w:rPr>
          <w:rFonts w:ascii="Calibri" w:hAnsi="Calibri"/>
        </w:rPr>
        <w:t xml:space="preserve">A </w:t>
      </w:r>
      <w:r w:rsidR="004A26F4" w:rsidRPr="001D4816">
        <w:rPr>
          <w:rFonts w:ascii="Calibri" w:hAnsi="Calibri"/>
        </w:rPr>
        <w:t xml:space="preserve">public meeting </w:t>
      </w:r>
      <w:r w:rsidR="00890CAF" w:rsidRPr="001D4816">
        <w:rPr>
          <w:rFonts w:ascii="Calibri" w:hAnsi="Calibri"/>
        </w:rPr>
        <w:t>is</w:t>
      </w:r>
      <w:r w:rsidR="00725D8F" w:rsidRPr="001D4816">
        <w:rPr>
          <w:rFonts w:ascii="Calibri" w:hAnsi="Calibri"/>
        </w:rPr>
        <w:t xml:space="preserve"> held</w:t>
      </w:r>
      <w:r w:rsidR="00890CAF" w:rsidRPr="001D4816">
        <w:rPr>
          <w:rFonts w:ascii="Calibri" w:hAnsi="Calibri"/>
        </w:rPr>
        <w:t xml:space="preserve"> in addition to a commission meeting</w:t>
      </w:r>
      <w:r w:rsidR="00725D8F" w:rsidRPr="001D4816">
        <w:rPr>
          <w:rFonts w:ascii="Calibri" w:hAnsi="Calibri"/>
        </w:rPr>
        <w:t xml:space="preserve"> </w:t>
      </w:r>
      <w:r w:rsidR="00031681" w:rsidRPr="001D4816">
        <w:rPr>
          <w:rFonts w:ascii="Calibri" w:hAnsi="Calibri"/>
        </w:rPr>
        <w:t>to review the application and either grant or deny STV</w:t>
      </w:r>
      <w:r w:rsidR="001D4816" w:rsidRPr="001D4816">
        <w:rPr>
          <w:rFonts w:ascii="Calibri" w:hAnsi="Calibri"/>
        </w:rPr>
        <w:t>.</w:t>
      </w:r>
      <w:r w:rsidR="001D4816">
        <w:rPr>
          <w:rFonts w:ascii="Calibri" w:hAnsi="Calibri"/>
          <w:b/>
        </w:rPr>
        <w:t xml:space="preserve"> </w:t>
      </w:r>
    </w:p>
    <w:p w14:paraId="533C690E" w14:textId="77777777" w:rsidR="00AA5587" w:rsidRPr="00AA5587" w:rsidRDefault="00AA5587" w:rsidP="00DF4BED">
      <w:pPr>
        <w:rPr>
          <w:rFonts w:ascii="Calibri" w:hAnsi="Calibri"/>
          <w:u w:val="single"/>
        </w:rPr>
      </w:pPr>
    </w:p>
    <w:p w14:paraId="2C376415" w14:textId="77777777" w:rsidR="008D29F4" w:rsidRDefault="008D29F4">
      <w:pPr>
        <w:rPr>
          <w:rFonts w:ascii="Calibri" w:hAnsi="Calibri"/>
          <w:u w:val="single"/>
        </w:rPr>
      </w:pPr>
    </w:p>
    <w:p w14:paraId="6407333F" w14:textId="77777777" w:rsidR="008D29F4" w:rsidRDefault="008D29F4">
      <w:pPr>
        <w:rPr>
          <w:rFonts w:ascii="Calibri" w:hAnsi="Calibri"/>
          <w:u w:val="single"/>
        </w:rPr>
      </w:pPr>
    </w:p>
    <w:p w14:paraId="4D310756" w14:textId="361B2440" w:rsidR="00A427C1" w:rsidRPr="003124AE" w:rsidRDefault="00946514">
      <w:pPr>
        <w:rPr>
          <w:rFonts w:ascii="Calibri" w:hAnsi="Calibri"/>
          <w:b/>
          <w:u w:val="single"/>
        </w:rPr>
      </w:pPr>
      <w:r w:rsidRPr="003124AE">
        <w:rPr>
          <w:rFonts w:ascii="Calibri" w:hAnsi="Calibri"/>
          <w:b/>
          <w:u w:val="single"/>
        </w:rPr>
        <w:lastRenderedPageBreak/>
        <w:t>Special Tax Valuation</w:t>
      </w:r>
      <w:r w:rsidR="00A427C1" w:rsidRPr="003124AE">
        <w:rPr>
          <w:rFonts w:ascii="Calibri" w:hAnsi="Calibri"/>
          <w:b/>
          <w:u w:val="single"/>
        </w:rPr>
        <w:t xml:space="preserve"> (2004-2014)</w:t>
      </w:r>
    </w:p>
    <w:p w14:paraId="6CF346E1" w14:textId="084ED087" w:rsidR="00A427C1" w:rsidRDefault="00BC7D1C">
      <w:pPr>
        <w:rPr>
          <w:rFonts w:ascii="Calibri" w:hAnsi="Calibri"/>
          <w:i/>
        </w:rPr>
      </w:pPr>
      <w:r>
        <w:rPr>
          <w:rFonts w:ascii="Calibri" w:hAnsi="Calibri"/>
          <w:i/>
        </w:rPr>
        <w:t>[</w:t>
      </w:r>
      <w:r w:rsidRPr="00BC7D1C">
        <w:rPr>
          <w:rFonts w:ascii="Calibri" w:hAnsi="Calibri"/>
          <w:i/>
        </w:rPr>
        <w:t>Seattle Properties Only</w:t>
      </w:r>
      <w:r>
        <w:rPr>
          <w:rFonts w:ascii="Calibri" w:hAnsi="Calibri"/>
          <w:i/>
        </w:rPr>
        <w:t>]</w:t>
      </w:r>
    </w:p>
    <w:p w14:paraId="0345EBE1" w14:textId="77777777" w:rsidR="008D29F4" w:rsidRPr="00BC7D1C" w:rsidRDefault="008D29F4">
      <w:pPr>
        <w:rPr>
          <w:rFonts w:ascii="Calibri" w:hAnsi="Calibri"/>
          <w:i/>
        </w:rPr>
      </w:pPr>
    </w:p>
    <w:tbl>
      <w:tblPr>
        <w:tblW w:w="954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77"/>
        <w:gridCol w:w="2515"/>
        <w:gridCol w:w="4656"/>
      </w:tblGrid>
      <w:tr w:rsidR="00F1725D" w:rsidRPr="00A427C1" w14:paraId="28B05340" w14:textId="77777777" w:rsidTr="00F1725D">
        <w:trPr>
          <w:trHeight w:val="676"/>
        </w:trPr>
        <w:tc>
          <w:tcPr>
            <w:tcW w:w="2377" w:type="dxa"/>
            <w:shd w:val="clear" w:color="auto" w:fill="auto"/>
            <w:vAlign w:val="center"/>
            <w:hideMark/>
          </w:tcPr>
          <w:p w14:paraId="193EEC6D" w14:textId="77777777" w:rsidR="00A427C1" w:rsidRPr="00A427C1" w:rsidRDefault="00A427C1" w:rsidP="00A427C1">
            <w:pPr>
              <w:jc w:val="center"/>
              <w:rPr>
                <w:rFonts w:ascii="Calibri" w:eastAsia="Times New Roman" w:hAnsi="Calibri"/>
                <w:b/>
                <w:bCs/>
                <w:color w:val="000000"/>
                <w:sz w:val="22"/>
                <w:szCs w:val="22"/>
              </w:rPr>
            </w:pPr>
            <w:r w:rsidRPr="00A427C1">
              <w:rPr>
                <w:rFonts w:ascii="Calibri" w:eastAsia="Times New Roman" w:hAnsi="Calibri"/>
                <w:b/>
                <w:bCs/>
                <w:color w:val="000000"/>
                <w:sz w:val="22"/>
                <w:szCs w:val="22"/>
              </w:rPr>
              <w:t>Year</w:t>
            </w:r>
          </w:p>
        </w:tc>
        <w:tc>
          <w:tcPr>
            <w:tcW w:w="2515" w:type="dxa"/>
            <w:shd w:val="clear" w:color="auto" w:fill="auto"/>
            <w:vAlign w:val="center"/>
            <w:hideMark/>
          </w:tcPr>
          <w:p w14:paraId="1E00CF0B" w14:textId="77777777" w:rsidR="00A427C1" w:rsidRPr="00A427C1" w:rsidRDefault="00A427C1" w:rsidP="00A427C1">
            <w:pPr>
              <w:jc w:val="center"/>
              <w:rPr>
                <w:rFonts w:ascii="Calibri" w:eastAsia="Times New Roman" w:hAnsi="Calibri"/>
                <w:b/>
                <w:bCs/>
                <w:color w:val="000000"/>
                <w:sz w:val="22"/>
                <w:szCs w:val="22"/>
              </w:rPr>
            </w:pPr>
            <w:r w:rsidRPr="00A427C1">
              <w:rPr>
                <w:rFonts w:ascii="Calibri" w:eastAsia="Times New Roman" w:hAnsi="Calibri"/>
                <w:b/>
                <w:bCs/>
                <w:color w:val="000000"/>
                <w:sz w:val="22"/>
                <w:szCs w:val="22"/>
              </w:rPr>
              <w:t>Number of Projects</w:t>
            </w:r>
          </w:p>
        </w:tc>
        <w:tc>
          <w:tcPr>
            <w:tcW w:w="4656" w:type="dxa"/>
            <w:shd w:val="clear" w:color="auto" w:fill="auto"/>
            <w:vAlign w:val="center"/>
            <w:hideMark/>
          </w:tcPr>
          <w:p w14:paraId="20138A60" w14:textId="77777777" w:rsidR="00A427C1" w:rsidRPr="00A427C1" w:rsidRDefault="00A427C1" w:rsidP="00A427C1">
            <w:pPr>
              <w:jc w:val="center"/>
              <w:rPr>
                <w:rFonts w:ascii="Calibri" w:eastAsia="Times New Roman" w:hAnsi="Calibri"/>
                <w:b/>
                <w:bCs/>
                <w:color w:val="000000"/>
                <w:sz w:val="22"/>
                <w:szCs w:val="22"/>
              </w:rPr>
            </w:pPr>
            <w:r w:rsidRPr="00A427C1">
              <w:rPr>
                <w:rFonts w:ascii="Calibri" w:eastAsia="Times New Roman" w:hAnsi="Calibri"/>
                <w:b/>
                <w:bCs/>
                <w:color w:val="000000"/>
                <w:sz w:val="22"/>
                <w:szCs w:val="22"/>
              </w:rPr>
              <w:t>Amount of Expenditures</w:t>
            </w:r>
          </w:p>
        </w:tc>
      </w:tr>
      <w:tr w:rsidR="00F1725D" w:rsidRPr="00A427C1" w14:paraId="32AC8BA5" w14:textId="77777777" w:rsidTr="00F1725D">
        <w:trPr>
          <w:trHeight w:val="358"/>
        </w:trPr>
        <w:tc>
          <w:tcPr>
            <w:tcW w:w="2377" w:type="dxa"/>
            <w:shd w:val="clear" w:color="auto" w:fill="auto"/>
            <w:noWrap/>
            <w:vAlign w:val="center"/>
            <w:hideMark/>
          </w:tcPr>
          <w:p w14:paraId="0F7697F1" w14:textId="77777777" w:rsidR="00A427C1" w:rsidRPr="00A427C1" w:rsidRDefault="00A427C1" w:rsidP="00A427C1">
            <w:pPr>
              <w:jc w:val="center"/>
              <w:rPr>
                <w:rFonts w:ascii="Calibri" w:eastAsia="Times New Roman" w:hAnsi="Calibri"/>
                <w:sz w:val="22"/>
                <w:szCs w:val="22"/>
              </w:rPr>
            </w:pPr>
            <w:r w:rsidRPr="00A427C1">
              <w:rPr>
                <w:rFonts w:ascii="Calibri" w:eastAsia="Times New Roman" w:hAnsi="Calibri"/>
                <w:sz w:val="22"/>
                <w:szCs w:val="22"/>
              </w:rPr>
              <w:t>2004</w:t>
            </w:r>
          </w:p>
        </w:tc>
        <w:tc>
          <w:tcPr>
            <w:tcW w:w="2515" w:type="dxa"/>
            <w:shd w:val="clear" w:color="auto" w:fill="auto"/>
            <w:noWrap/>
            <w:vAlign w:val="center"/>
            <w:hideMark/>
          </w:tcPr>
          <w:p w14:paraId="53AFBC49" w14:textId="77777777" w:rsidR="00A427C1" w:rsidRPr="00A427C1" w:rsidRDefault="00A427C1" w:rsidP="00A427C1">
            <w:pPr>
              <w:jc w:val="center"/>
              <w:rPr>
                <w:rFonts w:ascii="Calibri" w:eastAsia="Times New Roman" w:hAnsi="Calibri"/>
                <w:color w:val="000000"/>
                <w:sz w:val="22"/>
                <w:szCs w:val="22"/>
              </w:rPr>
            </w:pPr>
            <w:r w:rsidRPr="00A427C1">
              <w:rPr>
                <w:rFonts w:ascii="Calibri" w:eastAsia="Times New Roman" w:hAnsi="Calibri"/>
                <w:color w:val="000000"/>
                <w:sz w:val="22"/>
                <w:szCs w:val="22"/>
              </w:rPr>
              <w:t>12</w:t>
            </w:r>
          </w:p>
        </w:tc>
        <w:tc>
          <w:tcPr>
            <w:tcW w:w="4656" w:type="dxa"/>
            <w:shd w:val="clear" w:color="auto" w:fill="auto"/>
            <w:noWrap/>
            <w:vAlign w:val="center"/>
            <w:hideMark/>
          </w:tcPr>
          <w:p w14:paraId="17D71E27" w14:textId="195620C3" w:rsidR="00A427C1" w:rsidRPr="00A427C1" w:rsidRDefault="00F33E48" w:rsidP="00F33E48">
            <w:pPr>
              <w:rPr>
                <w:rFonts w:ascii="Calibri" w:eastAsia="Times New Roman" w:hAnsi="Calibri"/>
                <w:sz w:val="22"/>
                <w:szCs w:val="22"/>
              </w:rPr>
            </w:pPr>
            <w:r>
              <w:rPr>
                <w:rFonts w:ascii="Calibri" w:eastAsia="Times New Roman" w:hAnsi="Calibri"/>
                <w:sz w:val="22"/>
                <w:szCs w:val="22"/>
              </w:rPr>
              <w:t xml:space="preserve">                                 $</w:t>
            </w:r>
            <w:r w:rsidR="00A427C1" w:rsidRPr="00A427C1">
              <w:rPr>
                <w:rFonts w:ascii="Calibri" w:eastAsia="Times New Roman" w:hAnsi="Calibri"/>
                <w:sz w:val="22"/>
                <w:szCs w:val="22"/>
              </w:rPr>
              <w:t>42,225,551</w:t>
            </w:r>
          </w:p>
        </w:tc>
      </w:tr>
      <w:tr w:rsidR="00F1725D" w:rsidRPr="00A427C1" w14:paraId="5BFA6685" w14:textId="77777777" w:rsidTr="00F1725D">
        <w:trPr>
          <w:trHeight w:val="358"/>
        </w:trPr>
        <w:tc>
          <w:tcPr>
            <w:tcW w:w="2377" w:type="dxa"/>
            <w:shd w:val="clear" w:color="auto" w:fill="auto"/>
            <w:noWrap/>
            <w:vAlign w:val="center"/>
            <w:hideMark/>
          </w:tcPr>
          <w:p w14:paraId="20760BBD" w14:textId="77777777" w:rsidR="00A427C1" w:rsidRPr="00A427C1" w:rsidRDefault="00A427C1" w:rsidP="00A427C1">
            <w:pPr>
              <w:jc w:val="center"/>
              <w:rPr>
                <w:rFonts w:ascii="Calibri" w:eastAsia="Times New Roman" w:hAnsi="Calibri"/>
                <w:sz w:val="22"/>
                <w:szCs w:val="22"/>
              </w:rPr>
            </w:pPr>
            <w:r w:rsidRPr="00A427C1">
              <w:rPr>
                <w:rFonts w:ascii="Calibri" w:eastAsia="Times New Roman" w:hAnsi="Calibri"/>
                <w:sz w:val="22"/>
                <w:szCs w:val="22"/>
              </w:rPr>
              <w:t>2005</w:t>
            </w:r>
          </w:p>
        </w:tc>
        <w:tc>
          <w:tcPr>
            <w:tcW w:w="2515" w:type="dxa"/>
            <w:shd w:val="clear" w:color="auto" w:fill="auto"/>
            <w:noWrap/>
            <w:vAlign w:val="center"/>
            <w:hideMark/>
          </w:tcPr>
          <w:p w14:paraId="6BAD207B" w14:textId="77777777" w:rsidR="00A427C1" w:rsidRPr="00A427C1" w:rsidRDefault="00A427C1" w:rsidP="00A427C1">
            <w:pPr>
              <w:jc w:val="center"/>
              <w:rPr>
                <w:rFonts w:ascii="Calibri" w:eastAsia="Times New Roman" w:hAnsi="Calibri"/>
                <w:color w:val="000000"/>
                <w:sz w:val="22"/>
                <w:szCs w:val="22"/>
              </w:rPr>
            </w:pPr>
            <w:r w:rsidRPr="00A427C1">
              <w:rPr>
                <w:rFonts w:ascii="Calibri" w:eastAsia="Times New Roman" w:hAnsi="Calibri"/>
                <w:color w:val="000000"/>
                <w:sz w:val="22"/>
                <w:szCs w:val="22"/>
              </w:rPr>
              <w:t>5</w:t>
            </w:r>
          </w:p>
        </w:tc>
        <w:tc>
          <w:tcPr>
            <w:tcW w:w="4656" w:type="dxa"/>
            <w:shd w:val="clear" w:color="auto" w:fill="auto"/>
            <w:noWrap/>
            <w:vAlign w:val="center"/>
            <w:hideMark/>
          </w:tcPr>
          <w:p w14:paraId="6BC4122E" w14:textId="77777777" w:rsidR="00A427C1" w:rsidRPr="00A427C1" w:rsidRDefault="00A427C1" w:rsidP="00A427C1">
            <w:pPr>
              <w:jc w:val="center"/>
              <w:rPr>
                <w:rFonts w:ascii="Calibri" w:eastAsia="Times New Roman" w:hAnsi="Calibri"/>
                <w:sz w:val="22"/>
                <w:szCs w:val="22"/>
              </w:rPr>
            </w:pPr>
            <w:r w:rsidRPr="00A427C1">
              <w:rPr>
                <w:rFonts w:ascii="Calibri" w:eastAsia="Times New Roman" w:hAnsi="Calibri"/>
                <w:sz w:val="22"/>
                <w:szCs w:val="22"/>
              </w:rPr>
              <w:t>29,973,177</w:t>
            </w:r>
          </w:p>
        </w:tc>
      </w:tr>
      <w:tr w:rsidR="00F1725D" w:rsidRPr="00A427C1" w14:paraId="5997189C" w14:textId="77777777" w:rsidTr="00F1725D">
        <w:trPr>
          <w:trHeight w:val="358"/>
        </w:trPr>
        <w:tc>
          <w:tcPr>
            <w:tcW w:w="2377" w:type="dxa"/>
            <w:shd w:val="clear" w:color="auto" w:fill="auto"/>
            <w:noWrap/>
            <w:vAlign w:val="center"/>
            <w:hideMark/>
          </w:tcPr>
          <w:p w14:paraId="303BE73E" w14:textId="77777777" w:rsidR="00A427C1" w:rsidRPr="00A427C1" w:rsidRDefault="00A427C1" w:rsidP="00A427C1">
            <w:pPr>
              <w:jc w:val="center"/>
              <w:rPr>
                <w:rFonts w:ascii="Calibri" w:eastAsia="Times New Roman" w:hAnsi="Calibri"/>
                <w:sz w:val="22"/>
                <w:szCs w:val="22"/>
              </w:rPr>
            </w:pPr>
            <w:r w:rsidRPr="00A427C1">
              <w:rPr>
                <w:rFonts w:ascii="Calibri" w:eastAsia="Times New Roman" w:hAnsi="Calibri"/>
                <w:sz w:val="22"/>
                <w:szCs w:val="22"/>
              </w:rPr>
              <w:t>2006</w:t>
            </w:r>
          </w:p>
        </w:tc>
        <w:tc>
          <w:tcPr>
            <w:tcW w:w="2515" w:type="dxa"/>
            <w:shd w:val="clear" w:color="auto" w:fill="auto"/>
            <w:noWrap/>
            <w:vAlign w:val="center"/>
            <w:hideMark/>
          </w:tcPr>
          <w:p w14:paraId="0522F0B9" w14:textId="77777777" w:rsidR="00A427C1" w:rsidRPr="00A427C1" w:rsidRDefault="00A427C1" w:rsidP="00A427C1">
            <w:pPr>
              <w:jc w:val="center"/>
              <w:rPr>
                <w:rFonts w:ascii="Calibri" w:eastAsia="Times New Roman" w:hAnsi="Calibri"/>
                <w:color w:val="000000"/>
                <w:sz w:val="22"/>
                <w:szCs w:val="22"/>
              </w:rPr>
            </w:pPr>
            <w:r w:rsidRPr="00A427C1">
              <w:rPr>
                <w:rFonts w:ascii="Calibri" w:eastAsia="Times New Roman" w:hAnsi="Calibri"/>
                <w:color w:val="000000"/>
                <w:sz w:val="22"/>
                <w:szCs w:val="22"/>
              </w:rPr>
              <w:t>7</w:t>
            </w:r>
          </w:p>
        </w:tc>
        <w:tc>
          <w:tcPr>
            <w:tcW w:w="4656" w:type="dxa"/>
            <w:shd w:val="clear" w:color="auto" w:fill="auto"/>
            <w:noWrap/>
            <w:vAlign w:val="center"/>
            <w:hideMark/>
          </w:tcPr>
          <w:p w14:paraId="2879895A" w14:textId="77777777" w:rsidR="00A427C1" w:rsidRPr="00A427C1" w:rsidRDefault="00A427C1" w:rsidP="00A427C1">
            <w:pPr>
              <w:jc w:val="center"/>
              <w:rPr>
                <w:rFonts w:ascii="Calibri" w:eastAsia="Times New Roman" w:hAnsi="Calibri"/>
                <w:sz w:val="22"/>
                <w:szCs w:val="22"/>
              </w:rPr>
            </w:pPr>
            <w:r w:rsidRPr="00A427C1">
              <w:rPr>
                <w:rFonts w:ascii="Calibri" w:eastAsia="Times New Roman" w:hAnsi="Calibri"/>
                <w:sz w:val="22"/>
                <w:szCs w:val="22"/>
              </w:rPr>
              <w:t>25,770,480</w:t>
            </w:r>
          </w:p>
        </w:tc>
      </w:tr>
      <w:tr w:rsidR="00F1725D" w:rsidRPr="00A427C1" w14:paraId="1BE51928" w14:textId="77777777" w:rsidTr="00F1725D">
        <w:trPr>
          <w:trHeight w:val="358"/>
        </w:trPr>
        <w:tc>
          <w:tcPr>
            <w:tcW w:w="2377" w:type="dxa"/>
            <w:shd w:val="clear" w:color="auto" w:fill="auto"/>
            <w:noWrap/>
            <w:vAlign w:val="center"/>
            <w:hideMark/>
          </w:tcPr>
          <w:p w14:paraId="14980D7D" w14:textId="77777777" w:rsidR="00A427C1" w:rsidRPr="00A427C1" w:rsidRDefault="00A427C1" w:rsidP="00A427C1">
            <w:pPr>
              <w:jc w:val="center"/>
              <w:rPr>
                <w:rFonts w:ascii="Calibri" w:eastAsia="Times New Roman" w:hAnsi="Calibri"/>
                <w:sz w:val="22"/>
                <w:szCs w:val="22"/>
              </w:rPr>
            </w:pPr>
            <w:r w:rsidRPr="00A427C1">
              <w:rPr>
                <w:rFonts w:ascii="Calibri" w:eastAsia="Times New Roman" w:hAnsi="Calibri"/>
                <w:sz w:val="22"/>
                <w:szCs w:val="22"/>
              </w:rPr>
              <w:t>2007</w:t>
            </w:r>
          </w:p>
        </w:tc>
        <w:tc>
          <w:tcPr>
            <w:tcW w:w="2515" w:type="dxa"/>
            <w:shd w:val="clear" w:color="auto" w:fill="auto"/>
            <w:noWrap/>
            <w:vAlign w:val="center"/>
            <w:hideMark/>
          </w:tcPr>
          <w:p w14:paraId="284A2EB5" w14:textId="77777777" w:rsidR="00A427C1" w:rsidRPr="00A427C1" w:rsidRDefault="00A427C1" w:rsidP="00A427C1">
            <w:pPr>
              <w:jc w:val="center"/>
              <w:rPr>
                <w:rFonts w:ascii="Calibri" w:eastAsia="Times New Roman" w:hAnsi="Calibri"/>
                <w:color w:val="000000"/>
                <w:sz w:val="22"/>
                <w:szCs w:val="22"/>
              </w:rPr>
            </w:pPr>
            <w:r w:rsidRPr="00A427C1">
              <w:rPr>
                <w:rFonts w:ascii="Calibri" w:eastAsia="Times New Roman" w:hAnsi="Calibri"/>
                <w:color w:val="000000"/>
                <w:sz w:val="22"/>
                <w:szCs w:val="22"/>
              </w:rPr>
              <w:t>7</w:t>
            </w:r>
          </w:p>
        </w:tc>
        <w:tc>
          <w:tcPr>
            <w:tcW w:w="4656" w:type="dxa"/>
            <w:shd w:val="clear" w:color="auto" w:fill="auto"/>
            <w:noWrap/>
            <w:vAlign w:val="center"/>
            <w:hideMark/>
          </w:tcPr>
          <w:p w14:paraId="40EE955E" w14:textId="77777777" w:rsidR="00A427C1" w:rsidRPr="00A427C1" w:rsidRDefault="00A427C1" w:rsidP="00A427C1">
            <w:pPr>
              <w:jc w:val="center"/>
              <w:rPr>
                <w:rFonts w:ascii="Calibri" w:eastAsia="Times New Roman" w:hAnsi="Calibri"/>
                <w:sz w:val="22"/>
                <w:szCs w:val="22"/>
              </w:rPr>
            </w:pPr>
            <w:r w:rsidRPr="00A427C1">
              <w:rPr>
                <w:rFonts w:ascii="Calibri" w:eastAsia="Times New Roman" w:hAnsi="Calibri"/>
                <w:sz w:val="22"/>
                <w:szCs w:val="22"/>
              </w:rPr>
              <w:t>31,641,341</w:t>
            </w:r>
          </w:p>
        </w:tc>
      </w:tr>
      <w:tr w:rsidR="00F1725D" w:rsidRPr="00A427C1" w14:paraId="38C8AB8B" w14:textId="77777777" w:rsidTr="00F1725D">
        <w:trPr>
          <w:trHeight w:val="358"/>
        </w:trPr>
        <w:tc>
          <w:tcPr>
            <w:tcW w:w="2377" w:type="dxa"/>
            <w:shd w:val="clear" w:color="auto" w:fill="auto"/>
            <w:noWrap/>
            <w:vAlign w:val="center"/>
            <w:hideMark/>
          </w:tcPr>
          <w:p w14:paraId="3F02DD7C" w14:textId="77777777" w:rsidR="00A427C1" w:rsidRPr="00A427C1" w:rsidRDefault="00A427C1" w:rsidP="00A427C1">
            <w:pPr>
              <w:jc w:val="center"/>
              <w:rPr>
                <w:rFonts w:ascii="Calibri" w:eastAsia="Times New Roman" w:hAnsi="Calibri"/>
                <w:sz w:val="22"/>
                <w:szCs w:val="22"/>
              </w:rPr>
            </w:pPr>
            <w:r w:rsidRPr="00A427C1">
              <w:rPr>
                <w:rFonts w:ascii="Calibri" w:eastAsia="Times New Roman" w:hAnsi="Calibri"/>
                <w:sz w:val="22"/>
                <w:szCs w:val="22"/>
              </w:rPr>
              <w:t>2008</w:t>
            </w:r>
          </w:p>
        </w:tc>
        <w:tc>
          <w:tcPr>
            <w:tcW w:w="2515" w:type="dxa"/>
            <w:shd w:val="clear" w:color="auto" w:fill="auto"/>
            <w:noWrap/>
            <w:vAlign w:val="center"/>
            <w:hideMark/>
          </w:tcPr>
          <w:p w14:paraId="6BF7C299" w14:textId="77777777" w:rsidR="00A427C1" w:rsidRPr="00A427C1" w:rsidRDefault="00A427C1" w:rsidP="00A427C1">
            <w:pPr>
              <w:jc w:val="center"/>
              <w:rPr>
                <w:rFonts w:ascii="Calibri" w:eastAsia="Times New Roman" w:hAnsi="Calibri"/>
                <w:color w:val="000000"/>
                <w:sz w:val="22"/>
                <w:szCs w:val="22"/>
              </w:rPr>
            </w:pPr>
            <w:r w:rsidRPr="00A427C1">
              <w:rPr>
                <w:rFonts w:ascii="Calibri" w:eastAsia="Times New Roman" w:hAnsi="Calibri"/>
                <w:color w:val="000000"/>
                <w:sz w:val="22"/>
                <w:szCs w:val="22"/>
              </w:rPr>
              <w:t>4</w:t>
            </w:r>
          </w:p>
        </w:tc>
        <w:tc>
          <w:tcPr>
            <w:tcW w:w="4656" w:type="dxa"/>
            <w:shd w:val="clear" w:color="auto" w:fill="auto"/>
            <w:vAlign w:val="center"/>
            <w:hideMark/>
          </w:tcPr>
          <w:p w14:paraId="1AF15EA5" w14:textId="77777777" w:rsidR="00A427C1" w:rsidRPr="00A427C1" w:rsidRDefault="00A427C1" w:rsidP="00A427C1">
            <w:pPr>
              <w:jc w:val="center"/>
              <w:rPr>
                <w:rFonts w:ascii="Calibri" w:eastAsia="Times New Roman" w:hAnsi="Calibri"/>
                <w:sz w:val="22"/>
                <w:szCs w:val="22"/>
              </w:rPr>
            </w:pPr>
            <w:r w:rsidRPr="00A427C1">
              <w:rPr>
                <w:rFonts w:ascii="Calibri" w:eastAsia="Times New Roman" w:hAnsi="Calibri"/>
                <w:sz w:val="22"/>
                <w:szCs w:val="22"/>
              </w:rPr>
              <w:t>26,915,456</w:t>
            </w:r>
          </w:p>
        </w:tc>
      </w:tr>
      <w:tr w:rsidR="00F1725D" w:rsidRPr="00A427C1" w14:paraId="30939ADF" w14:textId="77777777" w:rsidTr="00F1725D">
        <w:trPr>
          <w:trHeight w:val="358"/>
        </w:trPr>
        <w:tc>
          <w:tcPr>
            <w:tcW w:w="2377" w:type="dxa"/>
            <w:shd w:val="clear" w:color="auto" w:fill="auto"/>
            <w:noWrap/>
            <w:vAlign w:val="center"/>
            <w:hideMark/>
          </w:tcPr>
          <w:p w14:paraId="0569D7E7" w14:textId="77777777" w:rsidR="00A427C1" w:rsidRPr="00A427C1" w:rsidRDefault="00A427C1" w:rsidP="00A427C1">
            <w:pPr>
              <w:jc w:val="center"/>
              <w:rPr>
                <w:rFonts w:ascii="Calibri" w:eastAsia="Times New Roman" w:hAnsi="Calibri"/>
                <w:sz w:val="22"/>
                <w:szCs w:val="22"/>
              </w:rPr>
            </w:pPr>
            <w:r w:rsidRPr="00A427C1">
              <w:rPr>
                <w:rFonts w:ascii="Calibri" w:eastAsia="Times New Roman" w:hAnsi="Calibri"/>
                <w:sz w:val="22"/>
                <w:szCs w:val="22"/>
              </w:rPr>
              <w:t>2009</w:t>
            </w:r>
          </w:p>
        </w:tc>
        <w:tc>
          <w:tcPr>
            <w:tcW w:w="2515" w:type="dxa"/>
            <w:shd w:val="clear" w:color="auto" w:fill="auto"/>
            <w:noWrap/>
            <w:vAlign w:val="center"/>
            <w:hideMark/>
          </w:tcPr>
          <w:p w14:paraId="488C7BAE" w14:textId="77777777" w:rsidR="00A427C1" w:rsidRPr="00A427C1" w:rsidRDefault="00A427C1" w:rsidP="00A427C1">
            <w:pPr>
              <w:jc w:val="center"/>
              <w:rPr>
                <w:rFonts w:ascii="Calibri" w:eastAsia="Times New Roman" w:hAnsi="Calibri"/>
                <w:color w:val="000000"/>
                <w:sz w:val="22"/>
                <w:szCs w:val="22"/>
              </w:rPr>
            </w:pPr>
            <w:r w:rsidRPr="00A427C1">
              <w:rPr>
                <w:rFonts w:ascii="Calibri" w:eastAsia="Times New Roman" w:hAnsi="Calibri"/>
                <w:color w:val="000000"/>
                <w:sz w:val="22"/>
                <w:szCs w:val="22"/>
              </w:rPr>
              <w:t>12</w:t>
            </w:r>
          </w:p>
        </w:tc>
        <w:tc>
          <w:tcPr>
            <w:tcW w:w="4656" w:type="dxa"/>
            <w:shd w:val="clear" w:color="auto" w:fill="auto"/>
            <w:noWrap/>
            <w:vAlign w:val="center"/>
            <w:hideMark/>
          </w:tcPr>
          <w:p w14:paraId="507195FB" w14:textId="77777777" w:rsidR="00A427C1" w:rsidRPr="00A427C1" w:rsidRDefault="00A427C1" w:rsidP="00A427C1">
            <w:pPr>
              <w:jc w:val="center"/>
              <w:rPr>
                <w:rFonts w:ascii="Calibri" w:eastAsia="Times New Roman" w:hAnsi="Calibri"/>
                <w:sz w:val="22"/>
                <w:szCs w:val="22"/>
              </w:rPr>
            </w:pPr>
            <w:r w:rsidRPr="00A427C1">
              <w:rPr>
                <w:rFonts w:ascii="Calibri" w:eastAsia="Times New Roman" w:hAnsi="Calibri"/>
                <w:sz w:val="22"/>
                <w:szCs w:val="22"/>
              </w:rPr>
              <w:t>56,916,311</w:t>
            </w:r>
          </w:p>
        </w:tc>
      </w:tr>
      <w:tr w:rsidR="00F1725D" w:rsidRPr="00A427C1" w14:paraId="3A9DCD9E" w14:textId="77777777" w:rsidTr="00F1725D">
        <w:trPr>
          <w:trHeight w:val="358"/>
        </w:trPr>
        <w:tc>
          <w:tcPr>
            <w:tcW w:w="2377" w:type="dxa"/>
            <w:shd w:val="clear" w:color="auto" w:fill="auto"/>
            <w:noWrap/>
            <w:vAlign w:val="center"/>
            <w:hideMark/>
          </w:tcPr>
          <w:p w14:paraId="29A92AF0" w14:textId="77777777" w:rsidR="00A427C1" w:rsidRPr="00A427C1" w:rsidRDefault="00A427C1" w:rsidP="00A427C1">
            <w:pPr>
              <w:jc w:val="center"/>
              <w:rPr>
                <w:rFonts w:ascii="Calibri" w:eastAsia="Times New Roman" w:hAnsi="Calibri"/>
                <w:sz w:val="22"/>
                <w:szCs w:val="22"/>
              </w:rPr>
            </w:pPr>
            <w:r w:rsidRPr="00A427C1">
              <w:rPr>
                <w:rFonts w:ascii="Calibri" w:eastAsia="Times New Roman" w:hAnsi="Calibri"/>
                <w:sz w:val="22"/>
                <w:szCs w:val="22"/>
              </w:rPr>
              <w:t>2010</w:t>
            </w:r>
          </w:p>
        </w:tc>
        <w:tc>
          <w:tcPr>
            <w:tcW w:w="2515" w:type="dxa"/>
            <w:shd w:val="clear" w:color="auto" w:fill="auto"/>
            <w:noWrap/>
            <w:vAlign w:val="center"/>
            <w:hideMark/>
          </w:tcPr>
          <w:p w14:paraId="59E10F6E" w14:textId="77777777" w:rsidR="00A427C1" w:rsidRPr="00A427C1" w:rsidRDefault="00A427C1" w:rsidP="00A427C1">
            <w:pPr>
              <w:jc w:val="center"/>
              <w:rPr>
                <w:rFonts w:ascii="Calibri" w:eastAsia="Times New Roman" w:hAnsi="Calibri"/>
                <w:color w:val="000000"/>
                <w:sz w:val="22"/>
                <w:szCs w:val="22"/>
              </w:rPr>
            </w:pPr>
            <w:r w:rsidRPr="00A427C1">
              <w:rPr>
                <w:rFonts w:ascii="Calibri" w:eastAsia="Times New Roman" w:hAnsi="Calibri"/>
                <w:color w:val="000000"/>
                <w:sz w:val="22"/>
                <w:szCs w:val="22"/>
              </w:rPr>
              <w:t>4</w:t>
            </w:r>
          </w:p>
        </w:tc>
        <w:tc>
          <w:tcPr>
            <w:tcW w:w="4656" w:type="dxa"/>
            <w:shd w:val="clear" w:color="auto" w:fill="auto"/>
            <w:noWrap/>
            <w:vAlign w:val="center"/>
            <w:hideMark/>
          </w:tcPr>
          <w:p w14:paraId="2A19CB6D" w14:textId="77777777" w:rsidR="00A427C1" w:rsidRPr="00A427C1" w:rsidRDefault="00A427C1" w:rsidP="00A427C1">
            <w:pPr>
              <w:jc w:val="center"/>
              <w:rPr>
                <w:rFonts w:ascii="Calibri" w:eastAsia="Times New Roman" w:hAnsi="Calibri"/>
                <w:sz w:val="22"/>
                <w:szCs w:val="22"/>
              </w:rPr>
            </w:pPr>
            <w:r w:rsidRPr="00A427C1">
              <w:rPr>
                <w:rFonts w:ascii="Calibri" w:eastAsia="Times New Roman" w:hAnsi="Calibri"/>
                <w:sz w:val="22"/>
                <w:szCs w:val="22"/>
              </w:rPr>
              <w:t>49,154,744</w:t>
            </w:r>
          </w:p>
        </w:tc>
      </w:tr>
      <w:tr w:rsidR="00F1725D" w:rsidRPr="00A427C1" w14:paraId="35028C84" w14:textId="77777777" w:rsidTr="00F1725D">
        <w:trPr>
          <w:trHeight w:val="358"/>
        </w:trPr>
        <w:tc>
          <w:tcPr>
            <w:tcW w:w="2377" w:type="dxa"/>
            <w:shd w:val="clear" w:color="auto" w:fill="auto"/>
            <w:noWrap/>
            <w:vAlign w:val="center"/>
            <w:hideMark/>
          </w:tcPr>
          <w:p w14:paraId="52E60901" w14:textId="77777777" w:rsidR="00A427C1" w:rsidRPr="00A427C1" w:rsidRDefault="00A427C1" w:rsidP="00A427C1">
            <w:pPr>
              <w:jc w:val="center"/>
              <w:rPr>
                <w:rFonts w:ascii="Calibri" w:eastAsia="Times New Roman" w:hAnsi="Calibri"/>
                <w:sz w:val="22"/>
                <w:szCs w:val="22"/>
              </w:rPr>
            </w:pPr>
            <w:r w:rsidRPr="00A427C1">
              <w:rPr>
                <w:rFonts w:ascii="Calibri" w:eastAsia="Times New Roman" w:hAnsi="Calibri"/>
                <w:sz w:val="22"/>
                <w:szCs w:val="22"/>
              </w:rPr>
              <w:t>2011</w:t>
            </w:r>
          </w:p>
        </w:tc>
        <w:tc>
          <w:tcPr>
            <w:tcW w:w="2515" w:type="dxa"/>
            <w:shd w:val="clear" w:color="auto" w:fill="auto"/>
            <w:noWrap/>
            <w:vAlign w:val="center"/>
            <w:hideMark/>
          </w:tcPr>
          <w:p w14:paraId="5DF446B3" w14:textId="77777777" w:rsidR="00A427C1" w:rsidRPr="00A427C1" w:rsidRDefault="00A427C1" w:rsidP="00A427C1">
            <w:pPr>
              <w:jc w:val="center"/>
              <w:rPr>
                <w:rFonts w:ascii="Calibri" w:eastAsia="Times New Roman" w:hAnsi="Calibri"/>
                <w:color w:val="000000"/>
                <w:sz w:val="22"/>
                <w:szCs w:val="22"/>
              </w:rPr>
            </w:pPr>
            <w:r w:rsidRPr="00A427C1">
              <w:rPr>
                <w:rFonts w:ascii="Calibri" w:eastAsia="Times New Roman" w:hAnsi="Calibri"/>
                <w:color w:val="000000"/>
                <w:sz w:val="22"/>
                <w:szCs w:val="22"/>
              </w:rPr>
              <w:t>5</w:t>
            </w:r>
          </w:p>
        </w:tc>
        <w:tc>
          <w:tcPr>
            <w:tcW w:w="4656" w:type="dxa"/>
            <w:shd w:val="clear" w:color="auto" w:fill="auto"/>
            <w:vAlign w:val="center"/>
            <w:hideMark/>
          </w:tcPr>
          <w:p w14:paraId="7F492AF9" w14:textId="77777777" w:rsidR="00A427C1" w:rsidRPr="00A427C1" w:rsidRDefault="00A427C1" w:rsidP="00A427C1">
            <w:pPr>
              <w:jc w:val="center"/>
              <w:rPr>
                <w:rFonts w:ascii="Calibri" w:eastAsia="Times New Roman" w:hAnsi="Calibri"/>
                <w:sz w:val="22"/>
                <w:szCs w:val="22"/>
              </w:rPr>
            </w:pPr>
            <w:r w:rsidRPr="00A427C1">
              <w:rPr>
                <w:rFonts w:ascii="Calibri" w:eastAsia="Times New Roman" w:hAnsi="Calibri"/>
                <w:sz w:val="22"/>
                <w:szCs w:val="22"/>
              </w:rPr>
              <w:t>20,629,958</w:t>
            </w:r>
          </w:p>
        </w:tc>
      </w:tr>
      <w:tr w:rsidR="00F1725D" w:rsidRPr="00A427C1" w14:paraId="55D75D9D" w14:textId="77777777" w:rsidTr="00F1725D">
        <w:trPr>
          <w:trHeight w:val="358"/>
        </w:trPr>
        <w:tc>
          <w:tcPr>
            <w:tcW w:w="2377" w:type="dxa"/>
            <w:shd w:val="clear" w:color="auto" w:fill="auto"/>
            <w:noWrap/>
            <w:vAlign w:val="center"/>
            <w:hideMark/>
          </w:tcPr>
          <w:p w14:paraId="3DD579BF" w14:textId="77777777" w:rsidR="00A427C1" w:rsidRPr="00A427C1" w:rsidRDefault="00A427C1" w:rsidP="00A427C1">
            <w:pPr>
              <w:jc w:val="center"/>
              <w:rPr>
                <w:rFonts w:ascii="Calibri" w:eastAsia="Times New Roman" w:hAnsi="Calibri"/>
                <w:sz w:val="22"/>
                <w:szCs w:val="22"/>
              </w:rPr>
            </w:pPr>
            <w:r w:rsidRPr="00A427C1">
              <w:rPr>
                <w:rFonts w:ascii="Calibri" w:eastAsia="Times New Roman" w:hAnsi="Calibri"/>
                <w:sz w:val="22"/>
                <w:szCs w:val="22"/>
              </w:rPr>
              <w:t>2012</w:t>
            </w:r>
          </w:p>
        </w:tc>
        <w:tc>
          <w:tcPr>
            <w:tcW w:w="2515" w:type="dxa"/>
            <w:shd w:val="clear" w:color="auto" w:fill="auto"/>
            <w:noWrap/>
            <w:vAlign w:val="center"/>
            <w:hideMark/>
          </w:tcPr>
          <w:p w14:paraId="41AC6D67" w14:textId="77777777" w:rsidR="00A427C1" w:rsidRPr="00A427C1" w:rsidRDefault="00A427C1" w:rsidP="00A427C1">
            <w:pPr>
              <w:jc w:val="center"/>
              <w:rPr>
                <w:rFonts w:ascii="Calibri" w:eastAsia="Times New Roman" w:hAnsi="Calibri"/>
                <w:color w:val="000000"/>
                <w:sz w:val="22"/>
                <w:szCs w:val="22"/>
              </w:rPr>
            </w:pPr>
            <w:r w:rsidRPr="00A427C1">
              <w:rPr>
                <w:rFonts w:ascii="Calibri" w:eastAsia="Times New Roman" w:hAnsi="Calibri"/>
                <w:color w:val="000000"/>
                <w:sz w:val="22"/>
                <w:szCs w:val="22"/>
              </w:rPr>
              <w:t>5</w:t>
            </w:r>
          </w:p>
        </w:tc>
        <w:tc>
          <w:tcPr>
            <w:tcW w:w="4656" w:type="dxa"/>
            <w:shd w:val="clear" w:color="auto" w:fill="auto"/>
            <w:vAlign w:val="center"/>
            <w:hideMark/>
          </w:tcPr>
          <w:p w14:paraId="0EEDDA2B" w14:textId="77777777" w:rsidR="00A427C1" w:rsidRPr="00A427C1" w:rsidRDefault="00A427C1" w:rsidP="00A427C1">
            <w:pPr>
              <w:jc w:val="center"/>
              <w:rPr>
                <w:rFonts w:ascii="Calibri" w:eastAsia="Times New Roman" w:hAnsi="Calibri"/>
                <w:sz w:val="22"/>
                <w:szCs w:val="22"/>
              </w:rPr>
            </w:pPr>
            <w:r w:rsidRPr="00A427C1">
              <w:rPr>
                <w:rFonts w:ascii="Calibri" w:eastAsia="Times New Roman" w:hAnsi="Calibri"/>
                <w:sz w:val="22"/>
                <w:szCs w:val="22"/>
              </w:rPr>
              <w:t>34,699,345</w:t>
            </w:r>
          </w:p>
        </w:tc>
      </w:tr>
      <w:tr w:rsidR="00F1725D" w:rsidRPr="00A427C1" w14:paraId="6176AA35" w14:textId="77777777" w:rsidTr="00F1725D">
        <w:trPr>
          <w:trHeight w:val="358"/>
        </w:trPr>
        <w:tc>
          <w:tcPr>
            <w:tcW w:w="2377" w:type="dxa"/>
            <w:shd w:val="clear" w:color="auto" w:fill="auto"/>
            <w:noWrap/>
            <w:vAlign w:val="center"/>
            <w:hideMark/>
          </w:tcPr>
          <w:p w14:paraId="422F4081" w14:textId="77777777" w:rsidR="00A427C1" w:rsidRPr="00A427C1" w:rsidRDefault="00A427C1" w:rsidP="00A427C1">
            <w:pPr>
              <w:jc w:val="center"/>
              <w:rPr>
                <w:rFonts w:ascii="Calibri" w:eastAsia="Times New Roman" w:hAnsi="Calibri"/>
                <w:sz w:val="22"/>
                <w:szCs w:val="22"/>
              </w:rPr>
            </w:pPr>
            <w:r w:rsidRPr="00A427C1">
              <w:rPr>
                <w:rFonts w:ascii="Calibri" w:eastAsia="Times New Roman" w:hAnsi="Calibri"/>
                <w:sz w:val="22"/>
                <w:szCs w:val="22"/>
              </w:rPr>
              <w:t>2013</w:t>
            </w:r>
          </w:p>
        </w:tc>
        <w:tc>
          <w:tcPr>
            <w:tcW w:w="2515" w:type="dxa"/>
            <w:shd w:val="clear" w:color="auto" w:fill="auto"/>
            <w:noWrap/>
            <w:vAlign w:val="center"/>
            <w:hideMark/>
          </w:tcPr>
          <w:p w14:paraId="29CA60FE" w14:textId="77777777" w:rsidR="00A427C1" w:rsidRPr="00A427C1" w:rsidRDefault="00A427C1" w:rsidP="00A427C1">
            <w:pPr>
              <w:jc w:val="center"/>
              <w:rPr>
                <w:rFonts w:ascii="Calibri" w:eastAsia="Times New Roman" w:hAnsi="Calibri"/>
                <w:color w:val="000000"/>
                <w:sz w:val="22"/>
                <w:szCs w:val="22"/>
              </w:rPr>
            </w:pPr>
            <w:r w:rsidRPr="00A427C1">
              <w:rPr>
                <w:rFonts w:ascii="Calibri" w:eastAsia="Times New Roman" w:hAnsi="Calibri"/>
                <w:color w:val="000000"/>
                <w:sz w:val="22"/>
                <w:szCs w:val="22"/>
              </w:rPr>
              <w:t>6</w:t>
            </w:r>
          </w:p>
        </w:tc>
        <w:tc>
          <w:tcPr>
            <w:tcW w:w="4656" w:type="dxa"/>
            <w:shd w:val="clear" w:color="auto" w:fill="auto"/>
            <w:vAlign w:val="center"/>
            <w:hideMark/>
          </w:tcPr>
          <w:p w14:paraId="53F7B8BA" w14:textId="77777777" w:rsidR="00A427C1" w:rsidRPr="00A427C1" w:rsidRDefault="00A427C1" w:rsidP="00A427C1">
            <w:pPr>
              <w:jc w:val="center"/>
              <w:rPr>
                <w:rFonts w:ascii="Calibri" w:eastAsia="Times New Roman" w:hAnsi="Calibri"/>
                <w:sz w:val="22"/>
                <w:szCs w:val="22"/>
              </w:rPr>
            </w:pPr>
            <w:r w:rsidRPr="00A427C1">
              <w:rPr>
                <w:rFonts w:ascii="Calibri" w:eastAsia="Times New Roman" w:hAnsi="Calibri"/>
                <w:sz w:val="22"/>
                <w:szCs w:val="22"/>
              </w:rPr>
              <w:t>48,181,303</w:t>
            </w:r>
          </w:p>
        </w:tc>
      </w:tr>
      <w:tr w:rsidR="00F1725D" w:rsidRPr="00A427C1" w14:paraId="3238BB8F" w14:textId="77777777" w:rsidTr="00F1725D">
        <w:trPr>
          <w:trHeight w:val="358"/>
        </w:trPr>
        <w:tc>
          <w:tcPr>
            <w:tcW w:w="2377" w:type="dxa"/>
            <w:tcBorders>
              <w:bottom w:val="single" w:sz="6" w:space="0" w:color="auto"/>
            </w:tcBorders>
            <w:shd w:val="clear" w:color="auto" w:fill="auto"/>
            <w:noWrap/>
            <w:vAlign w:val="center"/>
            <w:hideMark/>
          </w:tcPr>
          <w:p w14:paraId="206CB003" w14:textId="77777777" w:rsidR="00A427C1" w:rsidRPr="00A427C1" w:rsidRDefault="00A427C1" w:rsidP="00A427C1">
            <w:pPr>
              <w:jc w:val="center"/>
              <w:rPr>
                <w:rFonts w:ascii="Calibri" w:eastAsia="Times New Roman" w:hAnsi="Calibri"/>
                <w:sz w:val="22"/>
                <w:szCs w:val="22"/>
              </w:rPr>
            </w:pPr>
            <w:r w:rsidRPr="00A427C1">
              <w:rPr>
                <w:rFonts w:ascii="Calibri" w:eastAsia="Times New Roman" w:hAnsi="Calibri"/>
                <w:sz w:val="22"/>
                <w:szCs w:val="22"/>
              </w:rPr>
              <w:t>2014</w:t>
            </w:r>
          </w:p>
        </w:tc>
        <w:tc>
          <w:tcPr>
            <w:tcW w:w="2515" w:type="dxa"/>
            <w:tcBorders>
              <w:bottom w:val="single" w:sz="6" w:space="0" w:color="auto"/>
            </w:tcBorders>
            <w:shd w:val="clear" w:color="auto" w:fill="auto"/>
            <w:noWrap/>
            <w:vAlign w:val="center"/>
            <w:hideMark/>
          </w:tcPr>
          <w:p w14:paraId="04A92721" w14:textId="77777777" w:rsidR="00A427C1" w:rsidRPr="00A427C1" w:rsidRDefault="00A427C1" w:rsidP="00A427C1">
            <w:pPr>
              <w:jc w:val="center"/>
              <w:rPr>
                <w:rFonts w:ascii="Calibri" w:eastAsia="Times New Roman" w:hAnsi="Calibri"/>
                <w:color w:val="000000"/>
                <w:sz w:val="22"/>
                <w:szCs w:val="22"/>
              </w:rPr>
            </w:pPr>
            <w:r w:rsidRPr="00A427C1">
              <w:rPr>
                <w:rFonts w:ascii="Calibri" w:eastAsia="Times New Roman" w:hAnsi="Calibri"/>
                <w:color w:val="000000"/>
                <w:sz w:val="22"/>
                <w:szCs w:val="22"/>
              </w:rPr>
              <w:t>7</w:t>
            </w:r>
          </w:p>
        </w:tc>
        <w:tc>
          <w:tcPr>
            <w:tcW w:w="4656" w:type="dxa"/>
            <w:tcBorders>
              <w:bottom w:val="single" w:sz="6" w:space="0" w:color="auto"/>
            </w:tcBorders>
            <w:shd w:val="clear" w:color="auto" w:fill="auto"/>
            <w:noWrap/>
            <w:vAlign w:val="center"/>
            <w:hideMark/>
          </w:tcPr>
          <w:p w14:paraId="684ECDC4" w14:textId="77777777" w:rsidR="00A427C1" w:rsidRPr="00A427C1" w:rsidRDefault="00A427C1" w:rsidP="00A427C1">
            <w:pPr>
              <w:jc w:val="center"/>
              <w:rPr>
                <w:rFonts w:ascii="Calibri" w:eastAsia="Times New Roman" w:hAnsi="Calibri"/>
                <w:color w:val="000000"/>
                <w:sz w:val="22"/>
                <w:szCs w:val="22"/>
              </w:rPr>
            </w:pPr>
            <w:r w:rsidRPr="00A427C1">
              <w:rPr>
                <w:rFonts w:ascii="Calibri" w:eastAsia="Times New Roman" w:hAnsi="Calibri"/>
                <w:color w:val="000000"/>
                <w:sz w:val="22"/>
                <w:szCs w:val="22"/>
              </w:rPr>
              <w:t>20,855,368</w:t>
            </w:r>
          </w:p>
        </w:tc>
      </w:tr>
      <w:tr w:rsidR="00F1725D" w:rsidRPr="00A427C1" w14:paraId="08EAEE8B" w14:textId="77777777" w:rsidTr="00F1725D">
        <w:trPr>
          <w:trHeight w:val="358"/>
        </w:trPr>
        <w:tc>
          <w:tcPr>
            <w:tcW w:w="2377" w:type="dxa"/>
            <w:tcBorders>
              <w:top w:val="single" w:sz="6" w:space="0" w:color="auto"/>
              <w:bottom w:val="single" w:sz="4" w:space="0" w:color="auto"/>
            </w:tcBorders>
            <w:shd w:val="clear" w:color="auto" w:fill="FFFF00"/>
            <w:noWrap/>
            <w:vAlign w:val="center"/>
            <w:hideMark/>
          </w:tcPr>
          <w:p w14:paraId="4580313E" w14:textId="77777777" w:rsidR="00A427C1" w:rsidRPr="00A427C1" w:rsidRDefault="00A427C1" w:rsidP="00A427C1">
            <w:pPr>
              <w:jc w:val="center"/>
              <w:rPr>
                <w:rFonts w:ascii="Calibri" w:eastAsia="Times New Roman" w:hAnsi="Calibri"/>
                <w:b/>
                <w:bCs/>
                <w:sz w:val="22"/>
                <w:szCs w:val="22"/>
              </w:rPr>
            </w:pPr>
            <w:r w:rsidRPr="00A427C1">
              <w:rPr>
                <w:rFonts w:ascii="Calibri" w:eastAsia="Times New Roman" w:hAnsi="Calibri"/>
                <w:b/>
                <w:bCs/>
                <w:sz w:val="22"/>
                <w:szCs w:val="22"/>
              </w:rPr>
              <w:t>Totals</w:t>
            </w:r>
          </w:p>
        </w:tc>
        <w:tc>
          <w:tcPr>
            <w:tcW w:w="2515" w:type="dxa"/>
            <w:tcBorders>
              <w:top w:val="single" w:sz="6" w:space="0" w:color="auto"/>
              <w:bottom w:val="single" w:sz="4" w:space="0" w:color="auto"/>
            </w:tcBorders>
            <w:shd w:val="clear" w:color="auto" w:fill="FFFF00"/>
            <w:noWrap/>
            <w:vAlign w:val="center"/>
            <w:hideMark/>
          </w:tcPr>
          <w:p w14:paraId="61EDFE9F" w14:textId="77777777" w:rsidR="00A427C1" w:rsidRPr="00A427C1" w:rsidRDefault="00A427C1" w:rsidP="00A427C1">
            <w:pPr>
              <w:jc w:val="center"/>
              <w:rPr>
                <w:rFonts w:ascii="Calibri" w:eastAsia="Times New Roman" w:hAnsi="Calibri"/>
                <w:b/>
                <w:bCs/>
                <w:color w:val="000000"/>
                <w:sz w:val="22"/>
                <w:szCs w:val="22"/>
              </w:rPr>
            </w:pPr>
            <w:r w:rsidRPr="00A427C1">
              <w:rPr>
                <w:rFonts w:ascii="Calibri" w:eastAsia="Times New Roman" w:hAnsi="Calibri"/>
                <w:b/>
                <w:bCs/>
                <w:color w:val="000000"/>
                <w:sz w:val="22"/>
                <w:szCs w:val="22"/>
              </w:rPr>
              <w:t>74</w:t>
            </w:r>
          </w:p>
        </w:tc>
        <w:tc>
          <w:tcPr>
            <w:tcW w:w="4656" w:type="dxa"/>
            <w:tcBorders>
              <w:top w:val="single" w:sz="6" w:space="0" w:color="auto"/>
              <w:bottom w:val="single" w:sz="4" w:space="0" w:color="auto"/>
            </w:tcBorders>
            <w:shd w:val="clear" w:color="auto" w:fill="FFFF00"/>
            <w:noWrap/>
            <w:vAlign w:val="center"/>
            <w:hideMark/>
          </w:tcPr>
          <w:p w14:paraId="024E1792" w14:textId="01BCB930" w:rsidR="00A427C1" w:rsidRPr="00A427C1" w:rsidRDefault="00F33E48" w:rsidP="00F33E48">
            <w:pPr>
              <w:rPr>
                <w:rFonts w:ascii="Calibri" w:eastAsia="Times New Roman" w:hAnsi="Calibri"/>
                <w:b/>
                <w:bCs/>
                <w:color w:val="000000"/>
                <w:sz w:val="22"/>
                <w:szCs w:val="22"/>
              </w:rPr>
            </w:pPr>
            <w:r>
              <w:rPr>
                <w:rFonts w:ascii="Calibri" w:eastAsia="Times New Roman" w:hAnsi="Calibri"/>
                <w:b/>
                <w:bCs/>
                <w:color w:val="000000"/>
                <w:sz w:val="22"/>
                <w:szCs w:val="22"/>
              </w:rPr>
              <w:t xml:space="preserve">                              $</w:t>
            </w:r>
            <w:r w:rsidR="00A427C1" w:rsidRPr="00A427C1">
              <w:rPr>
                <w:rFonts w:ascii="Calibri" w:eastAsia="Times New Roman" w:hAnsi="Calibri"/>
                <w:b/>
                <w:bCs/>
                <w:color w:val="000000"/>
                <w:sz w:val="22"/>
                <w:szCs w:val="22"/>
              </w:rPr>
              <w:t>386,963,034</w:t>
            </w:r>
          </w:p>
        </w:tc>
      </w:tr>
    </w:tbl>
    <w:p w14:paraId="36E3E869" w14:textId="44FE6946" w:rsidR="00453202" w:rsidRDefault="009A7B54" w:rsidP="00453202">
      <w:pPr>
        <w:rPr>
          <w:rFonts w:ascii="Calibri" w:hAnsi="Calibri"/>
        </w:rPr>
      </w:pPr>
      <w:r>
        <w:rPr>
          <w:rFonts w:ascii="Calibri" w:hAnsi="Calibri"/>
        </w:rPr>
        <w:t>Amount of expenditures refers to QRE’s eligible for tax deduction. The total cost</w:t>
      </w:r>
      <w:r w:rsidR="008F4899">
        <w:rPr>
          <w:rFonts w:ascii="Calibri" w:hAnsi="Calibri"/>
        </w:rPr>
        <w:t xml:space="preserve"> of the project may be greater. </w:t>
      </w:r>
    </w:p>
    <w:p w14:paraId="576EA4D1" w14:textId="77777777" w:rsidR="004579CA" w:rsidRDefault="004579CA" w:rsidP="00453202">
      <w:pPr>
        <w:rPr>
          <w:rFonts w:ascii="Calibri" w:hAnsi="Calibri"/>
          <w:b/>
        </w:rPr>
      </w:pPr>
    </w:p>
    <w:p w14:paraId="12AE97C9" w14:textId="647AD5F3" w:rsidR="009A7B54" w:rsidRDefault="004579CA" w:rsidP="00453202">
      <w:pPr>
        <w:rPr>
          <w:rFonts w:ascii="Calibri" w:hAnsi="Calibri"/>
          <w:b/>
        </w:rPr>
      </w:pPr>
      <w:r>
        <w:rPr>
          <w:rFonts w:ascii="Calibri" w:hAnsi="Calibri"/>
          <w:b/>
        </w:rPr>
        <w:t>Analysis</w:t>
      </w:r>
    </w:p>
    <w:p w14:paraId="7A1CC335" w14:textId="1FE3FC32" w:rsidR="00BC7D1C" w:rsidRPr="00CB0E3D" w:rsidRDefault="00BC7D1C" w:rsidP="00453202">
      <w:pPr>
        <w:rPr>
          <w:rFonts w:ascii="Calibri" w:hAnsi="Calibri"/>
          <w:i/>
        </w:rPr>
      </w:pPr>
      <w:r>
        <w:rPr>
          <w:rFonts w:ascii="Calibri" w:hAnsi="Calibri"/>
        </w:rPr>
        <w:t xml:space="preserve">The high utilization rate and </w:t>
      </w:r>
      <w:r w:rsidR="00F33E48">
        <w:rPr>
          <w:rFonts w:ascii="Calibri" w:hAnsi="Calibri"/>
        </w:rPr>
        <w:t xml:space="preserve">sizable </w:t>
      </w:r>
      <w:r>
        <w:rPr>
          <w:rFonts w:ascii="Calibri" w:hAnsi="Calibri"/>
        </w:rPr>
        <w:t xml:space="preserve">economic benefit </w:t>
      </w:r>
      <w:r w:rsidR="00CB0E3D">
        <w:rPr>
          <w:rFonts w:ascii="Calibri" w:hAnsi="Calibri"/>
        </w:rPr>
        <w:t xml:space="preserve">(in the form of tax relief) </w:t>
      </w:r>
      <w:r>
        <w:rPr>
          <w:rFonts w:ascii="Calibri" w:hAnsi="Calibri"/>
        </w:rPr>
        <w:t>to the owner/taxpayer of an eligible historic structure</w:t>
      </w:r>
      <w:r w:rsidR="00F33E48">
        <w:rPr>
          <w:rFonts w:ascii="Calibri" w:hAnsi="Calibri"/>
        </w:rPr>
        <w:t xml:space="preserve"> make this program the strongest economic incentive for preservation </w:t>
      </w:r>
      <w:r w:rsidR="00CB0E3D">
        <w:rPr>
          <w:rFonts w:ascii="Calibri" w:hAnsi="Calibri"/>
        </w:rPr>
        <w:t xml:space="preserve">and the rehabilitation of historic structures </w:t>
      </w:r>
      <w:r w:rsidR="00F33E48">
        <w:rPr>
          <w:rFonts w:ascii="Calibri" w:hAnsi="Calibri"/>
        </w:rPr>
        <w:t xml:space="preserve">available. </w:t>
      </w:r>
      <w:r w:rsidR="00CB0E3D">
        <w:rPr>
          <w:rFonts w:ascii="Calibri" w:hAnsi="Calibri"/>
        </w:rPr>
        <w:t>[</w:t>
      </w:r>
      <w:r w:rsidR="00CB0E3D">
        <w:rPr>
          <w:rFonts w:ascii="Calibri" w:hAnsi="Calibri"/>
          <w:i/>
        </w:rPr>
        <w:t>is this program available on a one time only basis, or can it be re-applied for after expiration if there is new expenditure in the building’s rehabilitation?]</w:t>
      </w:r>
    </w:p>
    <w:p w14:paraId="4AB5C216" w14:textId="77777777" w:rsidR="004579CA" w:rsidRDefault="004579CA" w:rsidP="00453202">
      <w:pPr>
        <w:rPr>
          <w:rFonts w:ascii="Calibri" w:hAnsi="Calibri"/>
        </w:rPr>
      </w:pPr>
    </w:p>
    <w:p w14:paraId="5B48AF8E" w14:textId="6057D703" w:rsidR="00946514" w:rsidRPr="00453202" w:rsidRDefault="00946514" w:rsidP="00453202">
      <w:pPr>
        <w:rPr>
          <w:rFonts w:ascii="Calibri" w:hAnsi="Calibri"/>
        </w:rPr>
      </w:pPr>
      <w:r w:rsidRPr="00453202">
        <w:rPr>
          <w:rFonts w:ascii="Calibri" w:hAnsi="Calibri"/>
        </w:rPr>
        <w:t xml:space="preserve">Sources: </w:t>
      </w:r>
    </w:p>
    <w:p w14:paraId="0E83B028" w14:textId="77777777" w:rsidR="00946514" w:rsidRPr="00453202" w:rsidRDefault="00C52780" w:rsidP="00453202">
      <w:pPr>
        <w:pStyle w:val="ListParagraph"/>
        <w:numPr>
          <w:ilvl w:val="0"/>
          <w:numId w:val="3"/>
        </w:numPr>
        <w:rPr>
          <w:rFonts w:ascii="Calibri" w:hAnsi="Calibri"/>
        </w:rPr>
      </w:pPr>
      <w:hyperlink r:id="rId13" w:history="1">
        <w:r w:rsidR="00946514" w:rsidRPr="00453202">
          <w:rPr>
            <w:rStyle w:val="Hyperlink"/>
            <w:rFonts w:ascii="Calibri" w:hAnsi="Calibri"/>
            <w:color w:val="auto"/>
          </w:rPr>
          <w:t>http://www.seattle.gov/neighborhoods/preservation/incentives_state.htm</w:t>
        </w:r>
      </w:hyperlink>
    </w:p>
    <w:p w14:paraId="0B68A414" w14:textId="6DDFCB24" w:rsidR="00352AC9" w:rsidRPr="00453202" w:rsidRDefault="00C52780" w:rsidP="00453202">
      <w:pPr>
        <w:pStyle w:val="ListParagraph"/>
        <w:numPr>
          <w:ilvl w:val="0"/>
          <w:numId w:val="2"/>
        </w:numPr>
        <w:rPr>
          <w:rStyle w:val="Hyperlink"/>
          <w:rFonts w:ascii="Calibri" w:hAnsi="Calibri"/>
          <w:color w:val="auto"/>
        </w:rPr>
      </w:pPr>
      <w:hyperlink r:id="rId14" w:history="1">
        <w:r w:rsidR="00946514" w:rsidRPr="00453202">
          <w:rPr>
            <w:rStyle w:val="Hyperlink"/>
            <w:rFonts w:ascii="Calibri" w:hAnsi="Calibri"/>
            <w:color w:val="auto"/>
          </w:rPr>
          <w:t>http://www.seattle.gov/neighborhoods/preservation/documents/brochure_incentives.pdf</w:t>
        </w:r>
      </w:hyperlink>
    </w:p>
    <w:p w14:paraId="59F3826F" w14:textId="32EAFBDD" w:rsidR="00352AC9" w:rsidRPr="00453202" w:rsidRDefault="00C52780" w:rsidP="00453202">
      <w:pPr>
        <w:pStyle w:val="ListParagraph"/>
        <w:numPr>
          <w:ilvl w:val="0"/>
          <w:numId w:val="2"/>
        </w:numPr>
        <w:rPr>
          <w:rStyle w:val="Hyperlink"/>
          <w:rFonts w:ascii="Calibri" w:hAnsi="Calibri"/>
          <w:color w:val="auto"/>
        </w:rPr>
      </w:pPr>
      <w:hyperlink r:id="rId15" w:history="1">
        <w:r w:rsidR="008C6029" w:rsidRPr="00453202">
          <w:rPr>
            <w:rStyle w:val="Hyperlink"/>
            <w:rFonts w:ascii="Calibri" w:hAnsi="Calibri"/>
            <w:color w:val="auto"/>
          </w:rPr>
          <w:t>http://www.dahp.wa.gov/special-valuation</w:t>
        </w:r>
      </w:hyperlink>
    </w:p>
    <w:p w14:paraId="7E9E4395" w14:textId="7658EFBE" w:rsidR="000F0D49" w:rsidRPr="00453202" w:rsidRDefault="00C52780" w:rsidP="00453202">
      <w:pPr>
        <w:pStyle w:val="ListParagraph"/>
        <w:numPr>
          <w:ilvl w:val="0"/>
          <w:numId w:val="2"/>
        </w:numPr>
        <w:rPr>
          <w:rStyle w:val="Hyperlink"/>
          <w:rFonts w:ascii="Calibri" w:hAnsi="Calibri"/>
          <w:color w:val="auto"/>
        </w:rPr>
      </w:pPr>
      <w:hyperlink r:id="rId16" w:history="1">
        <w:r w:rsidR="00515420" w:rsidRPr="00453202">
          <w:rPr>
            <w:rStyle w:val="Hyperlink"/>
            <w:rFonts w:ascii="Calibri" w:hAnsi="Calibri"/>
            <w:color w:val="auto"/>
          </w:rPr>
          <w:t>http://www.irs.gov/pub/irs-mssp/rehab.pdf</w:t>
        </w:r>
      </w:hyperlink>
    </w:p>
    <w:p w14:paraId="34B2193C" w14:textId="2639800E" w:rsidR="008C6029" w:rsidRPr="00453202" w:rsidRDefault="008C6029" w:rsidP="00453202">
      <w:pPr>
        <w:pStyle w:val="ListParagraph"/>
        <w:numPr>
          <w:ilvl w:val="0"/>
          <w:numId w:val="2"/>
        </w:numPr>
        <w:rPr>
          <w:rStyle w:val="Hyperlink"/>
          <w:rFonts w:ascii="Calibri" w:hAnsi="Calibri"/>
          <w:color w:val="auto"/>
          <w:u w:val="none"/>
        </w:rPr>
      </w:pPr>
      <w:r w:rsidRPr="00453202">
        <w:rPr>
          <w:rStyle w:val="Hyperlink"/>
          <w:rFonts w:ascii="Calibri" w:hAnsi="Calibri"/>
          <w:color w:val="auto"/>
          <w:u w:val="none"/>
        </w:rPr>
        <w:t xml:space="preserve">Special Tax Valuation for Rehabilitated Historic Properties Technical Paper No. 17, Seattle King County Historic Preservation Program, Department of Natural Resources and Parks. </w:t>
      </w:r>
    </w:p>
    <w:p w14:paraId="61BC3DBA" w14:textId="77777777" w:rsidR="004A70DF" w:rsidRDefault="004A70DF" w:rsidP="00946514">
      <w:pPr>
        <w:rPr>
          <w:rFonts w:ascii="Calibri" w:hAnsi="Calibri"/>
          <w:color w:val="0000FF" w:themeColor="hyperlink"/>
        </w:rPr>
      </w:pPr>
    </w:p>
    <w:p w14:paraId="4DB644D1" w14:textId="77777777" w:rsidR="004579CA" w:rsidRDefault="004579CA" w:rsidP="00946514">
      <w:pPr>
        <w:rPr>
          <w:rFonts w:ascii="Calibri" w:hAnsi="Calibri"/>
          <w:b/>
        </w:rPr>
      </w:pPr>
    </w:p>
    <w:p w14:paraId="46323F6B" w14:textId="77777777" w:rsidR="00CB0E3D" w:rsidRDefault="00CB0E3D" w:rsidP="00946514">
      <w:pPr>
        <w:rPr>
          <w:rFonts w:ascii="Calibri" w:hAnsi="Calibri"/>
          <w:b/>
        </w:rPr>
      </w:pPr>
    </w:p>
    <w:p w14:paraId="49E14C0D" w14:textId="29E66515" w:rsidR="00946514" w:rsidRPr="00C91A4E" w:rsidRDefault="007B25FF" w:rsidP="00946514">
      <w:pPr>
        <w:rPr>
          <w:rFonts w:ascii="Calibri" w:hAnsi="Calibri"/>
          <w:b/>
          <w:sz w:val="28"/>
          <w:szCs w:val="28"/>
        </w:rPr>
      </w:pPr>
      <w:r w:rsidRPr="00C91A4E">
        <w:rPr>
          <w:rFonts w:ascii="Calibri" w:hAnsi="Calibri"/>
          <w:b/>
          <w:sz w:val="28"/>
          <w:szCs w:val="28"/>
        </w:rPr>
        <w:t>Historic Rehabilitation Tax Credit</w:t>
      </w:r>
    </w:p>
    <w:p w14:paraId="5A56FCE8" w14:textId="77777777" w:rsidR="007B25FF" w:rsidRDefault="007B25FF" w:rsidP="00946514">
      <w:pPr>
        <w:rPr>
          <w:rFonts w:ascii="Calibri" w:hAnsi="Calibri"/>
          <w:b/>
        </w:rPr>
      </w:pPr>
    </w:p>
    <w:p w14:paraId="6DDD4574" w14:textId="0EFD366E" w:rsidR="00E879D5" w:rsidRPr="00A427C1" w:rsidRDefault="00AE2877" w:rsidP="00E879D5">
      <w:pPr>
        <w:rPr>
          <w:rFonts w:ascii="Calibri" w:hAnsi="Calibri"/>
        </w:rPr>
      </w:pPr>
      <w:r>
        <w:rPr>
          <w:rFonts w:ascii="Calibri" w:hAnsi="Calibri"/>
        </w:rPr>
        <w:t>Jurisdiction</w:t>
      </w:r>
      <w:r w:rsidR="00E879D5" w:rsidRPr="00A427C1">
        <w:rPr>
          <w:rFonts w:ascii="Calibri" w:hAnsi="Calibri"/>
        </w:rPr>
        <w:t xml:space="preserve">: </w:t>
      </w:r>
      <w:r w:rsidR="00E879D5">
        <w:rPr>
          <w:rFonts w:ascii="Calibri" w:hAnsi="Calibri"/>
        </w:rPr>
        <w:t>Federal</w:t>
      </w:r>
    </w:p>
    <w:p w14:paraId="5CBE555F" w14:textId="77777777" w:rsidR="00E879D5" w:rsidRPr="00A427C1" w:rsidRDefault="00E879D5" w:rsidP="00E879D5">
      <w:pPr>
        <w:rPr>
          <w:rFonts w:ascii="Calibri" w:hAnsi="Calibri"/>
        </w:rPr>
      </w:pPr>
    </w:p>
    <w:p w14:paraId="3B2A8093" w14:textId="0FC72533" w:rsidR="00E879D5" w:rsidRDefault="00E879D5" w:rsidP="00E879D5">
      <w:pPr>
        <w:rPr>
          <w:rFonts w:ascii="Calibri" w:hAnsi="Calibri"/>
        </w:rPr>
      </w:pPr>
      <w:r w:rsidRPr="00A427C1">
        <w:rPr>
          <w:rFonts w:ascii="Calibri" w:hAnsi="Calibri"/>
        </w:rPr>
        <w:t xml:space="preserve">Responsible Agency: </w:t>
      </w:r>
      <w:r w:rsidR="003A4291">
        <w:rPr>
          <w:rFonts w:ascii="Calibri" w:hAnsi="Calibri"/>
        </w:rPr>
        <w:t xml:space="preserve">Washington State </w:t>
      </w:r>
      <w:r>
        <w:rPr>
          <w:rFonts w:ascii="Calibri" w:hAnsi="Calibri"/>
        </w:rPr>
        <w:t>Department of Archaeology and H</w:t>
      </w:r>
      <w:r w:rsidR="00A538BE">
        <w:rPr>
          <w:rFonts w:ascii="Calibri" w:hAnsi="Calibri"/>
        </w:rPr>
        <w:t>istoric Preservation</w:t>
      </w:r>
      <w:r w:rsidR="0070194D">
        <w:rPr>
          <w:rFonts w:ascii="Calibri" w:hAnsi="Calibri"/>
        </w:rPr>
        <w:t xml:space="preserve"> (DAHP)</w:t>
      </w:r>
      <w:r w:rsidR="00A538BE">
        <w:rPr>
          <w:rFonts w:ascii="Calibri" w:hAnsi="Calibri"/>
        </w:rPr>
        <w:t xml:space="preserve"> and the National Parks Service</w:t>
      </w:r>
      <w:r w:rsidR="0070194D">
        <w:rPr>
          <w:rFonts w:ascii="Calibri" w:hAnsi="Calibri"/>
        </w:rPr>
        <w:t xml:space="preserve"> (NPS)</w:t>
      </w:r>
      <w:r w:rsidR="00A538BE">
        <w:rPr>
          <w:rFonts w:ascii="Calibri" w:hAnsi="Calibri"/>
        </w:rPr>
        <w:t xml:space="preserve">. </w:t>
      </w:r>
    </w:p>
    <w:p w14:paraId="785014AF" w14:textId="77777777" w:rsidR="003A4291" w:rsidRPr="00A427C1" w:rsidRDefault="003A4291" w:rsidP="00E879D5">
      <w:pPr>
        <w:rPr>
          <w:rFonts w:ascii="Calibri" w:hAnsi="Calibri"/>
        </w:rPr>
      </w:pPr>
    </w:p>
    <w:p w14:paraId="6893551A" w14:textId="6A32F7BC" w:rsidR="00E879D5" w:rsidRPr="00A427C1" w:rsidRDefault="00E879D5" w:rsidP="00E879D5">
      <w:pPr>
        <w:rPr>
          <w:rFonts w:ascii="Calibri" w:hAnsi="Calibri"/>
        </w:rPr>
      </w:pPr>
      <w:r w:rsidRPr="00A427C1">
        <w:rPr>
          <w:rFonts w:ascii="Calibri" w:hAnsi="Calibri"/>
        </w:rPr>
        <w:t xml:space="preserve">Eligible Properties of Interest: </w:t>
      </w:r>
      <w:r w:rsidR="003A4291">
        <w:rPr>
          <w:rFonts w:ascii="Calibri" w:hAnsi="Calibri"/>
        </w:rPr>
        <w:t>Certified histori</w:t>
      </w:r>
      <w:r w:rsidR="00AE691E">
        <w:rPr>
          <w:rFonts w:ascii="Calibri" w:hAnsi="Calibri"/>
        </w:rPr>
        <w:t>c structures listed i</w:t>
      </w:r>
      <w:r w:rsidR="003A4291">
        <w:rPr>
          <w:rFonts w:ascii="Calibri" w:hAnsi="Calibri"/>
        </w:rPr>
        <w:t xml:space="preserve">n the National Register of Historic Places or a building located in a registered historic district and certified by NPS </w:t>
      </w:r>
      <w:r w:rsidR="00AA5587">
        <w:rPr>
          <w:rFonts w:ascii="Calibri" w:hAnsi="Calibri"/>
        </w:rPr>
        <w:t xml:space="preserve">as contributing to the historic significance of the district. </w:t>
      </w:r>
      <w:r w:rsidR="006F61FB">
        <w:rPr>
          <w:rFonts w:ascii="Calibri" w:hAnsi="Calibri"/>
        </w:rPr>
        <w:t xml:space="preserve">Eligible properties must be listed on the National Register of Historic Places but can also be a designated local landmark. </w:t>
      </w:r>
      <w:r w:rsidR="00286EAA">
        <w:rPr>
          <w:rFonts w:ascii="Calibri" w:hAnsi="Calibri"/>
        </w:rPr>
        <w:t xml:space="preserve"> </w:t>
      </w:r>
    </w:p>
    <w:p w14:paraId="7734AE25" w14:textId="77777777" w:rsidR="00E879D5" w:rsidRPr="00A427C1" w:rsidRDefault="00E879D5" w:rsidP="00E879D5">
      <w:pPr>
        <w:rPr>
          <w:rFonts w:ascii="Calibri" w:hAnsi="Calibri"/>
        </w:rPr>
      </w:pPr>
    </w:p>
    <w:p w14:paraId="0BF0319E" w14:textId="10B7D85F" w:rsidR="005922CB" w:rsidRDefault="00E879D5" w:rsidP="008A5727">
      <w:pPr>
        <w:rPr>
          <w:rFonts w:ascii="Calibri" w:hAnsi="Calibri"/>
        </w:rPr>
      </w:pPr>
      <w:r w:rsidRPr="00A427C1">
        <w:rPr>
          <w:rFonts w:ascii="Calibri" w:hAnsi="Calibri"/>
        </w:rPr>
        <w:t>Description:</w:t>
      </w:r>
      <w:r w:rsidR="00037804">
        <w:rPr>
          <w:rFonts w:ascii="Calibri" w:hAnsi="Calibri"/>
          <w:b/>
        </w:rPr>
        <w:t xml:space="preserve"> </w:t>
      </w:r>
      <w:r w:rsidR="00037804">
        <w:rPr>
          <w:rFonts w:ascii="Calibri" w:hAnsi="Calibri"/>
        </w:rPr>
        <w:t>Historic Rehabilitation Tax Credit provides a 20% income tax cr</w:t>
      </w:r>
      <w:r w:rsidR="000E66BA">
        <w:rPr>
          <w:rFonts w:ascii="Calibri" w:hAnsi="Calibri"/>
        </w:rPr>
        <w:t xml:space="preserve">edit </w:t>
      </w:r>
      <w:r w:rsidR="00CB0E3D">
        <w:rPr>
          <w:rFonts w:ascii="Calibri" w:hAnsi="Calibri"/>
        </w:rPr>
        <w:t xml:space="preserve">for the </w:t>
      </w:r>
      <w:r w:rsidR="000E66BA">
        <w:rPr>
          <w:rFonts w:ascii="Calibri" w:hAnsi="Calibri"/>
        </w:rPr>
        <w:t xml:space="preserve">cost of </w:t>
      </w:r>
      <w:r w:rsidR="00B0537C">
        <w:rPr>
          <w:rFonts w:ascii="Calibri" w:hAnsi="Calibri"/>
        </w:rPr>
        <w:t xml:space="preserve">investment for </w:t>
      </w:r>
      <w:r w:rsidR="00037804">
        <w:rPr>
          <w:rFonts w:ascii="Calibri" w:hAnsi="Calibri"/>
        </w:rPr>
        <w:t xml:space="preserve">rehabilitation of a national register listed historic building. </w:t>
      </w:r>
      <w:r w:rsidR="008A5727">
        <w:rPr>
          <w:rFonts w:ascii="Calibri" w:hAnsi="Calibri"/>
        </w:rPr>
        <w:t xml:space="preserve"> To qualify for rehabilitation t</w:t>
      </w:r>
      <w:r w:rsidR="005922CB">
        <w:rPr>
          <w:rFonts w:ascii="Calibri" w:hAnsi="Calibri"/>
        </w:rPr>
        <w:t xml:space="preserve">ax credit, the property </w:t>
      </w:r>
      <w:r w:rsidR="0070194D">
        <w:rPr>
          <w:rFonts w:ascii="Calibri" w:hAnsi="Calibri"/>
        </w:rPr>
        <w:t>must</w:t>
      </w:r>
      <w:r w:rsidR="005922CB">
        <w:rPr>
          <w:rFonts w:ascii="Calibri" w:hAnsi="Calibri"/>
        </w:rPr>
        <w:t>:</w:t>
      </w:r>
    </w:p>
    <w:p w14:paraId="080F4A99" w14:textId="77777777" w:rsidR="005922CB" w:rsidRDefault="005922CB" w:rsidP="008A5727">
      <w:pPr>
        <w:rPr>
          <w:rFonts w:ascii="Calibri" w:hAnsi="Calibri"/>
        </w:rPr>
      </w:pPr>
    </w:p>
    <w:p w14:paraId="74C927D9" w14:textId="258E3DE2" w:rsidR="005922CB" w:rsidRPr="005922CB" w:rsidRDefault="0070194D" w:rsidP="005922CB">
      <w:pPr>
        <w:pStyle w:val="ListParagraph"/>
        <w:numPr>
          <w:ilvl w:val="0"/>
          <w:numId w:val="1"/>
        </w:numPr>
        <w:rPr>
          <w:rFonts w:ascii="Calibri" w:hAnsi="Calibri"/>
        </w:rPr>
      </w:pPr>
      <w:r>
        <w:rPr>
          <w:rFonts w:ascii="Calibri" w:hAnsi="Calibri"/>
        </w:rPr>
        <w:t xml:space="preserve">be </w:t>
      </w:r>
      <w:r w:rsidR="005922CB">
        <w:rPr>
          <w:rFonts w:ascii="Calibri" w:hAnsi="Calibri"/>
        </w:rPr>
        <w:t>l</w:t>
      </w:r>
      <w:r w:rsidR="008A5727" w:rsidRPr="005922CB">
        <w:rPr>
          <w:rFonts w:ascii="Calibri" w:hAnsi="Calibri"/>
        </w:rPr>
        <w:t>isted on the Nationa</w:t>
      </w:r>
      <w:r w:rsidR="005922CB" w:rsidRPr="005922CB">
        <w:rPr>
          <w:rFonts w:ascii="Calibri" w:hAnsi="Calibri"/>
        </w:rPr>
        <w:t>l Register of Historic Places</w:t>
      </w:r>
    </w:p>
    <w:p w14:paraId="693960E9" w14:textId="4EE0A83F" w:rsidR="005922CB" w:rsidRDefault="005922CB" w:rsidP="005922CB">
      <w:pPr>
        <w:pStyle w:val="ListParagraph"/>
        <w:numPr>
          <w:ilvl w:val="0"/>
          <w:numId w:val="1"/>
        </w:numPr>
        <w:rPr>
          <w:rFonts w:ascii="Calibri" w:hAnsi="Calibri"/>
        </w:rPr>
      </w:pPr>
      <w:r>
        <w:rPr>
          <w:rFonts w:ascii="Calibri" w:hAnsi="Calibri"/>
        </w:rPr>
        <w:t>be income producing</w:t>
      </w:r>
    </w:p>
    <w:p w14:paraId="462CCF9B" w14:textId="5CE8D9D2" w:rsidR="005922CB" w:rsidRDefault="0070194D" w:rsidP="005922CB">
      <w:pPr>
        <w:pStyle w:val="ListParagraph"/>
        <w:numPr>
          <w:ilvl w:val="0"/>
          <w:numId w:val="1"/>
        </w:numPr>
        <w:rPr>
          <w:rFonts w:ascii="Calibri" w:hAnsi="Calibri"/>
        </w:rPr>
      </w:pPr>
      <w:r>
        <w:rPr>
          <w:rFonts w:ascii="Calibri" w:hAnsi="Calibri"/>
        </w:rPr>
        <w:t xml:space="preserve">be </w:t>
      </w:r>
      <w:r w:rsidR="009D7564">
        <w:rPr>
          <w:rFonts w:ascii="Calibri" w:hAnsi="Calibri"/>
        </w:rPr>
        <w:t xml:space="preserve">substantial, meaning the </w:t>
      </w:r>
      <w:r w:rsidR="005922CB">
        <w:rPr>
          <w:rFonts w:ascii="Calibri" w:hAnsi="Calibri"/>
        </w:rPr>
        <w:t>c</w:t>
      </w:r>
      <w:r w:rsidR="00981BD0" w:rsidRPr="005922CB">
        <w:rPr>
          <w:rFonts w:ascii="Calibri" w:hAnsi="Calibri"/>
        </w:rPr>
        <w:t>osts for rehabilitation must equal or exceed the Adjusted Basis value</w:t>
      </w:r>
      <w:r w:rsidR="009D7564">
        <w:rPr>
          <w:rFonts w:ascii="Calibri" w:hAnsi="Calibri"/>
        </w:rPr>
        <w:t xml:space="preserve"> (see definition below)</w:t>
      </w:r>
      <w:r w:rsidR="00981BD0" w:rsidRPr="005922CB">
        <w:rPr>
          <w:rFonts w:ascii="Calibri" w:hAnsi="Calibri"/>
        </w:rPr>
        <w:t xml:space="preserve"> of the property</w:t>
      </w:r>
      <w:r w:rsidR="008A5727" w:rsidRPr="005922CB">
        <w:rPr>
          <w:rFonts w:ascii="Calibri" w:hAnsi="Calibri"/>
        </w:rPr>
        <w:t xml:space="preserve">, and </w:t>
      </w:r>
    </w:p>
    <w:p w14:paraId="1E06F418" w14:textId="6B4381E8" w:rsidR="005922CB" w:rsidRDefault="008A5727" w:rsidP="005922CB">
      <w:pPr>
        <w:pStyle w:val="ListParagraph"/>
        <w:numPr>
          <w:ilvl w:val="0"/>
          <w:numId w:val="1"/>
        </w:numPr>
        <w:rPr>
          <w:rFonts w:ascii="Calibri" w:hAnsi="Calibri"/>
        </w:rPr>
      </w:pPr>
      <w:r w:rsidRPr="005922CB">
        <w:rPr>
          <w:rFonts w:ascii="Calibri" w:hAnsi="Calibri"/>
        </w:rPr>
        <w:t xml:space="preserve">meet the Secretary of the Interior’s </w:t>
      </w:r>
      <w:r w:rsidR="000E66BA" w:rsidRPr="005922CB">
        <w:rPr>
          <w:rFonts w:ascii="Calibri" w:hAnsi="Calibri"/>
        </w:rPr>
        <w:t xml:space="preserve">ten </w:t>
      </w:r>
      <w:r w:rsidRPr="005922CB">
        <w:rPr>
          <w:rFonts w:ascii="Calibri" w:hAnsi="Calibri"/>
        </w:rPr>
        <w:t xml:space="preserve">Standards for </w:t>
      </w:r>
      <w:r w:rsidR="003F21FA">
        <w:rPr>
          <w:rFonts w:ascii="Calibri" w:hAnsi="Calibri"/>
        </w:rPr>
        <w:t>Rehabilitation (source reference)</w:t>
      </w:r>
    </w:p>
    <w:p w14:paraId="5EA55734" w14:textId="77777777" w:rsidR="005922CB" w:rsidRDefault="005922CB" w:rsidP="005922CB">
      <w:pPr>
        <w:rPr>
          <w:rFonts w:ascii="Calibri" w:hAnsi="Calibri"/>
        </w:rPr>
      </w:pPr>
    </w:p>
    <w:p w14:paraId="1F757C4D" w14:textId="1343DF45" w:rsidR="00F77505" w:rsidRDefault="00F77505" w:rsidP="005922CB">
      <w:pPr>
        <w:rPr>
          <w:rFonts w:ascii="Calibri" w:hAnsi="Calibri"/>
        </w:rPr>
      </w:pPr>
      <w:r w:rsidRPr="005922CB">
        <w:rPr>
          <w:rFonts w:ascii="Calibri" w:hAnsi="Calibri"/>
        </w:rPr>
        <w:t xml:space="preserve">The certification and review process is administered through the </w:t>
      </w:r>
      <w:r w:rsidR="0070194D">
        <w:rPr>
          <w:rFonts w:ascii="Calibri" w:hAnsi="Calibri"/>
        </w:rPr>
        <w:t>NPS</w:t>
      </w:r>
      <w:r w:rsidRPr="005922CB">
        <w:rPr>
          <w:rFonts w:ascii="Calibri" w:hAnsi="Calibri"/>
        </w:rPr>
        <w:t xml:space="preserve"> and the </w:t>
      </w:r>
      <w:r w:rsidR="00032F54">
        <w:rPr>
          <w:rFonts w:ascii="Calibri" w:hAnsi="Calibri"/>
        </w:rPr>
        <w:t>Standard for Historic Preservation Officer (</w:t>
      </w:r>
      <w:r w:rsidR="0070194D">
        <w:rPr>
          <w:rFonts w:ascii="Calibri" w:hAnsi="Calibri"/>
        </w:rPr>
        <w:t>SHPO</w:t>
      </w:r>
      <w:r w:rsidR="00032F54">
        <w:rPr>
          <w:rFonts w:ascii="Calibri" w:hAnsi="Calibri"/>
        </w:rPr>
        <w:t>)</w:t>
      </w:r>
      <w:r w:rsidR="000E1C2A" w:rsidRPr="005922CB">
        <w:rPr>
          <w:rFonts w:ascii="Calibri" w:hAnsi="Calibri"/>
        </w:rPr>
        <w:t xml:space="preserve">. The SHPO in </w:t>
      </w:r>
      <w:r w:rsidR="00C13851" w:rsidRPr="005922CB">
        <w:rPr>
          <w:rFonts w:ascii="Calibri" w:hAnsi="Calibri"/>
        </w:rPr>
        <w:t xml:space="preserve">Washington </w:t>
      </w:r>
      <w:r w:rsidR="000E1C2A" w:rsidRPr="005922CB">
        <w:rPr>
          <w:rFonts w:ascii="Calibri" w:hAnsi="Calibri"/>
        </w:rPr>
        <w:t xml:space="preserve">State </w:t>
      </w:r>
      <w:r w:rsidR="00C13851" w:rsidRPr="005922CB">
        <w:rPr>
          <w:rFonts w:ascii="Calibri" w:hAnsi="Calibri"/>
        </w:rPr>
        <w:t>is the Department of Archaeology and Historic Preservation</w:t>
      </w:r>
      <w:r w:rsidR="002574FE" w:rsidRPr="005922CB">
        <w:rPr>
          <w:rFonts w:ascii="Calibri" w:hAnsi="Calibri"/>
        </w:rPr>
        <w:t xml:space="preserve"> (DAHP)</w:t>
      </w:r>
      <w:r w:rsidR="00C13851" w:rsidRPr="005922CB">
        <w:rPr>
          <w:rFonts w:ascii="Calibri" w:hAnsi="Calibri"/>
        </w:rPr>
        <w:t>.</w:t>
      </w:r>
      <w:r w:rsidR="002574FE" w:rsidRPr="005922CB">
        <w:rPr>
          <w:rFonts w:ascii="Calibri" w:hAnsi="Calibri"/>
        </w:rPr>
        <w:t xml:space="preserve"> DAHP is responsible for </w:t>
      </w:r>
      <w:r w:rsidR="0070194D">
        <w:rPr>
          <w:rFonts w:ascii="Calibri" w:hAnsi="Calibri"/>
        </w:rPr>
        <w:t xml:space="preserve">reviewing the application </w:t>
      </w:r>
      <w:r w:rsidR="002574FE" w:rsidRPr="005922CB">
        <w:rPr>
          <w:rFonts w:ascii="Calibri" w:hAnsi="Calibri"/>
        </w:rPr>
        <w:t>and then su</w:t>
      </w:r>
      <w:r w:rsidR="0070194D">
        <w:rPr>
          <w:rFonts w:ascii="Calibri" w:hAnsi="Calibri"/>
        </w:rPr>
        <w:t>bmitting application to NPS</w:t>
      </w:r>
      <w:r w:rsidR="002574FE" w:rsidRPr="005922CB">
        <w:rPr>
          <w:rFonts w:ascii="Calibri" w:hAnsi="Calibri"/>
        </w:rPr>
        <w:t xml:space="preserve"> for final approval. </w:t>
      </w:r>
    </w:p>
    <w:p w14:paraId="03456A1B" w14:textId="77777777" w:rsidR="00F77505" w:rsidRDefault="00F77505" w:rsidP="008A5727">
      <w:pPr>
        <w:rPr>
          <w:rFonts w:ascii="Calibri" w:hAnsi="Calibri"/>
        </w:rPr>
      </w:pPr>
    </w:p>
    <w:p w14:paraId="24FDE869" w14:textId="77777777" w:rsidR="00AE2877" w:rsidRDefault="00C939F1" w:rsidP="008A5727">
      <w:pPr>
        <w:rPr>
          <w:rFonts w:ascii="Calibri" w:hAnsi="Calibri"/>
        </w:rPr>
      </w:pPr>
      <w:r>
        <w:rPr>
          <w:rFonts w:ascii="Calibri" w:hAnsi="Calibri"/>
        </w:rPr>
        <w:t>Historic rehabilitation tax credit is granted based on the IRS Code</w:t>
      </w:r>
      <w:r w:rsidR="00AC774C">
        <w:rPr>
          <w:rFonts w:ascii="Calibri" w:hAnsi="Calibri"/>
        </w:rPr>
        <w:t xml:space="preserve"> for</w:t>
      </w:r>
      <w:r>
        <w:rPr>
          <w:rFonts w:ascii="Calibri" w:hAnsi="Calibri"/>
        </w:rPr>
        <w:t xml:space="preserve"> qualified rehabilitation</w:t>
      </w:r>
      <w:r w:rsidR="00AE1365">
        <w:rPr>
          <w:rFonts w:ascii="Calibri" w:hAnsi="Calibri"/>
        </w:rPr>
        <w:t xml:space="preserve"> expenditures. </w:t>
      </w:r>
      <w:r w:rsidR="002567E7">
        <w:rPr>
          <w:rFonts w:ascii="Calibri" w:hAnsi="Calibri"/>
        </w:rPr>
        <w:t xml:space="preserve">The quantity of tax credits allocated to the property owner is calculated as 20% of the qualified rehabilitation expenditures. </w:t>
      </w:r>
      <w:r w:rsidR="00AE1365">
        <w:rPr>
          <w:rFonts w:ascii="Calibri" w:hAnsi="Calibri"/>
        </w:rPr>
        <w:t xml:space="preserve">Qualified rehabilitation expenditures </w:t>
      </w:r>
      <w:r w:rsidR="002567E7">
        <w:rPr>
          <w:rFonts w:ascii="Calibri" w:hAnsi="Calibri"/>
        </w:rPr>
        <w:t>for a given project can concurrently qualif</w:t>
      </w:r>
      <w:r w:rsidR="00AE1365">
        <w:rPr>
          <w:rFonts w:ascii="Calibri" w:hAnsi="Calibri"/>
        </w:rPr>
        <w:t>y for the Historic Rehabilitation Tax Credit program for income taxes and the Special Tax Valuati</w:t>
      </w:r>
      <w:r w:rsidR="005B57FA">
        <w:rPr>
          <w:rFonts w:ascii="Calibri" w:hAnsi="Calibri"/>
        </w:rPr>
        <w:t xml:space="preserve">on program for property taxes. </w:t>
      </w:r>
    </w:p>
    <w:p w14:paraId="794EB5B4" w14:textId="77777777" w:rsidR="00676016" w:rsidRDefault="00676016" w:rsidP="008A5727">
      <w:pPr>
        <w:rPr>
          <w:rFonts w:ascii="Calibri" w:hAnsi="Calibri"/>
        </w:rPr>
      </w:pPr>
    </w:p>
    <w:p w14:paraId="13DF2154" w14:textId="555B53FB" w:rsidR="00676016" w:rsidRPr="00676016" w:rsidRDefault="00676016" w:rsidP="00676016">
      <w:pPr>
        <w:rPr>
          <w:rFonts w:ascii="Calibri" w:hAnsi="Calibri"/>
        </w:rPr>
      </w:pPr>
      <w:r w:rsidRPr="00676016">
        <w:rPr>
          <w:rFonts w:ascii="Calibri" w:hAnsi="Calibri"/>
        </w:rPr>
        <w:t>**Adjusted Basis value is an IRS term to determine the “value” of a historic pro</w:t>
      </w:r>
      <w:r w:rsidR="00630F60">
        <w:rPr>
          <w:rFonts w:ascii="Calibri" w:hAnsi="Calibri"/>
        </w:rPr>
        <w:t>perty using this basic formula:</w:t>
      </w:r>
    </w:p>
    <w:p w14:paraId="720E4DA8" w14:textId="77777777" w:rsidR="00676016" w:rsidRPr="00676016" w:rsidRDefault="00676016" w:rsidP="00676016">
      <w:pPr>
        <w:rPr>
          <w:rFonts w:ascii="Calibri" w:hAnsi="Calibri"/>
        </w:rPr>
      </w:pPr>
      <w:r w:rsidRPr="00676016">
        <w:rPr>
          <w:rFonts w:ascii="Calibri" w:hAnsi="Calibri"/>
        </w:rPr>
        <w:t>A – B – C + D = adjusted basis, whereas:</w:t>
      </w:r>
    </w:p>
    <w:p w14:paraId="48CFD07A" w14:textId="752191EE" w:rsidR="00676016" w:rsidRPr="00676016" w:rsidRDefault="00676016" w:rsidP="00676016">
      <w:pPr>
        <w:rPr>
          <w:rFonts w:ascii="Calibri" w:hAnsi="Calibri"/>
        </w:rPr>
      </w:pPr>
      <w:r w:rsidRPr="00676016">
        <w:rPr>
          <w:rFonts w:ascii="Calibri" w:hAnsi="Calibri"/>
        </w:rPr>
        <w:t>A = purchase price of the property (building and land)</w:t>
      </w:r>
    </w:p>
    <w:p w14:paraId="5E33C907" w14:textId="23DF61DA" w:rsidR="00676016" w:rsidRPr="00676016" w:rsidRDefault="00676016" w:rsidP="00676016">
      <w:pPr>
        <w:rPr>
          <w:rFonts w:ascii="Calibri" w:hAnsi="Calibri"/>
        </w:rPr>
      </w:pPr>
      <w:r w:rsidRPr="00676016">
        <w:rPr>
          <w:rFonts w:ascii="Calibri" w:hAnsi="Calibri"/>
        </w:rPr>
        <w:t>B = c</w:t>
      </w:r>
      <w:r>
        <w:rPr>
          <w:rFonts w:ascii="Calibri" w:hAnsi="Calibri"/>
        </w:rPr>
        <w:t>ost of land at time of purchase</w:t>
      </w:r>
    </w:p>
    <w:p w14:paraId="2ADDC34E" w14:textId="4BB9A749" w:rsidR="00676016" w:rsidRPr="00676016" w:rsidRDefault="00676016" w:rsidP="00676016">
      <w:pPr>
        <w:rPr>
          <w:rFonts w:ascii="Calibri" w:hAnsi="Calibri"/>
        </w:rPr>
      </w:pPr>
      <w:r w:rsidRPr="00676016">
        <w:rPr>
          <w:rFonts w:ascii="Calibri" w:hAnsi="Calibri"/>
        </w:rPr>
        <w:t>C = depreciation taken for an income-producing property</w:t>
      </w:r>
    </w:p>
    <w:p w14:paraId="69DCF3B8" w14:textId="77777777" w:rsidR="00AF1AEE" w:rsidRDefault="00676016">
      <w:pPr>
        <w:rPr>
          <w:rFonts w:ascii="Calibri" w:hAnsi="Calibri"/>
        </w:rPr>
      </w:pPr>
      <w:r w:rsidRPr="00676016">
        <w:rPr>
          <w:rFonts w:ascii="Calibri" w:hAnsi="Calibri"/>
        </w:rPr>
        <w:lastRenderedPageBreak/>
        <w:t>D = cost of any capital improvements made since purchase</w:t>
      </w:r>
    </w:p>
    <w:p w14:paraId="6BCB4BF6" w14:textId="77777777" w:rsidR="00F57D8A" w:rsidRDefault="00F57D8A">
      <w:pPr>
        <w:rPr>
          <w:rFonts w:ascii="Calibri" w:hAnsi="Calibri"/>
          <w:u w:val="single"/>
        </w:rPr>
      </w:pPr>
    </w:p>
    <w:p w14:paraId="27921DC8" w14:textId="5C7ECF08" w:rsidR="00DC27B3" w:rsidRPr="00AF1AEE" w:rsidRDefault="00DC27B3">
      <w:pPr>
        <w:rPr>
          <w:rFonts w:ascii="Calibri" w:hAnsi="Calibri"/>
        </w:rPr>
      </w:pPr>
      <w:r w:rsidRPr="00550F4F">
        <w:rPr>
          <w:rFonts w:ascii="Calibri" w:hAnsi="Calibri"/>
          <w:u w:val="single"/>
        </w:rPr>
        <w:t>Federal Rehabilitation Tax Credit (2004-2014)</w:t>
      </w:r>
    </w:p>
    <w:p w14:paraId="412A02E7" w14:textId="77777777" w:rsidR="00CB0E3D" w:rsidRDefault="00CB0E3D" w:rsidP="00CB0E3D">
      <w:pPr>
        <w:rPr>
          <w:rFonts w:ascii="Calibri" w:hAnsi="Calibri"/>
          <w:i/>
        </w:rPr>
      </w:pPr>
      <w:r>
        <w:rPr>
          <w:rFonts w:ascii="Calibri" w:hAnsi="Calibri"/>
          <w:i/>
        </w:rPr>
        <w:t>[</w:t>
      </w:r>
      <w:r w:rsidRPr="00BC7D1C">
        <w:rPr>
          <w:rFonts w:ascii="Calibri" w:hAnsi="Calibri"/>
          <w:i/>
        </w:rPr>
        <w:t>Seattle Properties Only</w:t>
      </w:r>
      <w:r>
        <w:rPr>
          <w:rFonts w:ascii="Calibri" w:hAnsi="Calibri"/>
          <w:i/>
        </w:rPr>
        <w:t>]</w:t>
      </w:r>
    </w:p>
    <w:p w14:paraId="6BB0AD93" w14:textId="77777777" w:rsidR="00DC27B3" w:rsidRDefault="00DC27B3">
      <w:pPr>
        <w:rPr>
          <w:rFonts w:ascii="Calibri" w:hAnsi="Calibri"/>
        </w:rPr>
      </w:pPr>
    </w:p>
    <w:p w14:paraId="3C55C316" w14:textId="77777777" w:rsidR="00CB0E3D" w:rsidRDefault="00CB0E3D">
      <w:pPr>
        <w:rPr>
          <w:rFonts w:ascii="Calibri" w:hAnsi="Calibri"/>
        </w:rPr>
      </w:pPr>
    </w:p>
    <w:tbl>
      <w:tblPr>
        <w:tblW w:w="906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746"/>
        <w:gridCol w:w="5317"/>
      </w:tblGrid>
      <w:tr w:rsidR="002F3CDE" w:rsidRPr="002F3CDE" w14:paraId="47858324" w14:textId="77777777" w:rsidTr="00751B49">
        <w:trPr>
          <w:trHeight w:val="491"/>
        </w:trPr>
        <w:tc>
          <w:tcPr>
            <w:tcW w:w="3746" w:type="dxa"/>
            <w:shd w:val="clear" w:color="auto" w:fill="auto"/>
            <w:noWrap/>
            <w:vAlign w:val="center"/>
            <w:hideMark/>
          </w:tcPr>
          <w:p w14:paraId="3B03E9F0" w14:textId="77777777" w:rsidR="002F3CDE" w:rsidRPr="002F3CDE" w:rsidRDefault="002F3CDE" w:rsidP="002F3CDE">
            <w:pPr>
              <w:jc w:val="center"/>
              <w:rPr>
                <w:rFonts w:ascii="Calibri" w:eastAsia="Times New Roman" w:hAnsi="Calibri"/>
                <w:b/>
                <w:color w:val="000000"/>
                <w:szCs w:val="22"/>
              </w:rPr>
            </w:pPr>
            <w:r w:rsidRPr="002F3CDE">
              <w:rPr>
                <w:rFonts w:ascii="Calibri" w:eastAsia="Times New Roman" w:hAnsi="Calibri"/>
                <w:b/>
                <w:color w:val="000000"/>
                <w:szCs w:val="22"/>
              </w:rPr>
              <w:t>Year</w:t>
            </w:r>
          </w:p>
        </w:tc>
        <w:tc>
          <w:tcPr>
            <w:tcW w:w="5317" w:type="dxa"/>
            <w:shd w:val="clear" w:color="auto" w:fill="auto"/>
            <w:noWrap/>
            <w:vAlign w:val="center"/>
            <w:hideMark/>
          </w:tcPr>
          <w:p w14:paraId="20325F7A" w14:textId="0ECB6CE0" w:rsidR="002F3CDE" w:rsidRPr="002F3CDE" w:rsidRDefault="002F3CDE" w:rsidP="002F3CDE">
            <w:pPr>
              <w:jc w:val="center"/>
              <w:rPr>
                <w:rFonts w:ascii="Calibri" w:eastAsia="Times New Roman" w:hAnsi="Calibri"/>
                <w:b/>
                <w:color w:val="000000"/>
                <w:szCs w:val="22"/>
              </w:rPr>
            </w:pPr>
            <w:r w:rsidRPr="002F3CDE">
              <w:rPr>
                <w:rFonts w:ascii="Calibri" w:eastAsia="Times New Roman" w:hAnsi="Calibri"/>
                <w:b/>
                <w:color w:val="000000"/>
                <w:szCs w:val="22"/>
              </w:rPr>
              <w:t>Qualified Rehab Expenditures</w:t>
            </w:r>
            <w:r w:rsidR="00A21F0E">
              <w:rPr>
                <w:rFonts w:ascii="Calibri" w:eastAsia="Times New Roman" w:hAnsi="Calibri"/>
                <w:b/>
                <w:color w:val="000000"/>
                <w:szCs w:val="22"/>
              </w:rPr>
              <w:t xml:space="preserve"> (QRE)</w:t>
            </w:r>
          </w:p>
        </w:tc>
      </w:tr>
      <w:tr w:rsidR="002F3CDE" w:rsidRPr="002F3CDE" w14:paraId="58464158" w14:textId="77777777" w:rsidTr="00751B49">
        <w:trPr>
          <w:trHeight w:val="368"/>
        </w:trPr>
        <w:tc>
          <w:tcPr>
            <w:tcW w:w="3746" w:type="dxa"/>
            <w:shd w:val="clear" w:color="auto" w:fill="auto"/>
            <w:noWrap/>
            <w:vAlign w:val="center"/>
            <w:hideMark/>
          </w:tcPr>
          <w:p w14:paraId="6804E247" w14:textId="77777777" w:rsidR="002F3CDE" w:rsidRPr="002F3CDE" w:rsidRDefault="002F3CDE" w:rsidP="002F3CDE">
            <w:pPr>
              <w:jc w:val="center"/>
              <w:rPr>
                <w:rFonts w:ascii="Calibri" w:eastAsia="Times New Roman" w:hAnsi="Calibri"/>
                <w:color w:val="000000"/>
                <w:sz w:val="22"/>
                <w:szCs w:val="22"/>
              </w:rPr>
            </w:pPr>
            <w:r w:rsidRPr="002F3CDE">
              <w:rPr>
                <w:rFonts w:ascii="Calibri" w:eastAsia="Times New Roman" w:hAnsi="Calibri"/>
                <w:color w:val="000000"/>
                <w:sz w:val="22"/>
                <w:szCs w:val="22"/>
              </w:rPr>
              <w:t>2004</w:t>
            </w:r>
          </w:p>
        </w:tc>
        <w:tc>
          <w:tcPr>
            <w:tcW w:w="5317" w:type="dxa"/>
            <w:shd w:val="clear" w:color="auto" w:fill="auto"/>
            <w:noWrap/>
            <w:vAlign w:val="center"/>
            <w:hideMark/>
          </w:tcPr>
          <w:p w14:paraId="1E69B4B5" w14:textId="77777777" w:rsidR="002F3CDE" w:rsidRPr="002F3CDE" w:rsidRDefault="002F3CDE" w:rsidP="002F3CDE">
            <w:pPr>
              <w:jc w:val="center"/>
              <w:rPr>
                <w:rFonts w:ascii="Calibri" w:eastAsia="Times New Roman" w:hAnsi="Calibri"/>
                <w:color w:val="000000"/>
                <w:sz w:val="22"/>
                <w:szCs w:val="22"/>
              </w:rPr>
            </w:pPr>
            <w:r w:rsidRPr="002F3CDE">
              <w:rPr>
                <w:rFonts w:ascii="Calibri" w:eastAsia="Times New Roman" w:hAnsi="Calibri"/>
                <w:color w:val="000000"/>
                <w:sz w:val="22"/>
                <w:szCs w:val="22"/>
              </w:rPr>
              <w:t>12,253,872</w:t>
            </w:r>
          </w:p>
        </w:tc>
      </w:tr>
      <w:tr w:rsidR="002F3CDE" w:rsidRPr="002F3CDE" w14:paraId="7191B320" w14:textId="77777777" w:rsidTr="00751B49">
        <w:trPr>
          <w:trHeight w:val="368"/>
        </w:trPr>
        <w:tc>
          <w:tcPr>
            <w:tcW w:w="3746" w:type="dxa"/>
            <w:shd w:val="clear" w:color="auto" w:fill="auto"/>
            <w:noWrap/>
            <w:vAlign w:val="center"/>
            <w:hideMark/>
          </w:tcPr>
          <w:p w14:paraId="1A45B2A6" w14:textId="77777777" w:rsidR="002F3CDE" w:rsidRPr="002F3CDE" w:rsidRDefault="002F3CDE" w:rsidP="002F3CDE">
            <w:pPr>
              <w:jc w:val="center"/>
              <w:rPr>
                <w:rFonts w:ascii="Calibri" w:eastAsia="Times New Roman" w:hAnsi="Calibri"/>
                <w:color w:val="000000"/>
                <w:sz w:val="22"/>
                <w:szCs w:val="22"/>
              </w:rPr>
            </w:pPr>
            <w:r w:rsidRPr="002F3CDE">
              <w:rPr>
                <w:rFonts w:ascii="Calibri" w:eastAsia="Times New Roman" w:hAnsi="Calibri"/>
                <w:color w:val="000000"/>
                <w:sz w:val="22"/>
                <w:szCs w:val="22"/>
              </w:rPr>
              <w:t>2005</w:t>
            </w:r>
          </w:p>
        </w:tc>
        <w:tc>
          <w:tcPr>
            <w:tcW w:w="5317" w:type="dxa"/>
            <w:shd w:val="clear" w:color="auto" w:fill="auto"/>
            <w:noWrap/>
            <w:vAlign w:val="center"/>
            <w:hideMark/>
          </w:tcPr>
          <w:p w14:paraId="7EE3506F" w14:textId="77777777" w:rsidR="002F3CDE" w:rsidRPr="002F3CDE" w:rsidRDefault="002F3CDE" w:rsidP="002F3CDE">
            <w:pPr>
              <w:jc w:val="center"/>
              <w:rPr>
                <w:rFonts w:ascii="Calibri" w:eastAsia="Times New Roman" w:hAnsi="Calibri"/>
                <w:color w:val="000000"/>
                <w:sz w:val="22"/>
                <w:szCs w:val="22"/>
              </w:rPr>
            </w:pPr>
            <w:r w:rsidRPr="002F3CDE">
              <w:rPr>
                <w:rFonts w:ascii="Calibri" w:eastAsia="Times New Roman" w:hAnsi="Calibri"/>
                <w:color w:val="000000"/>
                <w:sz w:val="22"/>
                <w:szCs w:val="22"/>
              </w:rPr>
              <w:t>14,320,083</w:t>
            </w:r>
          </w:p>
        </w:tc>
      </w:tr>
      <w:tr w:rsidR="002F3CDE" w:rsidRPr="002F3CDE" w14:paraId="636FFBB2" w14:textId="77777777" w:rsidTr="00751B49">
        <w:trPr>
          <w:trHeight w:val="368"/>
        </w:trPr>
        <w:tc>
          <w:tcPr>
            <w:tcW w:w="3746" w:type="dxa"/>
            <w:shd w:val="clear" w:color="auto" w:fill="auto"/>
            <w:noWrap/>
            <w:vAlign w:val="center"/>
            <w:hideMark/>
          </w:tcPr>
          <w:p w14:paraId="7D91B5C0" w14:textId="77777777" w:rsidR="002F3CDE" w:rsidRPr="002F3CDE" w:rsidRDefault="002F3CDE" w:rsidP="002F3CDE">
            <w:pPr>
              <w:jc w:val="center"/>
              <w:rPr>
                <w:rFonts w:ascii="Calibri" w:eastAsia="Times New Roman" w:hAnsi="Calibri"/>
                <w:color w:val="000000"/>
                <w:sz w:val="22"/>
                <w:szCs w:val="22"/>
              </w:rPr>
            </w:pPr>
            <w:r w:rsidRPr="002F3CDE">
              <w:rPr>
                <w:rFonts w:ascii="Calibri" w:eastAsia="Times New Roman" w:hAnsi="Calibri"/>
                <w:color w:val="000000"/>
                <w:sz w:val="22"/>
                <w:szCs w:val="22"/>
              </w:rPr>
              <w:t>2006</w:t>
            </w:r>
          </w:p>
        </w:tc>
        <w:tc>
          <w:tcPr>
            <w:tcW w:w="5317" w:type="dxa"/>
            <w:shd w:val="clear" w:color="auto" w:fill="auto"/>
            <w:noWrap/>
            <w:vAlign w:val="center"/>
            <w:hideMark/>
          </w:tcPr>
          <w:p w14:paraId="59F692F1" w14:textId="77777777" w:rsidR="002F3CDE" w:rsidRPr="002F3CDE" w:rsidRDefault="002F3CDE" w:rsidP="002F3CDE">
            <w:pPr>
              <w:jc w:val="center"/>
              <w:rPr>
                <w:rFonts w:ascii="Calibri" w:eastAsia="Times New Roman" w:hAnsi="Calibri"/>
                <w:color w:val="000000"/>
                <w:sz w:val="22"/>
                <w:szCs w:val="22"/>
              </w:rPr>
            </w:pPr>
            <w:r w:rsidRPr="002F3CDE">
              <w:rPr>
                <w:rFonts w:ascii="Calibri" w:eastAsia="Times New Roman" w:hAnsi="Calibri"/>
                <w:color w:val="000000"/>
                <w:sz w:val="22"/>
                <w:szCs w:val="22"/>
              </w:rPr>
              <w:t>19,063,207</w:t>
            </w:r>
          </w:p>
        </w:tc>
      </w:tr>
      <w:tr w:rsidR="002F3CDE" w:rsidRPr="002F3CDE" w14:paraId="23379325" w14:textId="77777777" w:rsidTr="00751B49">
        <w:trPr>
          <w:trHeight w:val="368"/>
        </w:trPr>
        <w:tc>
          <w:tcPr>
            <w:tcW w:w="3746" w:type="dxa"/>
            <w:shd w:val="clear" w:color="auto" w:fill="auto"/>
            <w:noWrap/>
            <w:vAlign w:val="center"/>
            <w:hideMark/>
          </w:tcPr>
          <w:p w14:paraId="5A17B4D4" w14:textId="77777777" w:rsidR="002F3CDE" w:rsidRPr="002F3CDE" w:rsidRDefault="002F3CDE" w:rsidP="002F3CDE">
            <w:pPr>
              <w:jc w:val="center"/>
              <w:rPr>
                <w:rFonts w:ascii="Calibri" w:eastAsia="Times New Roman" w:hAnsi="Calibri"/>
                <w:color w:val="000000"/>
                <w:sz w:val="22"/>
                <w:szCs w:val="22"/>
              </w:rPr>
            </w:pPr>
            <w:r w:rsidRPr="002F3CDE">
              <w:rPr>
                <w:rFonts w:ascii="Calibri" w:eastAsia="Times New Roman" w:hAnsi="Calibri"/>
                <w:color w:val="000000"/>
                <w:sz w:val="22"/>
                <w:szCs w:val="22"/>
              </w:rPr>
              <w:t>2008</w:t>
            </w:r>
          </w:p>
        </w:tc>
        <w:tc>
          <w:tcPr>
            <w:tcW w:w="5317" w:type="dxa"/>
            <w:shd w:val="clear" w:color="auto" w:fill="auto"/>
            <w:noWrap/>
            <w:vAlign w:val="center"/>
            <w:hideMark/>
          </w:tcPr>
          <w:p w14:paraId="5A8108B3" w14:textId="77777777" w:rsidR="002F3CDE" w:rsidRPr="002F3CDE" w:rsidRDefault="002F3CDE" w:rsidP="002F3CDE">
            <w:pPr>
              <w:jc w:val="center"/>
              <w:rPr>
                <w:rFonts w:ascii="Calibri" w:eastAsia="Times New Roman" w:hAnsi="Calibri"/>
                <w:color w:val="000000"/>
                <w:sz w:val="22"/>
                <w:szCs w:val="22"/>
              </w:rPr>
            </w:pPr>
            <w:r w:rsidRPr="002F3CDE">
              <w:rPr>
                <w:rFonts w:ascii="Calibri" w:eastAsia="Times New Roman" w:hAnsi="Calibri"/>
                <w:color w:val="000000"/>
                <w:sz w:val="22"/>
                <w:szCs w:val="22"/>
              </w:rPr>
              <w:t>92,704,751</w:t>
            </w:r>
          </w:p>
        </w:tc>
      </w:tr>
      <w:tr w:rsidR="002F3CDE" w:rsidRPr="002F3CDE" w14:paraId="41AF5F46" w14:textId="77777777" w:rsidTr="00751B49">
        <w:trPr>
          <w:trHeight w:val="368"/>
        </w:trPr>
        <w:tc>
          <w:tcPr>
            <w:tcW w:w="3746" w:type="dxa"/>
            <w:shd w:val="clear" w:color="auto" w:fill="auto"/>
            <w:noWrap/>
            <w:vAlign w:val="center"/>
            <w:hideMark/>
          </w:tcPr>
          <w:p w14:paraId="2614BD4C" w14:textId="77777777" w:rsidR="002F3CDE" w:rsidRPr="002F3CDE" w:rsidRDefault="002F3CDE" w:rsidP="002F3CDE">
            <w:pPr>
              <w:jc w:val="center"/>
              <w:rPr>
                <w:rFonts w:ascii="Calibri" w:eastAsia="Times New Roman" w:hAnsi="Calibri"/>
                <w:color w:val="000000"/>
                <w:sz w:val="22"/>
                <w:szCs w:val="22"/>
              </w:rPr>
            </w:pPr>
            <w:r w:rsidRPr="002F3CDE">
              <w:rPr>
                <w:rFonts w:ascii="Calibri" w:eastAsia="Times New Roman" w:hAnsi="Calibri"/>
                <w:color w:val="000000"/>
                <w:sz w:val="22"/>
                <w:szCs w:val="22"/>
              </w:rPr>
              <w:t>2009</w:t>
            </w:r>
          </w:p>
        </w:tc>
        <w:tc>
          <w:tcPr>
            <w:tcW w:w="5317" w:type="dxa"/>
            <w:shd w:val="clear" w:color="auto" w:fill="auto"/>
            <w:noWrap/>
            <w:vAlign w:val="center"/>
            <w:hideMark/>
          </w:tcPr>
          <w:p w14:paraId="04AED1B2" w14:textId="77777777" w:rsidR="002F3CDE" w:rsidRPr="002F3CDE" w:rsidRDefault="002F3CDE" w:rsidP="002F3CDE">
            <w:pPr>
              <w:jc w:val="center"/>
              <w:rPr>
                <w:rFonts w:ascii="Calibri" w:eastAsia="Times New Roman" w:hAnsi="Calibri"/>
                <w:color w:val="000000"/>
                <w:sz w:val="22"/>
                <w:szCs w:val="22"/>
              </w:rPr>
            </w:pPr>
            <w:r w:rsidRPr="002F3CDE">
              <w:rPr>
                <w:rFonts w:ascii="Calibri" w:eastAsia="Times New Roman" w:hAnsi="Calibri"/>
                <w:color w:val="000000"/>
                <w:sz w:val="22"/>
                <w:szCs w:val="22"/>
              </w:rPr>
              <w:t>39,121,412</w:t>
            </w:r>
          </w:p>
        </w:tc>
      </w:tr>
      <w:tr w:rsidR="002F3CDE" w:rsidRPr="002F3CDE" w14:paraId="75ADAE72" w14:textId="77777777" w:rsidTr="00751B49">
        <w:trPr>
          <w:trHeight w:val="368"/>
        </w:trPr>
        <w:tc>
          <w:tcPr>
            <w:tcW w:w="3746" w:type="dxa"/>
            <w:shd w:val="clear" w:color="auto" w:fill="auto"/>
            <w:noWrap/>
            <w:vAlign w:val="center"/>
            <w:hideMark/>
          </w:tcPr>
          <w:p w14:paraId="7FE6D073" w14:textId="77777777" w:rsidR="002F3CDE" w:rsidRPr="002F3CDE" w:rsidRDefault="002F3CDE" w:rsidP="002F3CDE">
            <w:pPr>
              <w:jc w:val="center"/>
              <w:rPr>
                <w:rFonts w:ascii="Calibri" w:eastAsia="Times New Roman" w:hAnsi="Calibri"/>
                <w:color w:val="000000"/>
                <w:sz w:val="22"/>
                <w:szCs w:val="22"/>
              </w:rPr>
            </w:pPr>
            <w:r w:rsidRPr="002F3CDE">
              <w:rPr>
                <w:rFonts w:ascii="Calibri" w:eastAsia="Times New Roman" w:hAnsi="Calibri"/>
                <w:color w:val="000000"/>
                <w:sz w:val="22"/>
                <w:szCs w:val="22"/>
              </w:rPr>
              <w:t>2010</w:t>
            </w:r>
          </w:p>
        </w:tc>
        <w:tc>
          <w:tcPr>
            <w:tcW w:w="5317" w:type="dxa"/>
            <w:shd w:val="clear" w:color="auto" w:fill="auto"/>
            <w:noWrap/>
            <w:vAlign w:val="center"/>
            <w:hideMark/>
          </w:tcPr>
          <w:p w14:paraId="54D7CBAE" w14:textId="77777777" w:rsidR="002F3CDE" w:rsidRPr="002F3CDE" w:rsidRDefault="002F3CDE" w:rsidP="002F3CDE">
            <w:pPr>
              <w:jc w:val="center"/>
              <w:rPr>
                <w:rFonts w:ascii="Calibri" w:eastAsia="Times New Roman" w:hAnsi="Calibri"/>
                <w:color w:val="000000"/>
                <w:sz w:val="22"/>
                <w:szCs w:val="22"/>
              </w:rPr>
            </w:pPr>
            <w:r w:rsidRPr="002F3CDE">
              <w:rPr>
                <w:rFonts w:ascii="Calibri" w:eastAsia="Times New Roman" w:hAnsi="Calibri"/>
                <w:color w:val="000000"/>
                <w:sz w:val="22"/>
                <w:szCs w:val="22"/>
              </w:rPr>
              <w:t>43,681,445</w:t>
            </w:r>
          </w:p>
        </w:tc>
      </w:tr>
      <w:tr w:rsidR="002F3CDE" w:rsidRPr="002F3CDE" w14:paraId="25428616" w14:textId="77777777" w:rsidTr="00751B49">
        <w:trPr>
          <w:trHeight w:val="368"/>
        </w:trPr>
        <w:tc>
          <w:tcPr>
            <w:tcW w:w="3746" w:type="dxa"/>
            <w:shd w:val="clear" w:color="auto" w:fill="auto"/>
            <w:noWrap/>
            <w:vAlign w:val="center"/>
            <w:hideMark/>
          </w:tcPr>
          <w:p w14:paraId="230A3C42" w14:textId="77777777" w:rsidR="002F3CDE" w:rsidRPr="002F3CDE" w:rsidRDefault="002F3CDE" w:rsidP="002F3CDE">
            <w:pPr>
              <w:jc w:val="center"/>
              <w:rPr>
                <w:rFonts w:ascii="Calibri" w:eastAsia="Times New Roman" w:hAnsi="Calibri"/>
                <w:color w:val="000000"/>
                <w:sz w:val="22"/>
                <w:szCs w:val="22"/>
              </w:rPr>
            </w:pPr>
            <w:r w:rsidRPr="002F3CDE">
              <w:rPr>
                <w:rFonts w:ascii="Calibri" w:eastAsia="Times New Roman" w:hAnsi="Calibri"/>
                <w:color w:val="000000"/>
                <w:sz w:val="22"/>
                <w:szCs w:val="22"/>
              </w:rPr>
              <w:t>2011</w:t>
            </w:r>
          </w:p>
        </w:tc>
        <w:tc>
          <w:tcPr>
            <w:tcW w:w="5317" w:type="dxa"/>
            <w:shd w:val="clear" w:color="auto" w:fill="auto"/>
            <w:noWrap/>
            <w:vAlign w:val="center"/>
            <w:hideMark/>
          </w:tcPr>
          <w:p w14:paraId="5AB678BB" w14:textId="77777777" w:rsidR="002F3CDE" w:rsidRPr="002F3CDE" w:rsidRDefault="002F3CDE" w:rsidP="002F3CDE">
            <w:pPr>
              <w:jc w:val="center"/>
              <w:rPr>
                <w:rFonts w:ascii="Calibri" w:eastAsia="Times New Roman" w:hAnsi="Calibri"/>
                <w:color w:val="000000"/>
                <w:sz w:val="22"/>
                <w:szCs w:val="22"/>
              </w:rPr>
            </w:pPr>
            <w:r w:rsidRPr="002F3CDE">
              <w:rPr>
                <w:rFonts w:ascii="Calibri" w:eastAsia="Times New Roman" w:hAnsi="Calibri"/>
                <w:color w:val="000000"/>
                <w:sz w:val="22"/>
                <w:szCs w:val="22"/>
              </w:rPr>
              <w:t>19,278,534</w:t>
            </w:r>
          </w:p>
        </w:tc>
      </w:tr>
      <w:tr w:rsidR="002F3CDE" w:rsidRPr="002F3CDE" w14:paraId="742E1931" w14:textId="77777777" w:rsidTr="00751B49">
        <w:trPr>
          <w:trHeight w:val="368"/>
        </w:trPr>
        <w:tc>
          <w:tcPr>
            <w:tcW w:w="3746" w:type="dxa"/>
            <w:shd w:val="clear" w:color="auto" w:fill="auto"/>
            <w:noWrap/>
            <w:vAlign w:val="center"/>
            <w:hideMark/>
          </w:tcPr>
          <w:p w14:paraId="041EBFE7" w14:textId="77777777" w:rsidR="002F3CDE" w:rsidRPr="002F3CDE" w:rsidRDefault="002F3CDE" w:rsidP="002F3CDE">
            <w:pPr>
              <w:jc w:val="center"/>
              <w:rPr>
                <w:rFonts w:ascii="Calibri" w:eastAsia="Times New Roman" w:hAnsi="Calibri"/>
                <w:color w:val="000000"/>
                <w:sz w:val="22"/>
                <w:szCs w:val="22"/>
              </w:rPr>
            </w:pPr>
            <w:r w:rsidRPr="002F3CDE">
              <w:rPr>
                <w:rFonts w:ascii="Calibri" w:eastAsia="Times New Roman" w:hAnsi="Calibri"/>
                <w:color w:val="000000"/>
                <w:sz w:val="22"/>
                <w:szCs w:val="22"/>
              </w:rPr>
              <w:t>2012</w:t>
            </w:r>
          </w:p>
        </w:tc>
        <w:tc>
          <w:tcPr>
            <w:tcW w:w="5317" w:type="dxa"/>
            <w:shd w:val="clear" w:color="auto" w:fill="auto"/>
            <w:noWrap/>
            <w:vAlign w:val="center"/>
            <w:hideMark/>
          </w:tcPr>
          <w:p w14:paraId="2AB4C674" w14:textId="77777777" w:rsidR="002F3CDE" w:rsidRPr="002F3CDE" w:rsidRDefault="002F3CDE" w:rsidP="002F3CDE">
            <w:pPr>
              <w:jc w:val="center"/>
              <w:rPr>
                <w:rFonts w:ascii="Calibri" w:eastAsia="Times New Roman" w:hAnsi="Calibri"/>
                <w:color w:val="000000"/>
                <w:sz w:val="22"/>
                <w:szCs w:val="22"/>
              </w:rPr>
            </w:pPr>
            <w:r w:rsidRPr="002F3CDE">
              <w:rPr>
                <w:rFonts w:ascii="Calibri" w:eastAsia="Times New Roman" w:hAnsi="Calibri"/>
                <w:color w:val="000000"/>
                <w:sz w:val="22"/>
                <w:szCs w:val="22"/>
              </w:rPr>
              <w:t>48,513,989</w:t>
            </w:r>
          </w:p>
        </w:tc>
      </w:tr>
      <w:tr w:rsidR="002F3CDE" w:rsidRPr="002F3CDE" w14:paraId="2700B7D3" w14:textId="77777777" w:rsidTr="00751B49">
        <w:trPr>
          <w:trHeight w:val="368"/>
        </w:trPr>
        <w:tc>
          <w:tcPr>
            <w:tcW w:w="3746" w:type="dxa"/>
            <w:tcBorders>
              <w:bottom w:val="single" w:sz="6" w:space="0" w:color="auto"/>
            </w:tcBorders>
            <w:shd w:val="clear" w:color="auto" w:fill="auto"/>
            <w:noWrap/>
            <w:vAlign w:val="center"/>
            <w:hideMark/>
          </w:tcPr>
          <w:p w14:paraId="278970D4" w14:textId="77777777" w:rsidR="002F3CDE" w:rsidRPr="002F3CDE" w:rsidRDefault="002F3CDE" w:rsidP="002F3CDE">
            <w:pPr>
              <w:jc w:val="center"/>
              <w:rPr>
                <w:rFonts w:ascii="Calibri" w:eastAsia="Times New Roman" w:hAnsi="Calibri"/>
                <w:color w:val="000000"/>
                <w:sz w:val="22"/>
                <w:szCs w:val="22"/>
              </w:rPr>
            </w:pPr>
            <w:r w:rsidRPr="002F3CDE">
              <w:rPr>
                <w:rFonts w:ascii="Calibri" w:eastAsia="Times New Roman" w:hAnsi="Calibri"/>
                <w:color w:val="000000"/>
                <w:sz w:val="22"/>
                <w:szCs w:val="22"/>
              </w:rPr>
              <w:t>2013</w:t>
            </w:r>
          </w:p>
        </w:tc>
        <w:tc>
          <w:tcPr>
            <w:tcW w:w="5317" w:type="dxa"/>
            <w:tcBorders>
              <w:bottom w:val="single" w:sz="6" w:space="0" w:color="auto"/>
            </w:tcBorders>
            <w:shd w:val="clear" w:color="auto" w:fill="auto"/>
            <w:noWrap/>
            <w:vAlign w:val="center"/>
            <w:hideMark/>
          </w:tcPr>
          <w:p w14:paraId="5EBA2A96" w14:textId="77777777" w:rsidR="002F3CDE" w:rsidRPr="002F3CDE" w:rsidRDefault="002F3CDE" w:rsidP="002F3CDE">
            <w:pPr>
              <w:jc w:val="center"/>
              <w:rPr>
                <w:rFonts w:ascii="Calibri" w:eastAsia="Times New Roman" w:hAnsi="Calibri"/>
                <w:color w:val="000000"/>
                <w:sz w:val="22"/>
                <w:szCs w:val="22"/>
              </w:rPr>
            </w:pPr>
            <w:r w:rsidRPr="002F3CDE">
              <w:rPr>
                <w:rFonts w:ascii="Calibri" w:eastAsia="Times New Roman" w:hAnsi="Calibri"/>
                <w:color w:val="000000"/>
                <w:sz w:val="22"/>
                <w:szCs w:val="22"/>
              </w:rPr>
              <w:t>21,801,910</w:t>
            </w:r>
          </w:p>
        </w:tc>
      </w:tr>
      <w:tr w:rsidR="002F3CDE" w:rsidRPr="002F3CDE" w14:paraId="34F19DE6" w14:textId="77777777" w:rsidTr="00751B49">
        <w:trPr>
          <w:trHeight w:val="368"/>
        </w:trPr>
        <w:tc>
          <w:tcPr>
            <w:tcW w:w="3746" w:type="dxa"/>
            <w:tcBorders>
              <w:top w:val="single" w:sz="6" w:space="0" w:color="auto"/>
              <w:bottom w:val="single" w:sz="6" w:space="0" w:color="auto"/>
            </w:tcBorders>
            <w:shd w:val="clear" w:color="auto" w:fill="FFFF00"/>
            <w:noWrap/>
            <w:vAlign w:val="center"/>
            <w:hideMark/>
          </w:tcPr>
          <w:p w14:paraId="6198F2BE" w14:textId="77777777" w:rsidR="002F3CDE" w:rsidRPr="002F3CDE" w:rsidRDefault="002F3CDE" w:rsidP="002F3CDE">
            <w:pPr>
              <w:jc w:val="center"/>
              <w:rPr>
                <w:rFonts w:ascii="Calibri" w:eastAsia="Times New Roman" w:hAnsi="Calibri"/>
                <w:b/>
                <w:color w:val="000000"/>
                <w:sz w:val="22"/>
                <w:szCs w:val="22"/>
              </w:rPr>
            </w:pPr>
            <w:r w:rsidRPr="002F3CDE">
              <w:rPr>
                <w:rFonts w:ascii="Calibri" w:eastAsia="Times New Roman" w:hAnsi="Calibri"/>
                <w:b/>
                <w:color w:val="000000"/>
                <w:sz w:val="22"/>
                <w:szCs w:val="22"/>
              </w:rPr>
              <w:t>Total</w:t>
            </w:r>
          </w:p>
        </w:tc>
        <w:tc>
          <w:tcPr>
            <w:tcW w:w="5317" w:type="dxa"/>
            <w:tcBorders>
              <w:top w:val="single" w:sz="6" w:space="0" w:color="auto"/>
              <w:bottom w:val="single" w:sz="6" w:space="0" w:color="auto"/>
            </w:tcBorders>
            <w:shd w:val="clear" w:color="auto" w:fill="FFFF00"/>
            <w:noWrap/>
            <w:vAlign w:val="center"/>
            <w:hideMark/>
          </w:tcPr>
          <w:p w14:paraId="43A53BBD" w14:textId="77777777" w:rsidR="002F3CDE" w:rsidRPr="002F3CDE" w:rsidRDefault="002F3CDE" w:rsidP="002F3CDE">
            <w:pPr>
              <w:jc w:val="center"/>
              <w:rPr>
                <w:rFonts w:ascii="Calibri" w:eastAsia="Times New Roman" w:hAnsi="Calibri"/>
                <w:b/>
                <w:color w:val="000000"/>
                <w:sz w:val="22"/>
                <w:szCs w:val="22"/>
              </w:rPr>
            </w:pPr>
            <w:r w:rsidRPr="002F3CDE">
              <w:rPr>
                <w:rFonts w:ascii="Calibri" w:eastAsia="Times New Roman" w:hAnsi="Calibri"/>
                <w:b/>
                <w:color w:val="000000"/>
                <w:sz w:val="22"/>
                <w:szCs w:val="22"/>
              </w:rPr>
              <w:t>310,739,203</w:t>
            </w:r>
          </w:p>
        </w:tc>
      </w:tr>
      <w:tr w:rsidR="002F3CDE" w:rsidRPr="002F3CDE" w14:paraId="346B4B97" w14:textId="77777777" w:rsidTr="00751B49">
        <w:trPr>
          <w:trHeight w:val="368"/>
        </w:trPr>
        <w:tc>
          <w:tcPr>
            <w:tcW w:w="3746" w:type="dxa"/>
            <w:tcBorders>
              <w:top w:val="single" w:sz="6" w:space="0" w:color="auto"/>
              <w:bottom w:val="single" w:sz="4" w:space="0" w:color="auto"/>
            </w:tcBorders>
            <w:shd w:val="clear" w:color="auto" w:fill="FFFF00"/>
            <w:noWrap/>
            <w:vAlign w:val="center"/>
            <w:hideMark/>
          </w:tcPr>
          <w:p w14:paraId="34434B09" w14:textId="77777777" w:rsidR="002F3CDE" w:rsidRPr="002F3CDE" w:rsidRDefault="002F3CDE" w:rsidP="002F3CDE">
            <w:pPr>
              <w:jc w:val="center"/>
              <w:rPr>
                <w:rFonts w:ascii="Calibri" w:eastAsia="Times New Roman" w:hAnsi="Calibri"/>
                <w:b/>
                <w:color w:val="000000"/>
                <w:sz w:val="22"/>
                <w:szCs w:val="22"/>
              </w:rPr>
            </w:pPr>
            <w:r w:rsidRPr="002F3CDE">
              <w:rPr>
                <w:rFonts w:ascii="Calibri" w:eastAsia="Times New Roman" w:hAnsi="Calibri"/>
                <w:b/>
                <w:color w:val="000000"/>
                <w:sz w:val="22"/>
                <w:szCs w:val="22"/>
              </w:rPr>
              <w:t>Number of Projects</w:t>
            </w:r>
          </w:p>
        </w:tc>
        <w:tc>
          <w:tcPr>
            <w:tcW w:w="5317" w:type="dxa"/>
            <w:tcBorders>
              <w:top w:val="single" w:sz="6" w:space="0" w:color="auto"/>
              <w:bottom w:val="single" w:sz="4" w:space="0" w:color="auto"/>
            </w:tcBorders>
            <w:shd w:val="clear" w:color="auto" w:fill="FFFF00"/>
            <w:noWrap/>
            <w:vAlign w:val="center"/>
            <w:hideMark/>
          </w:tcPr>
          <w:p w14:paraId="14A260E1" w14:textId="77777777" w:rsidR="002F3CDE" w:rsidRPr="002F3CDE" w:rsidRDefault="002F3CDE" w:rsidP="002F3CDE">
            <w:pPr>
              <w:jc w:val="center"/>
              <w:rPr>
                <w:rFonts w:ascii="Calibri" w:eastAsia="Times New Roman" w:hAnsi="Calibri"/>
                <w:b/>
                <w:color w:val="000000"/>
                <w:sz w:val="22"/>
                <w:szCs w:val="22"/>
              </w:rPr>
            </w:pPr>
            <w:r w:rsidRPr="002F3CDE">
              <w:rPr>
                <w:rFonts w:ascii="Calibri" w:eastAsia="Times New Roman" w:hAnsi="Calibri"/>
                <w:b/>
                <w:color w:val="000000"/>
                <w:sz w:val="22"/>
                <w:szCs w:val="22"/>
              </w:rPr>
              <w:t>29</w:t>
            </w:r>
          </w:p>
        </w:tc>
      </w:tr>
    </w:tbl>
    <w:p w14:paraId="544D2E8F" w14:textId="77777777" w:rsidR="009D7564" w:rsidRDefault="009D7564">
      <w:pPr>
        <w:rPr>
          <w:rFonts w:ascii="Calibri" w:hAnsi="Calibri"/>
        </w:rPr>
      </w:pPr>
    </w:p>
    <w:p w14:paraId="60C456E3" w14:textId="26481FA1" w:rsidR="004F2324" w:rsidRDefault="004F2324">
      <w:pPr>
        <w:rPr>
          <w:rFonts w:ascii="Calibri" w:hAnsi="Calibri"/>
        </w:rPr>
      </w:pPr>
      <w:r>
        <w:rPr>
          <w:rFonts w:ascii="Calibri" w:hAnsi="Calibri"/>
        </w:rPr>
        <w:t xml:space="preserve">Eight projects totaling $103,536,782 in QREs have been approved by DAHP for 2015 and 2016 rehabilitation projects in the city of Seattle. </w:t>
      </w:r>
    </w:p>
    <w:p w14:paraId="7946A580" w14:textId="77777777" w:rsidR="004F2324" w:rsidRDefault="004F2324">
      <w:pPr>
        <w:rPr>
          <w:rFonts w:ascii="Calibri" w:hAnsi="Calibri"/>
        </w:rPr>
      </w:pPr>
    </w:p>
    <w:p w14:paraId="46D7CE3A" w14:textId="77777777" w:rsidR="004579CA" w:rsidRDefault="004579CA" w:rsidP="004579CA">
      <w:pPr>
        <w:rPr>
          <w:rFonts w:ascii="Calibri" w:hAnsi="Calibri"/>
          <w:b/>
        </w:rPr>
      </w:pPr>
      <w:r>
        <w:rPr>
          <w:rFonts w:ascii="Calibri" w:hAnsi="Calibri"/>
          <w:b/>
        </w:rPr>
        <w:t>Analysis</w:t>
      </w:r>
    </w:p>
    <w:p w14:paraId="03BE1E94" w14:textId="61A44091" w:rsidR="00CB0E3D" w:rsidRPr="00410C03" w:rsidRDefault="00CB0E3D" w:rsidP="004579CA">
      <w:pPr>
        <w:rPr>
          <w:rFonts w:ascii="Calibri" w:hAnsi="Calibri"/>
          <w:i/>
        </w:rPr>
      </w:pPr>
      <w:r>
        <w:rPr>
          <w:rFonts w:ascii="Calibri" w:hAnsi="Calibri"/>
        </w:rPr>
        <w:t xml:space="preserve">The federal tax credit program is proven to be highly successful in leveraging business income tax credits for rehabilitation of income producing historic buildings. </w:t>
      </w:r>
      <w:r w:rsidR="00410C03">
        <w:rPr>
          <w:rFonts w:ascii="Calibri" w:hAnsi="Calibri"/>
        </w:rPr>
        <w:t xml:space="preserve">A </w:t>
      </w:r>
      <w:r>
        <w:rPr>
          <w:rFonts w:ascii="Calibri" w:hAnsi="Calibri"/>
        </w:rPr>
        <w:t xml:space="preserve">disadvantage is that historic buildings not producing business income, cannot </w:t>
      </w:r>
      <w:r w:rsidR="00410C03">
        <w:rPr>
          <w:rFonts w:ascii="Calibri" w:hAnsi="Calibri"/>
        </w:rPr>
        <w:t xml:space="preserve">apply </w:t>
      </w:r>
      <w:r w:rsidR="001F28A5">
        <w:rPr>
          <w:rFonts w:ascii="Calibri" w:hAnsi="Calibri"/>
        </w:rPr>
        <w:t>for the</w:t>
      </w:r>
      <w:r>
        <w:rPr>
          <w:rFonts w:ascii="Calibri" w:hAnsi="Calibri"/>
        </w:rPr>
        <w:t xml:space="preserve"> </w:t>
      </w:r>
      <w:r w:rsidR="00410C03">
        <w:rPr>
          <w:rFonts w:ascii="Calibri" w:hAnsi="Calibri"/>
        </w:rPr>
        <w:t xml:space="preserve">federal </w:t>
      </w:r>
      <w:r w:rsidR="001F28A5">
        <w:rPr>
          <w:rFonts w:ascii="Calibri" w:hAnsi="Calibri"/>
        </w:rPr>
        <w:t>tax</w:t>
      </w:r>
      <w:r>
        <w:rPr>
          <w:rFonts w:ascii="Calibri" w:hAnsi="Calibri"/>
        </w:rPr>
        <w:t xml:space="preserve"> credit </w:t>
      </w:r>
      <w:r w:rsidRPr="00410C03">
        <w:rPr>
          <w:rFonts w:ascii="Calibri" w:hAnsi="Calibri"/>
          <w:i/>
        </w:rPr>
        <w:t>[can the lost</w:t>
      </w:r>
      <w:r w:rsidR="00410C03" w:rsidRPr="00410C03">
        <w:rPr>
          <w:rFonts w:ascii="Calibri" w:hAnsi="Calibri"/>
          <w:i/>
        </w:rPr>
        <w:t xml:space="preserve"> </w:t>
      </w:r>
      <w:r w:rsidRPr="00410C03">
        <w:rPr>
          <w:rFonts w:ascii="Calibri" w:hAnsi="Calibri"/>
          <w:i/>
        </w:rPr>
        <w:t>value be sold to a passive investor?]</w:t>
      </w:r>
      <w:r w:rsidR="00410C03">
        <w:rPr>
          <w:rFonts w:ascii="Calibri" w:hAnsi="Calibri"/>
          <w:i/>
        </w:rPr>
        <w:t>.</w:t>
      </w:r>
    </w:p>
    <w:p w14:paraId="6E54D0B6" w14:textId="77777777" w:rsidR="004579CA" w:rsidRDefault="004579CA">
      <w:pPr>
        <w:rPr>
          <w:rFonts w:ascii="Calibri" w:hAnsi="Calibri"/>
        </w:rPr>
      </w:pPr>
    </w:p>
    <w:p w14:paraId="0EDBF1CC" w14:textId="726DF40F" w:rsidR="00F945D1" w:rsidRDefault="00F945D1">
      <w:pPr>
        <w:rPr>
          <w:rFonts w:ascii="Calibri" w:hAnsi="Calibri"/>
        </w:rPr>
      </w:pPr>
      <w:r>
        <w:rPr>
          <w:rFonts w:ascii="Calibri" w:hAnsi="Calibri"/>
        </w:rPr>
        <w:t>Sources:</w:t>
      </w:r>
    </w:p>
    <w:p w14:paraId="7F38CAFF" w14:textId="241DB8FA" w:rsidR="00F945D1" w:rsidRPr="008871DB" w:rsidRDefault="00C52780" w:rsidP="008871DB">
      <w:pPr>
        <w:pStyle w:val="ListParagraph"/>
        <w:numPr>
          <w:ilvl w:val="0"/>
          <w:numId w:val="4"/>
        </w:numPr>
        <w:rPr>
          <w:rFonts w:ascii="Calibri" w:hAnsi="Calibri"/>
        </w:rPr>
      </w:pPr>
      <w:hyperlink r:id="rId17" w:history="1">
        <w:r w:rsidR="00DE31C5" w:rsidRPr="008871DB">
          <w:rPr>
            <w:rStyle w:val="Hyperlink"/>
            <w:rFonts w:ascii="Calibri" w:hAnsi="Calibri"/>
          </w:rPr>
          <w:t>http://www.dahp.wa.gov/tax-credits</w:t>
        </w:r>
      </w:hyperlink>
    </w:p>
    <w:p w14:paraId="1BDB7BE0" w14:textId="6F64E8BF" w:rsidR="00DE31C5" w:rsidRPr="008871DB" w:rsidRDefault="00C52780" w:rsidP="008871DB">
      <w:pPr>
        <w:pStyle w:val="ListParagraph"/>
        <w:numPr>
          <w:ilvl w:val="0"/>
          <w:numId w:val="4"/>
        </w:numPr>
        <w:rPr>
          <w:rFonts w:ascii="Calibri" w:hAnsi="Calibri"/>
        </w:rPr>
      </w:pPr>
      <w:hyperlink r:id="rId18" w:history="1">
        <w:r w:rsidR="00DE31C5" w:rsidRPr="008871DB">
          <w:rPr>
            <w:rStyle w:val="Hyperlink"/>
            <w:rFonts w:ascii="Calibri" w:hAnsi="Calibri"/>
          </w:rPr>
          <w:t>http://www.nps.gov/tps/tax-incentives.htm</w:t>
        </w:r>
      </w:hyperlink>
    </w:p>
    <w:p w14:paraId="462F1C90" w14:textId="5FCFAD11" w:rsidR="00DE31C5" w:rsidRPr="008871DB" w:rsidRDefault="00C52780" w:rsidP="008871DB">
      <w:pPr>
        <w:pStyle w:val="ListParagraph"/>
        <w:numPr>
          <w:ilvl w:val="0"/>
          <w:numId w:val="4"/>
        </w:numPr>
        <w:rPr>
          <w:rFonts w:ascii="Calibri" w:hAnsi="Calibri"/>
        </w:rPr>
      </w:pPr>
      <w:hyperlink r:id="rId19" w:history="1">
        <w:r w:rsidR="00DE31C5" w:rsidRPr="008871DB">
          <w:rPr>
            <w:rStyle w:val="Hyperlink"/>
            <w:rFonts w:ascii="Calibri" w:hAnsi="Calibri"/>
          </w:rPr>
          <w:t>http://www.nps.gov/tps/tax-incentives/taxdocs/about-tax-incentives-2012.pdf</w:t>
        </w:r>
      </w:hyperlink>
    </w:p>
    <w:p w14:paraId="1A467E22" w14:textId="211DD32A" w:rsidR="00DE31C5" w:rsidRPr="008871DB" w:rsidRDefault="00C52780" w:rsidP="008871DB">
      <w:pPr>
        <w:pStyle w:val="ListParagraph"/>
        <w:numPr>
          <w:ilvl w:val="0"/>
          <w:numId w:val="4"/>
        </w:numPr>
        <w:rPr>
          <w:rFonts w:ascii="Calibri" w:hAnsi="Calibri"/>
        </w:rPr>
      </w:pPr>
      <w:hyperlink r:id="rId20" w:history="1">
        <w:r w:rsidR="009D7564" w:rsidRPr="008871DB">
          <w:rPr>
            <w:rStyle w:val="Hyperlink"/>
            <w:rFonts w:ascii="Calibri" w:hAnsi="Calibri"/>
          </w:rPr>
          <w:t>http://www.americanbar.org/newsletter/publications/law_trends_news_practice_area_e_newsletter_home/preservationtaxcred.html</w:t>
        </w:r>
      </w:hyperlink>
    </w:p>
    <w:p w14:paraId="654F339B" w14:textId="77777777" w:rsidR="009D7564" w:rsidRDefault="009D7564">
      <w:pPr>
        <w:rPr>
          <w:rFonts w:ascii="Calibri" w:hAnsi="Calibri"/>
        </w:rPr>
      </w:pPr>
    </w:p>
    <w:p w14:paraId="3CA53CB3" w14:textId="77777777" w:rsidR="004579CA" w:rsidRDefault="004579CA">
      <w:pPr>
        <w:rPr>
          <w:rFonts w:ascii="Calibri" w:hAnsi="Calibri"/>
          <w:b/>
        </w:rPr>
      </w:pPr>
    </w:p>
    <w:p w14:paraId="5538AFC9" w14:textId="77777777" w:rsidR="00410C03" w:rsidRDefault="00410C03">
      <w:pPr>
        <w:rPr>
          <w:rFonts w:ascii="Calibri" w:hAnsi="Calibri"/>
          <w:b/>
        </w:rPr>
      </w:pPr>
    </w:p>
    <w:p w14:paraId="73FFDB95" w14:textId="6DCC8864" w:rsidR="00DC27B3" w:rsidRPr="00C91A4E" w:rsidRDefault="00C91A4E">
      <w:pPr>
        <w:rPr>
          <w:rFonts w:ascii="Calibri" w:hAnsi="Calibri"/>
          <w:b/>
          <w:sz w:val="28"/>
          <w:szCs w:val="28"/>
        </w:rPr>
      </w:pPr>
      <w:r>
        <w:rPr>
          <w:rFonts w:ascii="Calibri" w:hAnsi="Calibri"/>
          <w:b/>
          <w:sz w:val="28"/>
          <w:szCs w:val="28"/>
        </w:rPr>
        <w:lastRenderedPageBreak/>
        <w:t xml:space="preserve">National Register </w:t>
      </w:r>
      <w:r w:rsidR="00C851D5" w:rsidRPr="00C91A4E">
        <w:rPr>
          <w:rFonts w:ascii="Calibri" w:hAnsi="Calibri"/>
          <w:b/>
          <w:sz w:val="28"/>
          <w:szCs w:val="28"/>
        </w:rPr>
        <w:t>Façade Easements</w:t>
      </w:r>
    </w:p>
    <w:p w14:paraId="1DA14971" w14:textId="77777777" w:rsidR="00C851D5" w:rsidRDefault="00C851D5" w:rsidP="00C851D5">
      <w:pPr>
        <w:rPr>
          <w:rFonts w:ascii="Calibri" w:hAnsi="Calibri"/>
          <w:b/>
        </w:rPr>
      </w:pPr>
    </w:p>
    <w:p w14:paraId="4F8B3E74" w14:textId="02BF827C" w:rsidR="00C851D5" w:rsidRPr="00A427C1" w:rsidRDefault="000F50FD" w:rsidP="00C851D5">
      <w:pPr>
        <w:rPr>
          <w:rFonts w:ascii="Calibri" w:hAnsi="Calibri"/>
        </w:rPr>
      </w:pPr>
      <w:r>
        <w:rPr>
          <w:rFonts w:ascii="Calibri" w:hAnsi="Calibri"/>
        </w:rPr>
        <w:t>Jurisdiction</w:t>
      </w:r>
      <w:r w:rsidR="00C851D5" w:rsidRPr="00A427C1">
        <w:rPr>
          <w:rFonts w:ascii="Calibri" w:hAnsi="Calibri"/>
        </w:rPr>
        <w:t xml:space="preserve">: </w:t>
      </w:r>
      <w:r w:rsidR="00C851D5">
        <w:rPr>
          <w:rFonts w:ascii="Calibri" w:hAnsi="Calibri"/>
        </w:rPr>
        <w:t>Federal</w:t>
      </w:r>
    </w:p>
    <w:p w14:paraId="2BE7D025" w14:textId="77777777" w:rsidR="00C851D5" w:rsidRPr="00A427C1" w:rsidRDefault="00C851D5" w:rsidP="00C851D5">
      <w:pPr>
        <w:rPr>
          <w:rFonts w:ascii="Calibri" w:hAnsi="Calibri"/>
        </w:rPr>
      </w:pPr>
    </w:p>
    <w:p w14:paraId="7728D369" w14:textId="77777777" w:rsidR="00C851D5" w:rsidRDefault="00C851D5" w:rsidP="00C851D5">
      <w:pPr>
        <w:rPr>
          <w:rFonts w:ascii="Calibri" w:hAnsi="Calibri"/>
        </w:rPr>
      </w:pPr>
      <w:r w:rsidRPr="00A427C1">
        <w:rPr>
          <w:rFonts w:ascii="Calibri" w:hAnsi="Calibri"/>
        </w:rPr>
        <w:t xml:space="preserve">Responsible Agency: </w:t>
      </w:r>
      <w:r>
        <w:rPr>
          <w:rFonts w:ascii="Calibri" w:hAnsi="Calibri"/>
        </w:rPr>
        <w:t xml:space="preserve">Washington State Department of Archaeology and Historic Preservation and the National Parks Service. </w:t>
      </w:r>
    </w:p>
    <w:p w14:paraId="74435748" w14:textId="77777777" w:rsidR="00C851D5" w:rsidRPr="00A427C1" w:rsidRDefault="00C851D5" w:rsidP="00C851D5">
      <w:pPr>
        <w:rPr>
          <w:rFonts w:ascii="Calibri" w:hAnsi="Calibri"/>
        </w:rPr>
      </w:pPr>
    </w:p>
    <w:p w14:paraId="567853F9" w14:textId="7FBD903F" w:rsidR="00C851D5" w:rsidRPr="00A427C1" w:rsidRDefault="00C851D5" w:rsidP="00C851D5">
      <w:pPr>
        <w:rPr>
          <w:rFonts w:ascii="Calibri" w:hAnsi="Calibri"/>
        </w:rPr>
      </w:pPr>
      <w:r w:rsidRPr="00A427C1">
        <w:rPr>
          <w:rFonts w:ascii="Calibri" w:hAnsi="Calibri"/>
        </w:rPr>
        <w:t xml:space="preserve">Eligible Properties of Interest: </w:t>
      </w:r>
      <w:r>
        <w:rPr>
          <w:rFonts w:ascii="Calibri" w:hAnsi="Calibri"/>
        </w:rPr>
        <w:t xml:space="preserve">Buildings listed in the National Register of Historic Places </w:t>
      </w:r>
    </w:p>
    <w:p w14:paraId="613A6A2C" w14:textId="77777777" w:rsidR="00C851D5" w:rsidRPr="00A427C1" w:rsidRDefault="00C851D5" w:rsidP="00C851D5">
      <w:pPr>
        <w:rPr>
          <w:rFonts w:ascii="Calibri" w:hAnsi="Calibri"/>
        </w:rPr>
      </w:pPr>
    </w:p>
    <w:p w14:paraId="17BB3C0D" w14:textId="1E394D8E" w:rsidR="00C851D5" w:rsidRDefault="00C851D5" w:rsidP="00C851D5">
      <w:pPr>
        <w:rPr>
          <w:rFonts w:ascii="Calibri" w:hAnsi="Calibri"/>
        </w:rPr>
      </w:pPr>
      <w:r w:rsidRPr="00A427C1">
        <w:rPr>
          <w:rFonts w:ascii="Calibri" w:hAnsi="Calibri"/>
        </w:rPr>
        <w:t>Description:</w:t>
      </w:r>
      <w:r>
        <w:rPr>
          <w:rFonts w:ascii="Calibri" w:hAnsi="Calibri"/>
        </w:rPr>
        <w:t xml:space="preserve"> </w:t>
      </w:r>
      <w:r w:rsidR="002834C2">
        <w:rPr>
          <w:rFonts w:ascii="Calibri" w:hAnsi="Calibri"/>
        </w:rPr>
        <w:t xml:space="preserve">Buildings listed in the National Register of Historic Places are eligible for the donation of a façade easement. </w:t>
      </w:r>
      <w:r w:rsidR="00847B91">
        <w:rPr>
          <w:rFonts w:ascii="Calibri" w:hAnsi="Calibri"/>
        </w:rPr>
        <w:t>Property owners transfer a portion of property rights to an organization that values historic preservation. In doing so, the easement becomes part of the property’</w:t>
      </w:r>
      <w:r w:rsidR="00213C7F">
        <w:rPr>
          <w:rFonts w:ascii="Calibri" w:hAnsi="Calibri"/>
        </w:rPr>
        <w:t xml:space="preserve">s chain title, and the organization assumes responsibility for maintaining the historic and cultural value of the building. </w:t>
      </w:r>
      <w:r w:rsidR="00B365FB">
        <w:rPr>
          <w:rFonts w:ascii="Calibri" w:hAnsi="Calibri"/>
        </w:rPr>
        <w:t xml:space="preserve">Tax benefits may be provided to the property owner in return for the easement donation. </w:t>
      </w:r>
    </w:p>
    <w:p w14:paraId="0E34CD8C" w14:textId="77777777" w:rsidR="00B3665C" w:rsidRDefault="00B3665C" w:rsidP="00C851D5">
      <w:pPr>
        <w:rPr>
          <w:rFonts w:ascii="Calibri" w:hAnsi="Calibri"/>
        </w:rPr>
      </w:pPr>
    </w:p>
    <w:p w14:paraId="1ABE2337" w14:textId="4EE55C11" w:rsidR="00B3665C" w:rsidRDefault="00B3665C" w:rsidP="00C851D5">
      <w:pPr>
        <w:rPr>
          <w:rFonts w:ascii="Calibri" w:hAnsi="Calibri"/>
        </w:rPr>
      </w:pPr>
      <w:r>
        <w:rPr>
          <w:rFonts w:ascii="Calibri" w:hAnsi="Calibri"/>
        </w:rPr>
        <w:t xml:space="preserve">Since 2004, </w:t>
      </w:r>
      <w:r w:rsidR="00AF1AEE">
        <w:rPr>
          <w:rFonts w:ascii="Calibri" w:hAnsi="Calibri"/>
        </w:rPr>
        <w:t xml:space="preserve">there has been </w:t>
      </w:r>
      <w:r>
        <w:rPr>
          <w:rFonts w:ascii="Calibri" w:hAnsi="Calibri"/>
        </w:rPr>
        <w:t>one easement in th</w:t>
      </w:r>
      <w:r w:rsidR="00AF1AEE">
        <w:rPr>
          <w:rFonts w:ascii="Calibri" w:hAnsi="Calibri"/>
        </w:rPr>
        <w:t xml:space="preserve">e city of Seattle. </w:t>
      </w:r>
    </w:p>
    <w:p w14:paraId="11F4FDFA" w14:textId="77777777" w:rsidR="00AE0615" w:rsidRDefault="00AE0615" w:rsidP="00C851D5">
      <w:pPr>
        <w:rPr>
          <w:rFonts w:ascii="Calibri" w:hAnsi="Calibri"/>
        </w:rPr>
      </w:pPr>
    </w:p>
    <w:p w14:paraId="2876B9FF" w14:textId="77777777" w:rsidR="004579CA" w:rsidRDefault="004579CA" w:rsidP="004579CA">
      <w:pPr>
        <w:rPr>
          <w:rFonts w:ascii="Calibri" w:hAnsi="Calibri"/>
          <w:b/>
        </w:rPr>
      </w:pPr>
      <w:r>
        <w:rPr>
          <w:rFonts w:ascii="Calibri" w:hAnsi="Calibri"/>
          <w:b/>
        </w:rPr>
        <w:t>Analysis</w:t>
      </w:r>
    </w:p>
    <w:p w14:paraId="5F7F0F31" w14:textId="5602C6D3" w:rsidR="004579CA" w:rsidRDefault="00410C03" w:rsidP="00C851D5">
      <w:pPr>
        <w:rPr>
          <w:rFonts w:ascii="Calibri" w:hAnsi="Calibri"/>
        </w:rPr>
      </w:pPr>
      <w:r w:rsidRPr="00410C03">
        <w:rPr>
          <w:rFonts w:ascii="Calibri" w:hAnsi="Calibri"/>
        </w:rPr>
        <w:t xml:space="preserve">This </w:t>
      </w:r>
      <w:r>
        <w:rPr>
          <w:rFonts w:ascii="Calibri" w:hAnsi="Calibri"/>
        </w:rPr>
        <w:t>is an underutilized program, and has not produced a tangible economic incentive to owners for the rehabilitation of historic buildings. Moreover, it is limited façade preservation which may be considered insufficient result for historic preservation. It may however, serve to protect a National Register listed historic structure against demolition.</w:t>
      </w:r>
    </w:p>
    <w:p w14:paraId="2844716B" w14:textId="77777777" w:rsidR="00C91A4E" w:rsidRDefault="00C91A4E" w:rsidP="00C851D5">
      <w:pPr>
        <w:rPr>
          <w:rFonts w:ascii="Calibri" w:hAnsi="Calibri"/>
        </w:rPr>
      </w:pPr>
    </w:p>
    <w:p w14:paraId="64BFE19F" w14:textId="303F831B" w:rsidR="00C91A4E" w:rsidRPr="00410C03" w:rsidRDefault="00C91A4E" w:rsidP="00C851D5">
      <w:pPr>
        <w:rPr>
          <w:rFonts w:ascii="Calibri" w:hAnsi="Calibri"/>
        </w:rPr>
      </w:pPr>
      <w:r>
        <w:rPr>
          <w:rFonts w:ascii="Calibri" w:hAnsi="Calibri"/>
        </w:rPr>
        <w:t xml:space="preserve">Sources: </w:t>
      </w:r>
      <w:hyperlink r:id="rId21" w:history="1">
        <w:r w:rsidRPr="002B093C">
          <w:rPr>
            <w:rStyle w:val="Hyperlink"/>
            <w:rFonts w:ascii="Calibri" w:hAnsi="Calibri"/>
          </w:rPr>
          <w:t>http://www.seattle.gov/neighborhoods/preservation/documents/brochure_incentives.pdf</w:t>
        </w:r>
      </w:hyperlink>
    </w:p>
    <w:p w14:paraId="0C9A4D47" w14:textId="77777777" w:rsidR="00BC0728" w:rsidRDefault="00BC0728" w:rsidP="00C851D5">
      <w:pPr>
        <w:rPr>
          <w:rFonts w:ascii="Calibri" w:hAnsi="Calibri"/>
          <w:b/>
        </w:rPr>
      </w:pPr>
    </w:p>
    <w:p w14:paraId="39EFAD74" w14:textId="77777777" w:rsidR="00C91A4E" w:rsidRDefault="00C91A4E" w:rsidP="00C851D5">
      <w:pPr>
        <w:rPr>
          <w:rFonts w:ascii="Calibri" w:hAnsi="Calibri"/>
          <w:b/>
          <w:sz w:val="28"/>
          <w:szCs w:val="28"/>
        </w:rPr>
      </w:pPr>
    </w:p>
    <w:p w14:paraId="08CEFFF6" w14:textId="3ADE0DA3" w:rsidR="0096144E" w:rsidRPr="00C91A4E" w:rsidRDefault="00D708A4" w:rsidP="00C851D5">
      <w:pPr>
        <w:rPr>
          <w:rFonts w:ascii="Calibri" w:hAnsi="Calibri"/>
          <w:b/>
          <w:sz w:val="28"/>
          <w:szCs w:val="28"/>
        </w:rPr>
      </w:pPr>
      <w:r w:rsidRPr="00C91A4E">
        <w:rPr>
          <w:rFonts w:ascii="Calibri" w:hAnsi="Calibri"/>
          <w:b/>
          <w:sz w:val="28"/>
          <w:szCs w:val="28"/>
        </w:rPr>
        <w:t xml:space="preserve">4Culture </w:t>
      </w:r>
      <w:r w:rsidR="00C91A4E">
        <w:rPr>
          <w:rFonts w:ascii="Calibri" w:hAnsi="Calibri"/>
          <w:b/>
          <w:sz w:val="28"/>
          <w:szCs w:val="28"/>
        </w:rPr>
        <w:t xml:space="preserve">Landmarks Capital </w:t>
      </w:r>
      <w:r w:rsidRPr="00C91A4E">
        <w:rPr>
          <w:rFonts w:ascii="Calibri" w:hAnsi="Calibri"/>
          <w:b/>
          <w:sz w:val="28"/>
          <w:szCs w:val="28"/>
        </w:rPr>
        <w:t>Grant Program</w:t>
      </w:r>
    </w:p>
    <w:p w14:paraId="309CCA36" w14:textId="77777777" w:rsidR="008A659F" w:rsidRPr="008A659F" w:rsidRDefault="008A659F" w:rsidP="00C851D5">
      <w:pPr>
        <w:rPr>
          <w:rFonts w:ascii="Calibri" w:hAnsi="Calibri"/>
        </w:rPr>
      </w:pPr>
    </w:p>
    <w:p w14:paraId="7B7A3DBB" w14:textId="7A8308FF" w:rsidR="0096144E" w:rsidRDefault="00C91A4E" w:rsidP="00C851D5">
      <w:pPr>
        <w:rPr>
          <w:rFonts w:ascii="Calibri" w:hAnsi="Calibri"/>
        </w:rPr>
      </w:pPr>
      <w:r>
        <w:rPr>
          <w:rFonts w:ascii="Calibri" w:hAnsi="Calibri"/>
        </w:rPr>
        <w:t>Jurisdiction</w:t>
      </w:r>
      <w:r w:rsidR="0096144E">
        <w:rPr>
          <w:rFonts w:ascii="Calibri" w:hAnsi="Calibri"/>
        </w:rPr>
        <w:t>: King County</w:t>
      </w:r>
    </w:p>
    <w:p w14:paraId="1B9F31C3" w14:textId="77777777" w:rsidR="0096144E" w:rsidRDefault="0096144E" w:rsidP="00C851D5">
      <w:pPr>
        <w:rPr>
          <w:rFonts w:ascii="Calibri" w:hAnsi="Calibri"/>
        </w:rPr>
      </w:pPr>
      <w:bookmarkStart w:id="0" w:name="_GoBack"/>
      <w:bookmarkEnd w:id="0"/>
    </w:p>
    <w:p w14:paraId="2E8B8D94" w14:textId="6B455D83" w:rsidR="0096144E" w:rsidRDefault="0096144E" w:rsidP="00C851D5">
      <w:pPr>
        <w:rPr>
          <w:rFonts w:ascii="Calibri" w:hAnsi="Calibri"/>
        </w:rPr>
      </w:pPr>
      <w:r>
        <w:rPr>
          <w:rFonts w:ascii="Calibri" w:hAnsi="Calibri"/>
        </w:rPr>
        <w:t xml:space="preserve">Responsible Agency: 4Culture </w:t>
      </w:r>
    </w:p>
    <w:p w14:paraId="3AC323E8" w14:textId="77777777" w:rsidR="0096144E" w:rsidRDefault="0096144E" w:rsidP="00C851D5">
      <w:pPr>
        <w:rPr>
          <w:rFonts w:ascii="Calibri" w:hAnsi="Calibri"/>
        </w:rPr>
      </w:pPr>
    </w:p>
    <w:p w14:paraId="366200BE" w14:textId="77777777" w:rsidR="0096144E" w:rsidRDefault="0096144E" w:rsidP="00C851D5">
      <w:pPr>
        <w:rPr>
          <w:rFonts w:ascii="Calibri" w:hAnsi="Calibri"/>
        </w:rPr>
      </w:pPr>
      <w:r>
        <w:rPr>
          <w:rFonts w:ascii="Calibri" w:hAnsi="Calibri"/>
        </w:rPr>
        <w:t xml:space="preserve">Eligible Properties of Interest: Local landmarks </w:t>
      </w:r>
    </w:p>
    <w:p w14:paraId="26A54D19" w14:textId="77777777" w:rsidR="0096144E" w:rsidRDefault="0096144E" w:rsidP="00C851D5">
      <w:pPr>
        <w:rPr>
          <w:rFonts w:ascii="Calibri" w:hAnsi="Calibri"/>
        </w:rPr>
      </w:pPr>
    </w:p>
    <w:p w14:paraId="7B6C74CD" w14:textId="2F85EBAE" w:rsidR="0096144E" w:rsidRDefault="0096144E" w:rsidP="00C851D5">
      <w:pPr>
        <w:rPr>
          <w:rFonts w:ascii="Calibri" w:hAnsi="Calibri"/>
        </w:rPr>
      </w:pPr>
      <w:r>
        <w:rPr>
          <w:rFonts w:ascii="Calibri" w:hAnsi="Calibri"/>
        </w:rPr>
        <w:t xml:space="preserve">Description: </w:t>
      </w:r>
      <w:r w:rsidR="00BC0728">
        <w:rPr>
          <w:rFonts w:ascii="Calibri" w:hAnsi="Calibri"/>
        </w:rPr>
        <w:t>The Landmarks Challenge</w:t>
      </w:r>
      <w:r w:rsidR="00D8791A">
        <w:rPr>
          <w:rFonts w:ascii="Calibri" w:hAnsi="Calibri"/>
        </w:rPr>
        <w:t xml:space="preserve"> program began in 2008 to help c</w:t>
      </w:r>
      <w:r w:rsidR="00BC0728">
        <w:rPr>
          <w:rFonts w:ascii="Calibri" w:hAnsi="Calibri"/>
        </w:rPr>
        <w:t xml:space="preserve">ity </w:t>
      </w:r>
      <w:r w:rsidR="00D8791A" w:rsidRPr="00D8791A">
        <w:rPr>
          <w:rFonts w:ascii="Calibri" w:hAnsi="Calibri"/>
        </w:rPr>
        <w:t>and county</w:t>
      </w:r>
      <w:r w:rsidR="00D8791A">
        <w:rPr>
          <w:rFonts w:ascii="Calibri" w:hAnsi="Calibri"/>
        </w:rPr>
        <w:t xml:space="preserve"> </w:t>
      </w:r>
      <w:r w:rsidR="00BC0728">
        <w:rPr>
          <w:rFonts w:ascii="Calibri" w:hAnsi="Calibri"/>
        </w:rPr>
        <w:t xml:space="preserve">landmark property owner stewards fund “bricks and mortar” projects in Seattle and Bothell.  In 2012, this program merged with the Landmarks Rehabilitation Program to create the 4Culture Landmarks Capital Program. </w:t>
      </w:r>
      <w:r>
        <w:rPr>
          <w:rFonts w:ascii="Calibri" w:hAnsi="Calibri"/>
        </w:rPr>
        <w:t xml:space="preserve">The 4Culture Landmarks Capital program provides funding opportunities for projects aimed at preservation and rehabilitation of local landmarks around King County. </w:t>
      </w:r>
      <w:r w:rsidR="00345246">
        <w:rPr>
          <w:rFonts w:ascii="Calibri" w:hAnsi="Calibri"/>
        </w:rPr>
        <w:lastRenderedPageBreak/>
        <w:t xml:space="preserve">Private owners, businesses, local governments, and organizations are eligible to apply for Landmarks Capital awards. A portion of Lodging Tax revenues collected in King County provides all the funding for this program (4Culture webpage). </w:t>
      </w:r>
      <w:r w:rsidR="00410C03" w:rsidRPr="00410C03">
        <w:rPr>
          <w:rFonts w:ascii="Calibri" w:hAnsi="Calibri"/>
          <w:i/>
        </w:rPr>
        <w:t>[Does the program require a match?]</w:t>
      </w:r>
    </w:p>
    <w:p w14:paraId="0B541CB1" w14:textId="77777777" w:rsidR="00BC0728" w:rsidRDefault="00BC0728" w:rsidP="00C851D5">
      <w:pPr>
        <w:rPr>
          <w:rFonts w:ascii="Calibri" w:hAnsi="Calibri"/>
        </w:rPr>
      </w:pPr>
    </w:p>
    <w:p w14:paraId="34DD6D0C" w14:textId="4A799C79" w:rsidR="00BC0728" w:rsidRPr="0096144E" w:rsidRDefault="00BC0728" w:rsidP="00C851D5">
      <w:pPr>
        <w:rPr>
          <w:rFonts w:ascii="Calibri" w:hAnsi="Calibri"/>
        </w:rPr>
      </w:pPr>
      <w:r>
        <w:rPr>
          <w:rFonts w:ascii="Calibri" w:hAnsi="Calibri"/>
        </w:rPr>
        <w:t xml:space="preserve">The data provided in the table below includes Landmarks Challenge program data for 2008-2012, and Landmarks Capital program data for 2013-2014 for City of Seattle designated landmark projects. </w:t>
      </w:r>
    </w:p>
    <w:p w14:paraId="0D2447C8" w14:textId="62855F13" w:rsidR="0096144E" w:rsidRPr="0096144E" w:rsidRDefault="0096144E" w:rsidP="0096144E">
      <w:pPr>
        <w:rPr>
          <w:rFonts w:ascii="Calibri" w:hAnsi="Calibri"/>
          <w:b/>
        </w:rPr>
      </w:pPr>
    </w:p>
    <w:p w14:paraId="496EAD36" w14:textId="411F9640" w:rsidR="0096144E" w:rsidRPr="00410C03" w:rsidRDefault="0096144E" w:rsidP="00C851D5">
      <w:pPr>
        <w:rPr>
          <w:rFonts w:ascii="Calibri" w:hAnsi="Calibri"/>
          <w:b/>
        </w:rPr>
      </w:pPr>
      <w:r w:rsidRPr="00410C03">
        <w:rPr>
          <w:rFonts w:ascii="Calibri" w:hAnsi="Calibri"/>
          <w:b/>
        </w:rPr>
        <w:t xml:space="preserve">4Culture Landmarks </w:t>
      </w:r>
      <w:r w:rsidR="00D8791A">
        <w:rPr>
          <w:rFonts w:ascii="Calibri" w:hAnsi="Calibri"/>
          <w:b/>
        </w:rPr>
        <w:t xml:space="preserve">Capital </w:t>
      </w:r>
      <w:r w:rsidR="00BC0728" w:rsidRPr="00410C03">
        <w:rPr>
          <w:rFonts w:ascii="Calibri" w:hAnsi="Calibri"/>
          <w:b/>
        </w:rPr>
        <w:t>Grant Program (2008</w:t>
      </w:r>
      <w:r w:rsidRPr="00410C03">
        <w:rPr>
          <w:rFonts w:ascii="Calibri" w:hAnsi="Calibri"/>
          <w:b/>
        </w:rPr>
        <w:t>-2014)</w:t>
      </w:r>
      <w:r w:rsidR="00BC0728" w:rsidRPr="00410C03">
        <w:rPr>
          <w:rFonts w:ascii="Calibri" w:hAnsi="Calibri"/>
          <w:b/>
        </w:rPr>
        <w:t xml:space="preserve"> </w:t>
      </w:r>
    </w:p>
    <w:p w14:paraId="35F7C37D" w14:textId="77777777" w:rsidR="0096144E" w:rsidRPr="0096144E" w:rsidRDefault="0096144E" w:rsidP="00C851D5">
      <w:pPr>
        <w:rPr>
          <w:rFonts w:ascii="Calibri" w:hAnsi="Calibri"/>
        </w:rPr>
      </w:pPr>
    </w:p>
    <w:tbl>
      <w:tblPr>
        <w:tblW w:w="7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550"/>
        <w:gridCol w:w="2560"/>
      </w:tblGrid>
      <w:tr w:rsidR="00751B49" w:rsidRPr="00751B49" w14:paraId="1C20B65F" w14:textId="77777777" w:rsidTr="00751B49">
        <w:trPr>
          <w:trHeight w:val="467"/>
        </w:trPr>
        <w:tc>
          <w:tcPr>
            <w:tcW w:w="2337" w:type="dxa"/>
            <w:shd w:val="clear" w:color="auto" w:fill="auto"/>
            <w:vAlign w:val="center"/>
            <w:hideMark/>
          </w:tcPr>
          <w:p w14:paraId="215B57C5" w14:textId="77777777" w:rsidR="00751B49" w:rsidRPr="00751B49" w:rsidRDefault="00751B49" w:rsidP="00751B49">
            <w:pPr>
              <w:jc w:val="center"/>
              <w:rPr>
                <w:rFonts w:ascii="Verdana" w:eastAsia="Times New Roman" w:hAnsi="Verdana"/>
                <w:b/>
                <w:bCs/>
                <w:sz w:val="18"/>
                <w:szCs w:val="18"/>
              </w:rPr>
            </w:pPr>
            <w:r w:rsidRPr="00751B49">
              <w:rPr>
                <w:rFonts w:ascii="Verdana" w:eastAsia="Times New Roman" w:hAnsi="Verdana"/>
                <w:b/>
                <w:bCs/>
                <w:sz w:val="18"/>
                <w:szCs w:val="18"/>
              </w:rPr>
              <w:t>Year</w:t>
            </w:r>
          </w:p>
        </w:tc>
        <w:tc>
          <w:tcPr>
            <w:tcW w:w="2550" w:type="dxa"/>
            <w:shd w:val="clear" w:color="auto" w:fill="auto"/>
            <w:vAlign w:val="center"/>
            <w:hideMark/>
          </w:tcPr>
          <w:p w14:paraId="4842F3A9" w14:textId="77777777" w:rsidR="00751B49" w:rsidRPr="00751B49" w:rsidRDefault="00751B49" w:rsidP="00751B49">
            <w:pPr>
              <w:jc w:val="center"/>
              <w:rPr>
                <w:rFonts w:ascii="Verdana" w:eastAsia="Times New Roman" w:hAnsi="Verdana"/>
                <w:b/>
                <w:bCs/>
                <w:sz w:val="18"/>
                <w:szCs w:val="18"/>
              </w:rPr>
            </w:pPr>
            <w:r w:rsidRPr="00751B49">
              <w:rPr>
                <w:rFonts w:ascii="Verdana" w:eastAsia="Times New Roman" w:hAnsi="Verdana"/>
                <w:b/>
                <w:bCs/>
                <w:sz w:val="18"/>
                <w:szCs w:val="18"/>
              </w:rPr>
              <w:t># of Projects</w:t>
            </w:r>
          </w:p>
        </w:tc>
        <w:tc>
          <w:tcPr>
            <w:tcW w:w="2560" w:type="dxa"/>
            <w:shd w:val="clear" w:color="auto" w:fill="auto"/>
            <w:vAlign w:val="center"/>
            <w:hideMark/>
          </w:tcPr>
          <w:p w14:paraId="4B8A8518" w14:textId="77777777" w:rsidR="00751B49" w:rsidRPr="00751B49" w:rsidRDefault="00751B49" w:rsidP="00751B49">
            <w:pPr>
              <w:jc w:val="center"/>
              <w:rPr>
                <w:rFonts w:ascii="Verdana" w:eastAsia="Times New Roman" w:hAnsi="Verdana"/>
                <w:b/>
                <w:bCs/>
                <w:sz w:val="18"/>
                <w:szCs w:val="18"/>
              </w:rPr>
            </w:pPr>
            <w:r w:rsidRPr="00751B49">
              <w:rPr>
                <w:rFonts w:ascii="Verdana" w:eastAsia="Times New Roman" w:hAnsi="Verdana"/>
                <w:b/>
                <w:bCs/>
                <w:sz w:val="18"/>
                <w:szCs w:val="18"/>
              </w:rPr>
              <w:t>Total Awards</w:t>
            </w:r>
          </w:p>
        </w:tc>
      </w:tr>
      <w:tr w:rsidR="00751B49" w:rsidRPr="00751B49" w14:paraId="588E6E80" w14:textId="77777777" w:rsidTr="00751B49">
        <w:trPr>
          <w:trHeight w:val="323"/>
        </w:trPr>
        <w:tc>
          <w:tcPr>
            <w:tcW w:w="2337" w:type="dxa"/>
            <w:shd w:val="clear" w:color="auto" w:fill="auto"/>
            <w:noWrap/>
            <w:vAlign w:val="center"/>
            <w:hideMark/>
          </w:tcPr>
          <w:p w14:paraId="2E012D62" w14:textId="77777777" w:rsidR="00751B49" w:rsidRPr="00751B49" w:rsidRDefault="00751B49" w:rsidP="00751B49">
            <w:pPr>
              <w:jc w:val="center"/>
              <w:rPr>
                <w:rFonts w:ascii="Calibri" w:eastAsia="Times New Roman" w:hAnsi="Calibri"/>
                <w:color w:val="000000"/>
                <w:sz w:val="22"/>
                <w:szCs w:val="22"/>
              </w:rPr>
            </w:pPr>
            <w:r w:rsidRPr="00751B49">
              <w:rPr>
                <w:rFonts w:ascii="Calibri" w:eastAsia="Times New Roman" w:hAnsi="Calibri"/>
                <w:color w:val="000000"/>
                <w:sz w:val="22"/>
                <w:szCs w:val="22"/>
              </w:rPr>
              <w:t>2014</w:t>
            </w:r>
          </w:p>
        </w:tc>
        <w:tc>
          <w:tcPr>
            <w:tcW w:w="2550" w:type="dxa"/>
            <w:shd w:val="clear" w:color="auto" w:fill="auto"/>
            <w:noWrap/>
            <w:vAlign w:val="center"/>
            <w:hideMark/>
          </w:tcPr>
          <w:p w14:paraId="7E36DE64" w14:textId="77777777" w:rsidR="00751B49" w:rsidRPr="00751B49" w:rsidRDefault="00751B49" w:rsidP="00751B49">
            <w:pPr>
              <w:jc w:val="center"/>
              <w:rPr>
                <w:rFonts w:ascii="Calibri" w:eastAsia="Times New Roman" w:hAnsi="Calibri"/>
                <w:color w:val="000000"/>
                <w:sz w:val="22"/>
                <w:szCs w:val="22"/>
              </w:rPr>
            </w:pPr>
            <w:r w:rsidRPr="00751B49">
              <w:rPr>
                <w:rFonts w:ascii="Calibri" w:eastAsia="Times New Roman" w:hAnsi="Calibri"/>
                <w:color w:val="000000"/>
                <w:sz w:val="22"/>
                <w:szCs w:val="22"/>
              </w:rPr>
              <w:t>7</w:t>
            </w:r>
          </w:p>
        </w:tc>
        <w:tc>
          <w:tcPr>
            <w:tcW w:w="2560" w:type="dxa"/>
            <w:shd w:val="clear" w:color="auto" w:fill="auto"/>
            <w:noWrap/>
            <w:vAlign w:val="center"/>
            <w:hideMark/>
          </w:tcPr>
          <w:p w14:paraId="19FEA1B5" w14:textId="54B8E835" w:rsidR="00751B49" w:rsidRPr="00751B49" w:rsidRDefault="00751B49" w:rsidP="00751B49">
            <w:pPr>
              <w:jc w:val="center"/>
              <w:rPr>
                <w:rFonts w:ascii="Calibri" w:eastAsia="Times New Roman" w:hAnsi="Calibri"/>
                <w:color w:val="000000"/>
                <w:sz w:val="22"/>
                <w:szCs w:val="22"/>
              </w:rPr>
            </w:pPr>
            <w:r w:rsidRPr="00751B49">
              <w:rPr>
                <w:rFonts w:ascii="Calibri" w:eastAsia="Times New Roman" w:hAnsi="Calibri"/>
                <w:color w:val="000000"/>
                <w:sz w:val="22"/>
                <w:szCs w:val="22"/>
              </w:rPr>
              <w:t>$115,619</w:t>
            </w:r>
          </w:p>
        </w:tc>
      </w:tr>
      <w:tr w:rsidR="00751B49" w:rsidRPr="00751B49" w14:paraId="51824CE3" w14:textId="77777777" w:rsidTr="00751B49">
        <w:trPr>
          <w:trHeight w:val="335"/>
        </w:trPr>
        <w:tc>
          <w:tcPr>
            <w:tcW w:w="2337" w:type="dxa"/>
            <w:shd w:val="clear" w:color="auto" w:fill="auto"/>
            <w:noWrap/>
            <w:vAlign w:val="center"/>
            <w:hideMark/>
          </w:tcPr>
          <w:p w14:paraId="6B3204DB" w14:textId="77777777" w:rsidR="00751B49" w:rsidRPr="00751B49" w:rsidRDefault="00751B49" w:rsidP="00751B49">
            <w:pPr>
              <w:jc w:val="center"/>
              <w:rPr>
                <w:rFonts w:ascii="Calibri" w:eastAsia="Times New Roman" w:hAnsi="Calibri"/>
                <w:color w:val="000000"/>
                <w:sz w:val="22"/>
                <w:szCs w:val="22"/>
              </w:rPr>
            </w:pPr>
            <w:r w:rsidRPr="00751B49">
              <w:rPr>
                <w:rFonts w:ascii="Calibri" w:eastAsia="Times New Roman" w:hAnsi="Calibri"/>
                <w:color w:val="000000"/>
                <w:sz w:val="22"/>
                <w:szCs w:val="22"/>
              </w:rPr>
              <w:t>2013</w:t>
            </w:r>
          </w:p>
        </w:tc>
        <w:tc>
          <w:tcPr>
            <w:tcW w:w="2550" w:type="dxa"/>
            <w:shd w:val="clear" w:color="auto" w:fill="auto"/>
            <w:noWrap/>
            <w:vAlign w:val="center"/>
            <w:hideMark/>
          </w:tcPr>
          <w:p w14:paraId="78F13606" w14:textId="77777777" w:rsidR="00751B49" w:rsidRPr="00751B49" w:rsidRDefault="00751B49" w:rsidP="00751B49">
            <w:pPr>
              <w:jc w:val="center"/>
              <w:rPr>
                <w:rFonts w:ascii="Calibri" w:eastAsia="Times New Roman" w:hAnsi="Calibri"/>
                <w:color w:val="000000"/>
                <w:sz w:val="22"/>
                <w:szCs w:val="22"/>
              </w:rPr>
            </w:pPr>
            <w:r w:rsidRPr="00751B49">
              <w:rPr>
                <w:rFonts w:ascii="Calibri" w:eastAsia="Times New Roman" w:hAnsi="Calibri"/>
                <w:color w:val="000000"/>
                <w:sz w:val="22"/>
                <w:szCs w:val="22"/>
              </w:rPr>
              <w:t>7</w:t>
            </w:r>
          </w:p>
        </w:tc>
        <w:tc>
          <w:tcPr>
            <w:tcW w:w="2560" w:type="dxa"/>
            <w:shd w:val="clear" w:color="auto" w:fill="auto"/>
            <w:noWrap/>
            <w:vAlign w:val="center"/>
            <w:hideMark/>
          </w:tcPr>
          <w:p w14:paraId="58B276BE" w14:textId="2F1B0275" w:rsidR="00751B49" w:rsidRPr="00751B49" w:rsidRDefault="00D8791A" w:rsidP="00751B49">
            <w:pPr>
              <w:jc w:val="center"/>
              <w:rPr>
                <w:rFonts w:ascii="Calibri" w:eastAsia="Times New Roman" w:hAnsi="Calibri"/>
                <w:color w:val="000000"/>
                <w:sz w:val="22"/>
                <w:szCs w:val="22"/>
              </w:rPr>
            </w:pPr>
            <w:r>
              <w:rPr>
                <w:rFonts w:ascii="Calibri" w:eastAsia="Times New Roman" w:hAnsi="Calibri"/>
                <w:color w:val="000000"/>
                <w:sz w:val="22"/>
                <w:szCs w:val="22"/>
              </w:rPr>
              <w:t xml:space="preserve">   </w:t>
            </w:r>
            <w:r w:rsidR="00751B49" w:rsidRPr="00751B49">
              <w:rPr>
                <w:rFonts w:ascii="Calibri" w:eastAsia="Times New Roman" w:hAnsi="Calibri"/>
                <w:color w:val="000000"/>
                <w:sz w:val="22"/>
                <w:szCs w:val="22"/>
              </w:rPr>
              <w:t>136,912</w:t>
            </w:r>
          </w:p>
        </w:tc>
      </w:tr>
      <w:tr w:rsidR="00751B49" w:rsidRPr="00751B49" w14:paraId="7E61C220" w14:textId="77777777" w:rsidTr="00751B49">
        <w:trPr>
          <w:trHeight w:val="335"/>
        </w:trPr>
        <w:tc>
          <w:tcPr>
            <w:tcW w:w="2337" w:type="dxa"/>
            <w:shd w:val="clear" w:color="auto" w:fill="auto"/>
            <w:noWrap/>
            <w:vAlign w:val="center"/>
            <w:hideMark/>
          </w:tcPr>
          <w:p w14:paraId="0ECC6F98" w14:textId="77777777" w:rsidR="00751B49" w:rsidRPr="00751B49" w:rsidRDefault="00751B49" w:rsidP="00751B49">
            <w:pPr>
              <w:jc w:val="center"/>
              <w:rPr>
                <w:rFonts w:ascii="Calibri" w:eastAsia="Times New Roman" w:hAnsi="Calibri"/>
                <w:color w:val="000000"/>
                <w:sz w:val="22"/>
                <w:szCs w:val="22"/>
              </w:rPr>
            </w:pPr>
            <w:r w:rsidRPr="00751B49">
              <w:rPr>
                <w:rFonts w:ascii="Calibri" w:eastAsia="Times New Roman" w:hAnsi="Calibri"/>
                <w:color w:val="000000"/>
                <w:sz w:val="22"/>
                <w:szCs w:val="22"/>
              </w:rPr>
              <w:t>2012</w:t>
            </w:r>
          </w:p>
        </w:tc>
        <w:tc>
          <w:tcPr>
            <w:tcW w:w="2550" w:type="dxa"/>
            <w:shd w:val="clear" w:color="auto" w:fill="auto"/>
            <w:noWrap/>
            <w:vAlign w:val="center"/>
            <w:hideMark/>
          </w:tcPr>
          <w:p w14:paraId="53E1C680" w14:textId="77777777" w:rsidR="00751B49" w:rsidRPr="00751B49" w:rsidRDefault="00751B49" w:rsidP="00751B49">
            <w:pPr>
              <w:jc w:val="center"/>
              <w:rPr>
                <w:rFonts w:ascii="Calibri" w:eastAsia="Times New Roman" w:hAnsi="Calibri"/>
                <w:color w:val="000000"/>
                <w:sz w:val="22"/>
                <w:szCs w:val="22"/>
              </w:rPr>
            </w:pPr>
            <w:r w:rsidRPr="00751B49">
              <w:rPr>
                <w:rFonts w:ascii="Calibri" w:eastAsia="Times New Roman" w:hAnsi="Calibri"/>
                <w:color w:val="000000"/>
                <w:sz w:val="22"/>
                <w:szCs w:val="22"/>
              </w:rPr>
              <w:t>5</w:t>
            </w:r>
          </w:p>
        </w:tc>
        <w:tc>
          <w:tcPr>
            <w:tcW w:w="2560" w:type="dxa"/>
            <w:shd w:val="clear" w:color="auto" w:fill="auto"/>
            <w:noWrap/>
            <w:vAlign w:val="center"/>
            <w:hideMark/>
          </w:tcPr>
          <w:p w14:paraId="178903C1" w14:textId="7B479F9D" w:rsidR="00751B49" w:rsidRPr="00751B49" w:rsidRDefault="00D8791A" w:rsidP="00751B49">
            <w:pPr>
              <w:jc w:val="center"/>
              <w:rPr>
                <w:rFonts w:ascii="Calibri" w:eastAsia="Times New Roman" w:hAnsi="Calibri"/>
                <w:color w:val="000000"/>
                <w:sz w:val="22"/>
                <w:szCs w:val="22"/>
              </w:rPr>
            </w:pPr>
            <w:r>
              <w:rPr>
                <w:rFonts w:ascii="Calibri" w:eastAsia="Times New Roman" w:hAnsi="Calibri"/>
                <w:color w:val="000000"/>
                <w:sz w:val="22"/>
                <w:szCs w:val="22"/>
              </w:rPr>
              <w:t xml:space="preserve">  </w:t>
            </w:r>
            <w:r w:rsidR="00751B49" w:rsidRPr="00751B49">
              <w:rPr>
                <w:rFonts w:ascii="Calibri" w:eastAsia="Times New Roman" w:hAnsi="Calibri"/>
                <w:color w:val="000000"/>
                <w:sz w:val="22"/>
                <w:szCs w:val="22"/>
              </w:rPr>
              <w:t>106,000</w:t>
            </w:r>
          </w:p>
        </w:tc>
      </w:tr>
      <w:tr w:rsidR="00751B49" w:rsidRPr="00751B49" w14:paraId="61B2AFCC" w14:textId="77777777" w:rsidTr="00751B49">
        <w:trPr>
          <w:trHeight w:val="335"/>
        </w:trPr>
        <w:tc>
          <w:tcPr>
            <w:tcW w:w="2337" w:type="dxa"/>
            <w:shd w:val="clear" w:color="auto" w:fill="auto"/>
            <w:noWrap/>
            <w:vAlign w:val="center"/>
            <w:hideMark/>
          </w:tcPr>
          <w:p w14:paraId="07613C9D" w14:textId="77777777" w:rsidR="00751B49" w:rsidRPr="00751B49" w:rsidRDefault="00751B49" w:rsidP="00751B49">
            <w:pPr>
              <w:jc w:val="center"/>
              <w:rPr>
                <w:rFonts w:ascii="Calibri" w:eastAsia="Times New Roman" w:hAnsi="Calibri"/>
                <w:color w:val="000000"/>
                <w:sz w:val="22"/>
                <w:szCs w:val="22"/>
              </w:rPr>
            </w:pPr>
            <w:r w:rsidRPr="00751B49">
              <w:rPr>
                <w:rFonts w:ascii="Calibri" w:eastAsia="Times New Roman" w:hAnsi="Calibri"/>
                <w:color w:val="000000"/>
                <w:sz w:val="22"/>
                <w:szCs w:val="22"/>
              </w:rPr>
              <w:t>2011</w:t>
            </w:r>
          </w:p>
        </w:tc>
        <w:tc>
          <w:tcPr>
            <w:tcW w:w="2550" w:type="dxa"/>
            <w:shd w:val="clear" w:color="auto" w:fill="auto"/>
            <w:noWrap/>
            <w:vAlign w:val="center"/>
            <w:hideMark/>
          </w:tcPr>
          <w:p w14:paraId="385F1798" w14:textId="77777777" w:rsidR="00751B49" w:rsidRPr="00751B49" w:rsidRDefault="00751B49" w:rsidP="00751B49">
            <w:pPr>
              <w:jc w:val="center"/>
              <w:rPr>
                <w:rFonts w:ascii="Calibri" w:eastAsia="Times New Roman" w:hAnsi="Calibri"/>
                <w:color w:val="000000"/>
                <w:sz w:val="22"/>
                <w:szCs w:val="22"/>
              </w:rPr>
            </w:pPr>
            <w:r w:rsidRPr="00751B49">
              <w:rPr>
                <w:rFonts w:ascii="Calibri" w:eastAsia="Times New Roman" w:hAnsi="Calibri"/>
                <w:color w:val="000000"/>
                <w:sz w:val="22"/>
                <w:szCs w:val="22"/>
              </w:rPr>
              <w:t>8</w:t>
            </w:r>
          </w:p>
        </w:tc>
        <w:tc>
          <w:tcPr>
            <w:tcW w:w="2560" w:type="dxa"/>
            <w:shd w:val="clear" w:color="auto" w:fill="auto"/>
            <w:noWrap/>
            <w:vAlign w:val="center"/>
            <w:hideMark/>
          </w:tcPr>
          <w:p w14:paraId="331903C7" w14:textId="6EBDE7FB" w:rsidR="00751B49" w:rsidRPr="00751B49" w:rsidRDefault="00D8791A" w:rsidP="00751B49">
            <w:pPr>
              <w:jc w:val="center"/>
              <w:rPr>
                <w:rFonts w:ascii="Calibri" w:eastAsia="Times New Roman" w:hAnsi="Calibri"/>
                <w:color w:val="000000"/>
                <w:sz w:val="22"/>
                <w:szCs w:val="22"/>
              </w:rPr>
            </w:pPr>
            <w:r>
              <w:rPr>
                <w:rFonts w:ascii="Calibri" w:eastAsia="Times New Roman" w:hAnsi="Calibri"/>
                <w:color w:val="000000"/>
                <w:sz w:val="22"/>
                <w:szCs w:val="22"/>
              </w:rPr>
              <w:t xml:space="preserve">  </w:t>
            </w:r>
            <w:r w:rsidR="00751B49" w:rsidRPr="00751B49">
              <w:rPr>
                <w:rFonts w:ascii="Calibri" w:eastAsia="Times New Roman" w:hAnsi="Calibri"/>
                <w:color w:val="000000"/>
                <w:sz w:val="22"/>
                <w:szCs w:val="22"/>
              </w:rPr>
              <w:t>114,541</w:t>
            </w:r>
          </w:p>
        </w:tc>
      </w:tr>
      <w:tr w:rsidR="00751B49" w:rsidRPr="00751B49" w14:paraId="46EF3E41" w14:textId="77777777" w:rsidTr="00751B49">
        <w:trPr>
          <w:trHeight w:val="335"/>
        </w:trPr>
        <w:tc>
          <w:tcPr>
            <w:tcW w:w="2337" w:type="dxa"/>
            <w:shd w:val="clear" w:color="auto" w:fill="auto"/>
            <w:noWrap/>
            <w:vAlign w:val="center"/>
            <w:hideMark/>
          </w:tcPr>
          <w:p w14:paraId="1F0F2264" w14:textId="77777777" w:rsidR="00751B49" w:rsidRPr="00751B49" w:rsidRDefault="00751B49" w:rsidP="00751B49">
            <w:pPr>
              <w:jc w:val="center"/>
              <w:rPr>
                <w:rFonts w:ascii="Calibri" w:eastAsia="Times New Roman" w:hAnsi="Calibri"/>
                <w:color w:val="000000"/>
                <w:sz w:val="22"/>
                <w:szCs w:val="22"/>
              </w:rPr>
            </w:pPr>
            <w:r w:rsidRPr="00751B49">
              <w:rPr>
                <w:rFonts w:ascii="Calibri" w:eastAsia="Times New Roman" w:hAnsi="Calibri"/>
                <w:color w:val="000000"/>
                <w:sz w:val="22"/>
                <w:szCs w:val="22"/>
              </w:rPr>
              <w:t>2010</w:t>
            </w:r>
          </w:p>
        </w:tc>
        <w:tc>
          <w:tcPr>
            <w:tcW w:w="2550" w:type="dxa"/>
            <w:shd w:val="clear" w:color="auto" w:fill="auto"/>
            <w:noWrap/>
            <w:vAlign w:val="center"/>
            <w:hideMark/>
          </w:tcPr>
          <w:p w14:paraId="22A724C8" w14:textId="77777777" w:rsidR="00751B49" w:rsidRPr="00751B49" w:rsidRDefault="00751B49" w:rsidP="00751B49">
            <w:pPr>
              <w:jc w:val="center"/>
              <w:rPr>
                <w:rFonts w:ascii="Calibri" w:eastAsia="Times New Roman" w:hAnsi="Calibri"/>
                <w:color w:val="000000"/>
                <w:sz w:val="22"/>
                <w:szCs w:val="22"/>
              </w:rPr>
            </w:pPr>
            <w:r w:rsidRPr="00751B49">
              <w:rPr>
                <w:rFonts w:ascii="Calibri" w:eastAsia="Times New Roman" w:hAnsi="Calibri"/>
                <w:color w:val="000000"/>
                <w:sz w:val="22"/>
                <w:szCs w:val="22"/>
              </w:rPr>
              <w:t>5</w:t>
            </w:r>
          </w:p>
        </w:tc>
        <w:tc>
          <w:tcPr>
            <w:tcW w:w="2560" w:type="dxa"/>
            <w:shd w:val="clear" w:color="auto" w:fill="auto"/>
            <w:noWrap/>
            <w:vAlign w:val="center"/>
            <w:hideMark/>
          </w:tcPr>
          <w:p w14:paraId="013AC6F4" w14:textId="57228478" w:rsidR="00751B49" w:rsidRPr="00751B49" w:rsidRDefault="00D8791A" w:rsidP="00751B49">
            <w:pPr>
              <w:jc w:val="center"/>
              <w:rPr>
                <w:rFonts w:ascii="Calibri" w:eastAsia="Times New Roman" w:hAnsi="Calibri"/>
                <w:color w:val="000000"/>
                <w:sz w:val="22"/>
                <w:szCs w:val="22"/>
              </w:rPr>
            </w:pPr>
            <w:r>
              <w:rPr>
                <w:rFonts w:ascii="Calibri" w:eastAsia="Times New Roman" w:hAnsi="Calibri"/>
                <w:color w:val="000000"/>
                <w:sz w:val="22"/>
                <w:szCs w:val="22"/>
              </w:rPr>
              <w:t xml:space="preserve">    </w:t>
            </w:r>
            <w:r w:rsidR="00751B49" w:rsidRPr="00751B49">
              <w:rPr>
                <w:rFonts w:ascii="Calibri" w:eastAsia="Times New Roman" w:hAnsi="Calibri"/>
                <w:color w:val="000000"/>
                <w:sz w:val="22"/>
                <w:szCs w:val="22"/>
              </w:rPr>
              <w:t>95,559</w:t>
            </w:r>
          </w:p>
        </w:tc>
      </w:tr>
      <w:tr w:rsidR="00751B49" w:rsidRPr="00751B49" w14:paraId="0363DE3E" w14:textId="77777777" w:rsidTr="00751B49">
        <w:trPr>
          <w:trHeight w:val="447"/>
        </w:trPr>
        <w:tc>
          <w:tcPr>
            <w:tcW w:w="2337" w:type="dxa"/>
            <w:shd w:val="clear" w:color="auto" w:fill="auto"/>
            <w:noWrap/>
            <w:vAlign w:val="center"/>
            <w:hideMark/>
          </w:tcPr>
          <w:p w14:paraId="6334259E" w14:textId="77777777" w:rsidR="00751B49" w:rsidRPr="00751B49" w:rsidRDefault="00751B49" w:rsidP="00751B49">
            <w:pPr>
              <w:jc w:val="center"/>
              <w:rPr>
                <w:rFonts w:ascii="Calibri" w:eastAsia="Times New Roman" w:hAnsi="Calibri"/>
                <w:color w:val="000000"/>
                <w:sz w:val="22"/>
                <w:szCs w:val="22"/>
              </w:rPr>
            </w:pPr>
            <w:r w:rsidRPr="00751B49">
              <w:rPr>
                <w:rFonts w:ascii="Calibri" w:eastAsia="Times New Roman" w:hAnsi="Calibri"/>
                <w:color w:val="000000"/>
                <w:sz w:val="22"/>
                <w:szCs w:val="22"/>
              </w:rPr>
              <w:t>2009</w:t>
            </w:r>
          </w:p>
        </w:tc>
        <w:tc>
          <w:tcPr>
            <w:tcW w:w="2550" w:type="dxa"/>
            <w:shd w:val="clear" w:color="auto" w:fill="auto"/>
            <w:noWrap/>
            <w:vAlign w:val="center"/>
            <w:hideMark/>
          </w:tcPr>
          <w:p w14:paraId="62941A2E" w14:textId="77777777" w:rsidR="00751B49" w:rsidRPr="00751B49" w:rsidRDefault="00751B49" w:rsidP="00751B49">
            <w:pPr>
              <w:jc w:val="center"/>
              <w:rPr>
                <w:rFonts w:ascii="Calibri" w:eastAsia="Times New Roman" w:hAnsi="Calibri"/>
                <w:color w:val="000000"/>
                <w:sz w:val="22"/>
                <w:szCs w:val="22"/>
              </w:rPr>
            </w:pPr>
            <w:r w:rsidRPr="00751B49">
              <w:rPr>
                <w:rFonts w:ascii="Calibri" w:eastAsia="Times New Roman" w:hAnsi="Calibri"/>
                <w:color w:val="000000"/>
                <w:sz w:val="22"/>
                <w:szCs w:val="22"/>
              </w:rPr>
              <w:t>7</w:t>
            </w:r>
          </w:p>
        </w:tc>
        <w:tc>
          <w:tcPr>
            <w:tcW w:w="2560" w:type="dxa"/>
            <w:shd w:val="clear" w:color="auto" w:fill="auto"/>
            <w:noWrap/>
            <w:vAlign w:val="center"/>
            <w:hideMark/>
          </w:tcPr>
          <w:p w14:paraId="66BD333F" w14:textId="2B333B7A" w:rsidR="00751B49" w:rsidRPr="00751B49" w:rsidRDefault="00D8791A" w:rsidP="00751B49">
            <w:pPr>
              <w:jc w:val="center"/>
              <w:rPr>
                <w:rFonts w:ascii="Calibri" w:eastAsia="Times New Roman" w:hAnsi="Calibri"/>
                <w:color w:val="000000"/>
                <w:sz w:val="22"/>
                <w:szCs w:val="22"/>
              </w:rPr>
            </w:pPr>
            <w:r>
              <w:rPr>
                <w:rFonts w:ascii="Calibri" w:eastAsia="Times New Roman" w:hAnsi="Calibri"/>
                <w:color w:val="000000"/>
                <w:sz w:val="22"/>
                <w:szCs w:val="22"/>
              </w:rPr>
              <w:t xml:space="preserve">  </w:t>
            </w:r>
            <w:r w:rsidR="00751B49" w:rsidRPr="00751B49">
              <w:rPr>
                <w:rFonts w:ascii="Calibri" w:eastAsia="Times New Roman" w:hAnsi="Calibri"/>
                <w:color w:val="000000"/>
                <w:sz w:val="22"/>
                <w:szCs w:val="22"/>
              </w:rPr>
              <w:t>107,500</w:t>
            </w:r>
          </w:p>
        </w:tc>
      </w:tr>
      <w:tr w:rsidR="00751B49" w:rsidRPr="00751B49" w14:paraId="6560DC2B" w14:textId="77777777" w:rsidTr="00751B49">
        <w:trPr>
          <w:trHeight w:val="335"/>
        </w:trPr>
        <w:tc>
          <w:tcPr>
            <w:tcW w:w="2337" w:type="dxa"/>
            <w:shd w:val="clear" w:color="auto" w:fill="auto"/>
            <w:noWrap/>
            <w:vAlign w:val="center"/>
            <w:hideMark/>
          </w:tcPr>
          <w:p w14:paraId="2951A8A5" w14:textId="77777777" w:rsidR="00751B49" w:rsidRPr="00751B49" w:rsidRDefault="00751B49" w:rsidP="00751B49">
            <w:pPr>
              <w:jc w:val="center"/>
              <w:rPr>
                <w:rFonts w:ascii="Calibri" w:eastAsia="Times New Roman" w:hAnsi="Calibri"/>
                <w:color w:val="000000"/>
                <w:sz w:val="22"/>
                <w:szCs w:val="22"/>
              </w:rPr>
            </w:pPr>
            <w:r w:rsidRPr="00751B49">
              <w:rPr>
                <w:rFonts w:ascii="Calibri" w:eastAsia="Times New Roman" w:hAnsi="Calibri"/>
                <w:color w:val="000000"/>
                <w:sz w:val="22"/>
                <w:szCs w:val="22"/>
              </w:rPr>
              <w:t>2008</w:t>
            </w:r>
          </w:p>
        </w:tc>
        <w:tc>
          <w:tcPr>
            <w:tcW w:w="2550" w:type="dxa"/>
            <w:shd w:val="clear" w:color="auto" w:fill="auto"/>
            <w:noWrap/>
            <w:vAlign w:val="center"/>
            <w:hideMark/>
          </w:tcPr>
          <w:p w14:paraId="3CBF9DA7" w14:textId="77777777" w:rsidR="00751B49" w:rsidRPr="00751B49" w:rsidRDefault="00751B49" w:rsidP="00751B49">
            <w:pPr>
              <w:jc w:val="center"/>
              <w:rPr>
                <w:rFonts w:ascii="Calibri" w:eastAsia="Times New Roman" w:hAnsi="Calibri"/>
                <w:color w:val="000000"/>
                <w:sz w:val="22"/>
                <w:szCs w:val="22"/>
              </w:rPr>
            </w:pPr>
            <w:r w:rsidRPr="00751B49">
              <w:rPr>
                <w:rFonts w:ascii="Calibri" w:eastAsia="Times New Roman" w:hAnsi="Calibri"/>
                <w:color w:val="000000"/>
                <w:sz w:val="22"/>
                <w:szCs w:val="22"/>
              </w:rPr>
              <w:t>5</w:t>
            </w:r>
          </w:p>
        </w:tc>
        <w:tc>
          <w:tcPr>
            <w:tcW w:w="2560" w:type="dxa"/>
            <w:shd w:val="clear" w:color="auto" w:fill="auto"/>
            <w:noWrap/>
            <w:vAlign w:val="center"/>
            <w:hideMark/>
          </w:tcPr>
          <w:p w14:paraId="1E0FF619" w14:textId="62ABCA26" w:rsidR="00751B49" w:rsidRPr="00751B49" w:rsidRDefault="00D8791A" w:rsidP="00D8791A">
            <w:pPr>
              <w:jc w:val="center"/>
              <w:rPr>
                <w:rFonts w:ascii="Calibri" w:eastAsia="Times New Roman" w:hAnsi="Calibri"/>
                <w:color w:val="000000"/>
                <w:sz w:val="22"/>
                <w:szCs w:val="22"/>
              </w:rPr>
            </w:pPr>
            <w:r>
              <w:rPr>
                <w:rFonts w:ascii="Calibri" w:eastAsia="Times New Roman" w:hAnsi="Calibri"/>
                <w:color w:val="000000"/>
                <w:sz w:val="22"/>
                <w:szCs w:val="22"/>
              </w:rPr>
              <w:t xml:space="preserve">     </w:t>
            </w:r>
            <w:r w:rsidR="00751B49" w:rsidRPr="00751B49">
              <w:rPr>
                <w:rFonts w:ascii="Calibri" w:eastAsia="Times New Roman" w:hAnsi="Calibri"/>
                <w:color w:val="000000"/>
                <w:sz w:val="22"/>
                <w:szCs w:val="22"/>
              </w:rPr>
              <w:t>89,125</w:t>
            </w:r>
          </w:p>
        </w:tc>
      </w:tr>
      <w:tr w:rsidR="00751B49" w:rsidRPr="00751B49" w14:paraId="495A3BED" w14:textId="77777777" w:rsidTr="00751B49">
        <w:trPr>
          <w:trHeight w:val="335"/>
        </w:trPr>
        <w:tc>
          <w:tcPr>
            <w:tcW w:w="2337" w:type="dxa"/>
            <w:shd w:val="clear" w:color="auto" w:fill="FFFF00"/>
            <w:noWrap/>
            <w:vAlign w:val="center"/>
          </w:tcPr>
          <w:p w14:paraId="295878AA" w14:textId="25B9D57B" w:rsidR="00751B49" w:rsidRPr="00751B49" w:rsidRDefault="00751B49" w:rsidP="00751B49">
            <w:pPr>
              <w:jc w:val="center"/>
              <w:rPr>
                <w:rFonts w:ascii="Calibri" w:eastAsia="Times New Roman" w:hAnsi="Calibri"/>
                <w:b/>
                <w:color w:val="000000"/>
                <w:sz w:val="22"/>
                <w:szCs w:val="22"/>
                <w:highlight w:val="yellow"/>
              </w:rPr>
            </w:pPr>
            <w:r w:rsidRPr="00751B49">
              <w:rPr>
                <w:rFonts w:ascii="Calibri" w:eastAsia="Times New Roman" w:hAnsi="Calibri"/>
                <w:b/>
                <w:color w:val="000000"/>
                <w:sz w:val="22"/>
                <w:szCs w:val="22"/>
                <w:highlight w:val="yellow"/>
              </w:rPr>
              <w:t>Total</w:t>
            </w:r>
          </w:p>
        </w:tc>
        <w:tc>
          <w:tcPr>
            <w:tcW w:w="2550" w:type="dxa"/>
            <w:shd w:val="clear" w:color="auto" w:fill="FFFF00"/>
            <w:noWrap/>
            <w:vAlign w:val="center"/>
          </w:tcPr>
          <w:p w14:paraId="4219D0EC" w14:textId="7376F103" w:rsidR="00751B49" w:rsidRPr="00751B49" w:rsidRDefault="00D8791A" w:rsidP="00D8791A">
            <w:pPr>
              <w:rPr>
                <w:rFonts w:ascii="Calibri" w:eastAsia="Times New Roman" w:hAnsi="Calibri"/>
                <w:b/>
                <w:color w:val="000000"/>
                <w:sz w:val="22"/>
                <w:szCs w:val="22"/>
                <w:highlight w:val="yellow"/>
              </w:rPr>
            </w:pPr>
            <w:r>
              <w:rPr>
                <w:rFonts w:ascii="Calibri" w:eastAsia="Times New Roman" w:hAnsi="Calibri"/>
                <w:b/>
                <w:color w:val="000000"/>
                <w:sz w:val="22"/>
                <w:szCs w:val="22"/>
                <w:highlight w:val="yellow"/>
              </w:rPr>
              <w:t xml:space="preserve">                    </w:t>
            </w:r>
            <w:r w:rsidR="00751B49" w:rsidRPr="00751B49">
              <w:rPr>
                <w:rFonts w:ascii="Calibri" w:eastAsia="Times New Roman" w:hAnsi="Calibri"/>
                <w:b/>
                <w:color w:val="000000"/>
                <w:sz w:val="22"/>
                <w:szCs w:val="22"/>
                <w:highlight w:val="yellow"/>
              </w:rPr>
              <w:t>44</w:t>
            </w:r>
          </w:p>
        </w:tc>
        <w:tc>
          <w:tcPr>
            <w:tcW w:w="2560" w:type="dxa"/>
            <w:shd w:val="clear" w:color="auto" w:fill="FFFF00"/>
            <w:noWrap/>
            <w:vAlign w:val="center"/>
          </w:tcPr>
          <w:p w14:paraId="7370CC4B" w14:textId="29C98270" w:rsidR="00751B49" w:rsidRPr="00751B49" w:rsidRDefault="00751B49" w:rsidP="00751B49">
            <w:pPr>
              <w:jc w:val="center"/>
              <w:rPr>
                <w:rFonts w:ascii="Calibri" w:eastAsia="Times New Roman" w:hAnsi="Calibri"/>
                <w:b/>
                <w:color w:val="000000"/>
                <w:sz w:val="22"/>
                <w:szCs w:val="22"/>
                <w:highlight w:val="yellow"/>
              </w:rPr>
            </w:pPr>
            <w:r w:rsidRPr="00751B49">
              <w:rPr>
                <w:rFonts w:ascii="Calibri" w:eastAsia="Times New Roman" w:hAnsi="Calibri"/>
                <w:b/>
                <w:color w:val="000000"/>
                <w:sz w:val="22"/>
                <w:szCs w:val="22"/>
                <w:highlight w:val="yellow"/>
              </w:rPr>
              <w:t>$765,256</w:t>
            </w:r>
          </w:p>
        </w:tc>
      </w:tr>
    </w:tbl>
    <w:p w14:paraId="571B084C" w14:textId="77777777" w:rsidR="00A47CA4" w:rsidRDefault="00A47CA4" w:rsidP="00C851D5">
      <w:pPr>
        <w:rPr>
          <w:rFonts w:ascii="Calibri" w:hAnsi="Calibri"/>
          <w:b/>
        </w:rPr>
      </w:pPr>
    </w:p>
    <w:p w14:paraId="3F627166" w14:textId="77777777" w:rsidR="004579CA" w:rsidRPr="004579CA" w:rsidRDefault="004579CA" w:rsidP="004579CA">
      <w:pPr>
        <w:rPr>
          <w:rFonts w:ascii="Calibri" w:hAnsi="Calibri"/>
          <w:b/>
        </w:rPr>
      </w:pPr>
      <w:r w:rsidRPr="004579CA">
        <w:rPr>
          <w:rFonts w:ascii="Calibri" w:hAnsi="Calibri"/>
          <w:b/>
        </w:rPr>
        <w:t>Ana</w:t>
      </w:r>
      <w:r>
        <w:rPr>
          <w:rFonts w:ascii="Calibri" w:hAnsi="Calibri"/>
          <w:b/>
        </w:rPr>
        <w:t>l</w:t>
      </w:r>
      <w:r w:rsidRPr="004579CA">
        <w:rPr>
          <w:rFonts w:ascii="Calibri" w:hAnsi="Calibri"/>
          <w:b/>
        </w:rPr>
        <w:t>ysis</w:t>
      </w:r>
    </w:p>
    <w:p w14:paraId="5E8214BD" w14:textId="35D630DE" w:rsidR="004579CA" w:rsidRDefault="00410C03" w:rsidP="00C851D5">
      <w:pPr>
        <w:rPr>
          <w:rFonts w:ascii="Calibri" w:hAnsi="Calibri"/>
        </w:rPr>
      </w:pPr>
      <w:r>
        <w:rPr>
          <w:rFonts w:ascii="Calibri" w:hAnsi="Calibri"/>
        </w:rPr>
        <w:t xml:space="preserve">This is an important program in that is one of only very few direct cash grant programs available for historic preservation and rehabilitation. Since its inception in 2008, a sizable number of project in Seattle have benefited from the grant awards. </w:t>
      </w:r>
    </w:p>
    <w:p w14:paraId="5F5C071E" w14:textId="77777777" w:rsidR="00410C03" w:rsidRDefault="00410C03" w:rsidP="00C851D5">
      <w:pPr>
        <w:rPr>
          <w:rFonts w:ascii="Calibri" w:hAnsi="Calibri"/>
        </w:rPr>
      </w:pPr>
    </w:p>
    <w:p w14:paraId="09BF2C72" w14:textId="0176B749" w:rsidR="00345246" w:rsidRDefault="00345246" w:rsidP="00C851D5">
      <w:pPr>
        <w:rPr>
          <w:rFonts w:ascii="Calibri" w:hAnsi="Calibri"/>
        </w:rPr>
      </w:pPr>
      <w:r>
        <w:rPr>
          <w:rFonts w:ascii="Calibri" w:hAnsi="Calibri"/>
        </w:rPr>
        <w:t>Sources:</w:t>
      </w:r>
    </w:p>
    <w:p w14:paraId="0618D381" w14:textId="19049EC5" w:rsidR="00345246" w:rsidRDefault="00C52780" w:rsidP="00C851D5">
      <w:pPr>
        <w:rPr>
          <w:rFonts w:ascii="Calibri" w:hAnsi="Calibri"/>
        </w:rPr>
      </w:pPr>
      <w:hyperlink r:id="rId22" w:history="1">
        <w:r w:rsidR="00345246" w:rsidRPr="0076078F">
          <w:rPr>
            <w:rStyle w:val="Hyperlink"/>
            <w:rFonts w:ascii="Calibri" w:hAnsi="Calibri"/>
          </w:rPr>
          <w:t>http://www.4culture.org/apply/landmarks/index.htm</w:t>
        </w:r>
      </w:hyperlink>
    </w:p>
    <w:sectPr w:rsidR="00345246" w:rsidSect="00CD387E">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95693" w14:textId="77777777" w:rsidR="00C52780" w:rsidRDefault="00C52780" w:rsidP="004575F3">
      <w:r>
        <w:separator/>
      </w:r>
    </w:p>
  </w:endnote>
  <w:endnote w:type="continuationSeparator" w:id="0">
    <w:p w14:paraId="1D2AA9FE" w14:textId="77777777" w:rsidR="00C52780" w:rsidRDefault="00C52780" w:rsidP="0045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439543"/>
      <w:docPartObj>
        <w:docPartGallery w:val="Page Numbers (Bottom of Page)"/>
        <w:docPartUnique/>
      </w:docPartObj>
    </w:sdtPr>
    <w:sdtEndPr>
      <w:rPr>
        <w:noProof/>
      </w:rPr>
    </w:sdtEndPr>
    <w:sdtContent>
      <w:p w14:paraId="2C867ECF" w14:textId="3C086CB9" w:rsidR="00F33E48" w:rsidRDefault="00F33E48">
        <w:pPr>
          <w:pStyle w:val="Footer"/>
          <w:jc w:val="right"/>
        </w:pPr>
        <w:r>
          <w:fldChar w:fldCharType="begin"/>
        </w:r>
        <w:r>
          <w:instrText xml:space="preserve"> PAGE   \* MERGEFORMAT </w:instrText>
        </w:r>
        <w:r>
          <w:fldChar w:fldCharType="separate"/>
        </w:r>
        <w:r w:rsidR="00953329">
          <w:rPr>
            <w:noProof/>
          </w:rPr>
          <w:t>9</w:t>
        </w:r>
        <w:r>
          <w:rPr>
            <w:noProof/>
          </w:rPr>
          <w:fldChar w:fldCharType="end"/>
        </w:r>
      </w:p>
    </w:sdtContent>
  </w:sdt>
  <w:p w14:paraId="705D53AA" w14:textId="77777777" w:rsidR="00F33E48" w:rsidRDefault="00F33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E2F45" w14:textId="77777777" w:rsidR="00C52780" w:rsidRDefault="00C52780" w:rsidP="004575F3">
      <w:r>
        <w:separator/>
      </w:r>
    </w:p>
  </w:footnote>
  <w:footnote w:type="continuationSeparator" w:id="0">
    <w:p w14:paraId="3B598F8E" w14:textId="77777777" w:rsidR="00C52780" w:rsidRDefault="00C52780" w:rsidP="00457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6C237" w14:textId="5046C647" w:rsidR="00F33E48" w:rsidRDefault="00F33E48" w:rsidP="004579CA">
    <w:pPr>
      <w:pStyle w:val="Header"/>
      <w:jc w:val="right"/>
    </w:pPr>
    <w:r w:rsidRPr="004579CA">
      <w:rPr>
        <w:rFonts w:asciiTheme="majorHAnsi" w:hAnsiTheme="majorHAnsi"/>
      </w:rPr>
      <w:t>Seattle Department of Neighborhoods Preservation Incentives Study</w:t>
    </w:r>
    <w:r>
      <w:rPr>
        <w:rFonts w:asciiTheme="majorHAnsi" w:hAnsiTheme="majorHAnsi"/>
      </w:rPr>
      <w:t xml:space="preserve"> </w:t>
    </w:r>
    <w:r w:rsidR="001F28A5">
      <w:rPr>
        <w:rFonts w:asciiTheme="majorHAnsi" w:hAnsiTheme="majorHAnsi"/>
      </w:rPr>
      <w:t xml:space="preserve">2015 </w:t>
    </w:r>
    <w:r>
      <w:rPr>
        <w:rFonts w:asciiTheme="majorHAnsi" w:hAnsiTheme="majorHAnsi"/>
      </w:rPr>
      <w:t xml:space="preserve">  </w:t>
    </w:r>
    <w:r>
      <w:rPr>
        <w:noProof/>
      </w:rPr>
      <w:drawing>
        <wp:inline distT="0" distB="0" distL="0" distR="0" wp14:anchorId="4378B294" wp14:editId="17E82DF4">
          <wp:extent cx="99844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 LOGO.jpg"/>
                  <pic:cNvPicPr/>
                </pic:nvPicPr>
                <pic:blipFill>
                  <a:blip r:embed="rId1">
                    <a:extLst>
                      <a:ext uri="{28A0092B-C50C-407E-A947-70E740481C1C}">
                        <a14:useLocalDpi xmlns:a14="http://schemas.microsoft.com/office/drawing/2010/main" val="0"/>
                      </a:ext>
                    </a:extLst>
                  </a:blip>
                  <a:stretch>
                    <a:fillRect/>
                  </a:stretch>
                </pic:blipFill>
                <pic:spPr>
                  <a:xfrm>
                    <a:off x="0" y="0"/>
                    <a:ext cx="1001437" cy="749001"/>
                  </a:xfrm>
                  <a:prstGeom prst="rect">
                    <a:avLst/>
                  </a:prstGeom>
                </pic:spPr>
              </pic:pic>
            </a:graphicData>
          </a:graphic>
        </wp:inline>
      </w:drawing>
    </w:r>
  </w:p>
  <w:sdt>
    <w:sdtPr>
      <w:id w:val="667682885"/>
      <w:docPartObj>
        <w:docPartGallery w:val="Watermarks"/>
        <w:docPartUnique/>
      </w:docPartObj>
    </w:sdtPr>
    <w:sdtEndPr/>
    <w:sdtContent>
      <w:p w14:paraId="39A7026E" w14:textId="3B8DF659" w:rsidR="00F33E48" w:rsidRDefault="00C52780">
        <w:pPr>
          <w:pStyle w:val="Header"/>
        </w:pPr>
        <w:r>
          <w:rPr>
            <w:noProof/>
          </w:rPr>
          <w:pict w14:anchorId="0A06E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97428"/>
    <w:multiLevelType w:val="hybridMultilevel"/>
    <w:tmpl w:val="EBE4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83B74"/>
    <w:multiLevelType w:val="hybridMultilevel"/>
    <w:tmpl w:val="2E84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E0063"/>
    <w:multiLevelType w:val="hybridMultilevel"/>
    <w:tmpl w:val="1A6A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D3392"/>
    <w:multiLevelType w:val="hybridMultilevel"/>
    <w:tmpl w:val="63A2B470"/>
    <w:lvl w:ilvl="0" w:tplc="23E8CBBC">
      <w:start w:val="283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785507"/>
    <w:multiLevelType w:val="hybridMultilevel"/>
    <w:tmpl w:val="8A80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8070E"/>
    <w:multiLevelType w:val="hybridMultilevel"/>
    <w:tmpl w:val="3800E21C"/>
    <w:lvl w:ilvl="0" w:tplc="78C24F7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06"/>
    <w:rsid w:val="00005E7D"/>
    <w:rsid w:val="000143CB"/>
    <w:rsid w:val="00031681"/>
    <w:rsid w:val="00032F54"/>
    <w:rsid w:val="00037804"/>
    <w:rsid w:val="00041D01"/>
    <w:rsid w:val="000618D2"/>
    <w:rsid w:val="00063255"/>
    <w:rsid w:val="000A2E47"/>
    <w:rsid w:val="000B6660"/>
    <w:rsid w:val="000E1C2A"/>
    <w:rsid w:val="000E66BA"/>
    <w:rsid w:val="000F0D49"/>
    <w:rsid w:val="000F183B"/>
    <w:rsid w:val="000F50FD"/>
    <w:rsid w:val="001319F7"/>
    <w:rsid w:val="00135B1C"/>
    <w:rsid w:val="00153E13"/>
    <w:rsid w:val="001615E1"/>
    <w:rsid w:val="001726BD"/>
    <w:rsid w:val="00172D8F"/>
    <w:rsid w:val="0017454A"/>
    <w:rsid w:val="00194E5D"/>
    <w:rsid w:val="001D4816"/>
    <w:rsid w:val="001D617B"/>
    <w:rsid w:val="001E2474"/>
    <w:rsid w:val="001F28A5"/>
    <w:rsid w:val="00205603"/>
    <w:rsid w:val="002137D3"/>
    <w:rsid w:val="00213C7F"/>
    <w:rsid w:val="00224DC1"/>
    <w:rsid w:val="00250A70"/>
    <w:rsid w:val="002567E7"/>
    <w:rsid w:val="002574FE"/>
    <w:rsid w:val="002834C2"/>
    <w:rsid w:val="00286EAA"/>
    <w:rsid w:val="00287586"/>
    <w:rsid w:val="002A4705"/>
    <w:rsid w:val="002E6A8D"/>
    <w:rsid w:val="002F3CDE"/>
    <w:rsid w:val="002F6833"/>
    <w:rsid w:val="00301213"/>
    <w:rsid w:val="0030699D"/>
    <w:rsid w:val="0031047A"/>
    <w:rsid w:val="003124AE"/>
    <w:rsid w:val="003137CA"/>
    <w:rsid w:val="00317A0B"/>
    <w:rsid w:val="00325B16"/>
    <w:rsid w:val="00343525"/>
    <w:rsid w:val="003435E5"/>
    <w:rsid w:val="00345246"/>
    <w:rsid w:val="00352AC9"/>
    <w:rsid w:val="00366BB0"/>
    <w:rsid w:val="00380EBC"/>
    <w:rsid w:val="00384FA1"/>
    <w:rsid w:val="00390C6B"/>
    <w:rsid w:val="003A232B"/>
    <w:rsid w:val="003A4291"/>
    <w:rsid w:val="003E78F0"/>
    <w:rsid w:val="003F21FA"/>
    <w:rsid w:val="003F60F3"/>
    <w:rsid w:val="003F635B"/>
    <w:rsid w:val="00400DD1"/>
    <w:rsid w:val="00410C03"/>
    <w:rsid w:val="0041201D"/>
    <w:rsid w:val="0042116B"/>
    <w:rsid w:val="00424806"/>
    <w:rsid w:val="00432F46"/>
    <w:rsid w:val="00453202"/>
    <w:rsid w:val="004575F3"/>
    <w:rsid w:val="004579CA"/>
    <w:rsid w:val="0046539A"/>
    <w:rsid w:val="00465681"/>
    <w:rsid w:val="00484F70"/>
    <w:rsid w:val="004A26F4"/>
    <w:rsid w:val="004A47BA"/>
    <w:rsid w:val="004A4E7A"/>
    <w:rsid w:val="004A70DF"/>
    <w:rsid w:val="004E179F"/>
    <w:rsid w:val="004F2324"/>
    <w:rsid w:val="004F747A"/>
    <w:rsid w:val="00515420"/>
    <w:rsid w:val="00521E57"/>
    <w:rsid w:val="00550F4F"/>
    <w:rsid w:val="005922CB"/>
    <w:rsid w:val="005B57FA"/>
    <w:rsid w:val="005E10EB"/>
    <w:rsid w:val="005F01F9"/>
    <w:rsid w:val="005F473B"/>
    <w:rsid w:val="00624A21"/>
    <w:rsid w:val="00630F60"/>
    <w:rsid w:val="0064640C"/>
    <w:rsid w:val="00655BE7"/>
    <w:rsid w:val="00666351"/>
    <w:rsid w:val="006666AF"/>
    <w:rsid w:val="00675B7F"/>
    <w:rsid w:val="00676016"/>
    <w:rsid w:val="00682A47"/>
    <w:rsid w:val="006A2C20"/>
    <w:rsid w:val="006D4618"/>
    <w:rsid w:val="006D6D48"/>
    <w:rsid w:val="006F0739"/>
    <w:rsid w:val="006F61FB"/>
    <w:rsid w:val="006F799C"/>
    <w:rsid w:val="0070119A"/>
    <w:rsid w:val="0070194D"/>
    <w:rsid w:val="007225DA"/>
    <w:rsid w:val="00725D8F"/>
    <w:rsid w:val="00744E38"/>
    <w:rsid w:val="0074795A"/>
    <w:rsid w:val="00751B49"/>
    <w:rsid w:val="00775CD6"/>
    <w:rsid w:val="00783466"/>
    <w:rsid w:val="00784B21"/>
    <w:rsid w:val="007B25FF"/>
    <w:rsid w:val="007B6300"/>
    <w:rsid w:val="007C4A4C"/>
    <w:rsid w:val="007C4AA7"/>
    <w:rsid w:val="007C4FDB"/>
    <w:rsid w:val="007C754C"/>
    <w:rsid w:val="007F2892"/>
    <w:rsid w:val="007F546A"/>
    <w:rsid w:val="00841FC9"/>
    <w:rsid w:val="00847B91"/>
    <w:rsid w:val="008871DB"/>
    <w:rsid w:val="00890CAF"/>
    <w:rsid w:val="0089584C"/>
    <w:rsid w:val="008A4AC9"/>
    <w:rsid w:val="008A5727"/>
    <w:rsid w:val="008A659F"/>
    <w:rsid w:val="008B1A83"/>
    <w:rsid w:val="008B3A3F"/>
    <w:rsid w:val="008C6029"/>
    <w:rsid w:val="008D29F4"/>
    <w:rsid w:val="008D3171"/>
    <w:rsid w:val="008E0586"/>
    <w:rsid w:val="008F4899"/>
    <w:rsid w:val="008F50FD"/>
    <w:rsid w:val="008F765B"/>
    <w:rsid w:val="00900C5C"/>
    <w:rsid w:val="009104D5"/>
    <w:rsid w:val="00925E31"/>
    <w:rsid w:val="00936E11"/>
    <w:rsid w:val="0093725B"/>
    <w:rsid w:val="009378BA"/>
    <w:rsid w:val="00946514"/>
    <w:rsid w:val="00953329"/>
    <w:rsid w:val="0096144E"/>
    <w:rsid w:val="009636D8"/>
    <w:rsid w:val="00975658"/>
    <w:rsid w:val="00981BD0"/>
    <w:rsid w:val="009831C9"/>
    <w:rsid w:val="00995821"/>
    <w:rsid w:val="009A7B54"/>
    <w:rsid w:val="009B157A"/>
    <w:rsid w:val="009C3353"/>
    <w:rsid w:val="009C7030"/>
    <w:rsid w:val="009D70E2"/>
    <w:rsid w:val="009D7564"/>
    <w:rsid w:val="00A05D0D"/>
    <w:rsid w:val="00A1444C"/>
    <w:rsid w:val="00A21F0E"/>
    <w:rsid w:val="00A41606"/>
    <w:rsid w:val="00A427C1"/>
    <w:rsid w:val="00A47CA4"/>
    <w:rsid w:val="00A538BE"/>
    <w:rsid w:val="00A608EC"/>
    <w:rsid w:val="00A65978"/>
    <w:rsid w:val="00A708B6"/>
    <w:rsid w:val="00AA5587"/>
    <w:rsid w:val="00AC774C"/>
    <w:rsid w:val="00AE0615"/>
    <w:rsid w:val="00AE1365"/>
    <w:rsid w:val="00AE2877"/>
    <w:rsid w:val="00AE691E"/>
    <w:rsid w:val="00AE7B33"/>
    <w:rsid w:val="00AF1AEE"/>
    <w:rsid w:val="00AF201B"/>
    <w:rsid w:val="00AF297A"/>
    <w:rsid w:val="00B0537C"/>
    <w:rsid w:val="00B20DFD"/>
    <w:rsid w:val="00B25086"/>
    <w:rsid w:val="00B279C0"/>
    <w:rsid w:val="00B365FB"/>
    <w:rsid w:val="00B3665C"/>
    <w:rsid w:val="00B65198"/>
    <w:rsid w:val="00B94960"/>
    <w:rsid w:val="00BB5C58"/>
    <w:rsid w:val="00BC0728"/>
    <w:rsid w:val="00BC7D1C"/>
    <w:rsid w:val="00BD7AC5"/>
    <w:rsid w:val="00BE5A07"/>
    <w:rsid w:val="00C06EB4"/>
    <w:rsid w:val="00C13851"/>
    <w:rsid w:val="00C24326"/>
    <w:rsid w:val="00C52780"/>
    <w:rsid w:val="00C6168F"/>
    <w:rsid w:val="00C63537"/>
    <w:rsid w:val="00C851D5"/>
    <w:rsid w:val="00C9002E"/>
    <w:rsid w:val="00C90980"/>
    <w:rsid w:val="00C91A4E"/>
    <w:rsid w:val="00C939F1"/>
    <w:rsid w:val="00CA181B"/>
    <w:rsid w:val="00CA36D1"/>
    <w:rsid w:val="00CB0E3D"/>
    <w:rsid w:val="00CC4929"/>
    <w:rsid w:val="00CD387E"/>
    <w:rsid w:val="00CD5ED0"/>
    <w:rsid w:val="00D03F16"/>
    <w:rsid w:val="00D173C2"/>
    <w:rsid w:val="00D43FEE"/>
    <w:rsid w:val="00D708A4"/>
    <w:rsid w:val="00D72304"/>
    <w:rsid w:val="00D8791A"/>
    <w:rsid w:val="00D96773"/>
    <w:rsid w:val="00DA00BF"/>
    <w:rsid w:val="00DA03EF"/>
    <w:rsid w:val="00DA6214"/>
    <w:rsid w:val="00DC27B3"/>
    <w:rsid w:val="00DE2310"/>
    <w:rsid w:val="00DE31C5"/>
    <w:rsid w:val="00DF1833"/>
    <w:rsid w:val="00DF3C7C"/>
    <w:rsid w:val="00DF418C"/>
    <w:rsid w:val="00DF4BED"/>
    <w:rsid w:val="00E55C27"/>
    <w:rsid w:val="00E6761B"/>
    <w:rsid w:val="00E853B8"/>
    <w:rsid w:val="00E879D5"/>
    <w:rsid w:val="00E939F0"/>
    <w:rsid w:val="00E97DEF"/>
    <w:rsid w:val="00EA49A9"/>
    <w:rsid w:val="00EB7B1A"/>
    <w:rsid w:val="00EC2548"/>
    <w:rsid w:val="00EC7981"/>
    <w:rsid w:val="00EE24FA"/>
    <w:rsid w:val="00EE60D7"/>
    <w:rsid w:val="00F1725D"/>
    <w:rsid w:val="00F25AEE"/>
    <w:rsid w:val="00F33E48"/>
    <w:rsid w:val="00F4013F"/>
    <w:rsid w:val="00F47B06"/>
    <w:rsid w:val="00F57D8A"/>
    <w:rsid w:val="00F6166F"/>
    <w:rsid w:val="00F70992"/>
    <w:rsid w:val="00F73CFA"/>
    <w:rsid w:val="00F77505"/>
    <w:rsid w:val="00F80329"/>
    <w:rsid w:val="00F945D1"/>
    <w:rsid w:val="00FB3DCE"/>
    <w:rsid w:val="00FB7AFE"/>
    <w:rsid w:val="00FC0E4B"/>
    <w:rsid w:val="00FD1C28"/>
    <w:rsid w:val="00FE614B"/>
    <w:rsid w:val="00FF2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6EFDD3"/>
  <w14:defaultImageDpi w14:val="300"/>
  <w15:docId w15:val="{17B08CFE-606C-4043-9459-1BFB234D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C28"/>
    <w:rPr>
      <w:color w:val="0000FF" w:themeColor="hyperlink"/>
      <w:u w:val="single"/>
    </w:rPr>
  </w:style>
  <w:style w:type="character" w:styleId="FollowedHyperlink">
    <w:name w:val="FollowedHyperlink"/>
    <w:basedOn w:val="DefaultParagraphFont"/>
    <w:uiPriority w:val="99"/>
    <w:semiHidden/>
    <w:unhideWhenUsed/>
    <w:rsid w:val="00B65198"/>
    <w:rPr>
      <w:color w:val="800080" w:themeColor="followedHyperlink"/>
      <w:u w:val="single"/>
    </w:rPr>
  </w:style>
  <w:style w:type="paragraph" w:styleId="ListParagraph">
    <w:name w:val="List Paragraph"/>
    <w:basedOn w:val="Normal"/>
    <w:uiPriority w:val="34"/>
    <w:qFormat/>
    <w:rsid w:val="005922CB"/>
    <w:pPr>
      <w:ind w:left="720"/>
      <w:contextualSpacing/>
    </w:pPr>
  </w:style>
  <w:style w:type="paragraph" w:customStyle="1" w:styleId="first">
    <w:name w:val="first"/>
    <w:basedOn w:val="Normal"/>
    <w:rsid w:val="0096144E"/>
    <w:pPr>
      <w:spacing w:before="100" w:beforeAutospacing="1" w:after="100" w:afterAutospacing="1"/>
    </w:pPr>
    <w:rPr>
      <w:rFonts w:eastAsia="Times New Roman"/>
    </w:rPr>
  </w:style>
  <w:style w:type="paragraph" w:styleId="NormalWeb">
    <w:name w:val="Normal (Web)"/>
    <w:basedOn w:val="Normal"/>
    <w:uiPriority w:val="99"/>
    <w:semiHidden/>
    <w:unhideWhenUsed/>
    <w:rsid w:val="0096144E"/>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457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5F3"/>
    <w:rPr>
      <w:rFonts w:ascii="Segoe UI" w:hAnsi="Segoe UI" w:cs="Segoe UI"/>
      <w:sz w:val="18"/>
      <w:szCs w:val="18"/>
    </w:rPr>
  </w:style>
  <w:style w:type="paragraph" w:styleId="Header">
    <w:name w:val="header"/>
    <w:basedOn w:val="Normal"/>
    <w:link w:val="HeaderChar"/>
    <w:uiPriority w:val="99"/>
    <w:unhideWhenUsed/>
    <w:rsid w:val="004575F3"/>
    <w:pPr>
      <w:tabs>
        <w:tab w:val="center" w:pos="4680"/>
        <w:tab w:val="right" w:pos="9360"/>
      </w:tabs>
    </w:pPr>
  </w:style>
  <w:style w:type="character" w:customStyle="1" w:styleId="HeaderChar">
    <w:name w:val="Header Char"/>
    <w:basedOn w:val="DefaultParagraphFont"/>
    <w:link w:val="Header"/>
    <w:uiPriority w:val="99"/>
    <w:rsid w:val="004575F3"/>
  </w:style>
  <w:style w:type="paragraph" w:styleId="Footer">
    <w:name w:val="footer"/>
    <w:basedOn w:val="Normal"/>
    <w:link w:val="FooterChar"/>
    <w:uiPriority w:val="99"/>
    <w:unhideWhenUsed/>
    <w:rsid w:val="004575F3"/>
    <w:pPr>
      <w:tabs>
        <w:tab w:val="center" w:pos="4680"/>
        <w:tab w:val="right" w:pos="9360"/>
      </w:tabs>
    </w:pPr>
  </w:style>
  <w:style w:type="character" w:customStyle="1" w:styleId="FooterChar">
    <w:name w:val="Footer Char"/>
    <w:basedOn w:val="DefaultParagraphFont"/>
    <w:link w:val="Footer"/>
    <w:uiPriority w:val="99"/>
    <w:rsid w:val="0045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7384">
      <w:bodyDiv w:val="1"/>
      <w:marLeft w:val="0"/>
      <w:marRight w:val="0"/>
      <w:marTop w:val="0"/>
      <w:marBottom w:val="0"/>
      <w:divBdr>
        <w:top w:val="none" w:sz="0" w:space="0" w:color="auto"/>
        <w:left w:val="none" w:sz="0" w:space="0" w:color="auto"/>
        <w:bottom w:val="none" w:sz="0" w:space="0" w:color="auto"/>
        <w:right w:val="none" w:sz="0" w:space="0" w:color="auto"/>
      </w:divBdr>
    </w:div>
    <w:div w:id="22757421">
      <w:bodyDiv w:val="1"/>
      <w:marLeft w:val="0"/>
      <w:marRight w:val="0"/>
      <w:marTop w:val="0"/>
      <w:marBottom w:val="0"/>
      <w:divBdr>
        <w:top w:val="none" w:sz="0" w:space="0" w:color="auto"/>
        <w:left w:val="none" w:sz="0" w:space="0" w:color="auto"/>
        <w:bottom w:val="none" w:sz="0" w:space="0" w:color="auto"/>
        <w:right w:val="none" w:sz="0" w:space="0" w:color="auto"/>
      </w:divBdr>
    </w:div>
    <w:div w:id="72051594">
      <w:bodyDiv w:val="1"/>
      <w:marLeft w:val="0"/>
      <w:marRight w:val="0"/>
      <w:marTop w:val="0"/>
      <w:marBottom w:val="0"/>
      <w:divBdr>
        <w:top w:val="none" w:sz="0" w:space="0" w:color="auto"/>
        <w:left w:val="none" w:sz="0" w:space="0" w:color="auto"/>
        <w:bottom w:val="none" w:sz="0" w:space="0" w:color="auto"/>
        <w:right w:val="none" w:sz="0" w:space="0" w:color="auto"/>
      </w:divBdr>
    </w:div>
    <w:div w:id="348142321">
      <w:bodyDiv w:val="1"/>
      <w:marLeft w:val="0"/>
      <w:marRight w:val="0"/>
      <w:marTop w:val="0"/>
      <w:marBottom w:val="0"/>
      <w:divBdr>
        <w:top w:val="none" w:sz="0" w:space="0" w:color="auto"/>
        <w:left w:val="none" w:sz="0" w:space="0" w:color="auto"/>
        <w:bottom w:val="none" w:sz="0" w:space="0" w:color="auto"/>
        <w:right w:val="none" w:sz="0" w:space="0" w:color="auto"/>
      </w:divBdr>
    </w:div>
    <w:div w:id="588540123">
      <w:bodyDiv w:val="1"/>
      <w:marLeft w:val="0"/>
      <w:marRight w:val="0"/>
      <w:marTop w:val="0"/>
      <w:marBottom w:val="0"/>
      <w:divBdr>
        <w:top w:val="none" w:sz="0" w:space="0" w:color="auto"/>
        <w:left w:val="none" w:sz="0" w:space="0" w:color="auto"/>
        <w:bottom w:val="none" w:sz="0" w:space="0" w:color="auto"/>
        <w:right w:val="none" w:sz="0" w:space="0" w:color="auto"/>
      </w:divBdr>
    </w:div>
    <w:div w:id="653336484">
      <w:bodyDiv w:val="1"/>
      <w:marLeft w:val="0"/>
      <w:marRight w:val="0"/>
      <w:marTop w:val="0"/>
      <w:marBottom w:val="0"/>
      <w:divBdr>
        <w:top w:val="none" w:sz="0" w:space="0" w:color="auto"/>
        <w:left w:val="none" w:sz="0" w:space="0" w:color="auto"/>
        <w:bottom w:val="none" w:sz="0" w:space="0" w:color="auto"/>
        <w:right w:val="none" w:sz="0" w:space="0" w:color="auto"/>
      </w:divBdr>
    </w:div>
    <w:div w:id="807674432">
      <w:bodyDiv w:val="1"/>
      <w:marLeft w:val="0"/>
      <w:marRight w:val="0"/>
      <w:marTop w:val="0"/>
      <w:marBottom w:val="0"/>
      <w:divBdr>
        <w:top w:val="none" w:sz="0" w:space="0" w:color="auto"/>
        <w:left w:val="none" w:sz="0" w:space="0" w:color="auto"/>
        <w:bottom w:val="none" w:sz="0" w:space="0" w:color="auto"/>
        <w:right w:val="none" w:sz="0" w:space="0" w:color="auto"/>
      </w:divBdr>
    </w:div>
    <w:div w:id="815335466">
      <w:bodyDiv w:val="1"/>
      <w:marLeft w:val="0"/>
      <w:marRight w:val="0"/>
      <w:marTop w:val="0"/>
      <w:marBottom w:val="0"/>
      <w:divBdr>
        <w:top w:val="none" w:sz="0" w:space="0" w:color="auto"/>
        <w:left w:val="none" w:sz="0" w:space="0" w:color="auto"/>
        <w:bottom w:val="none" w:sz="0" w:space="0" w:color="auto"/>
        <w:right w:val="none" w:sz="0" w:space="0" w:color="auto"/>
      </w:divBdr>
    </w:div>
    <w:div w:id="874394127">
      <w:bodyDiv w:val="1"/>
      <w:marLeft w:val="0"/>
      <w:marRight w:val="0"/>
      <w:marTop w:val="0"/>
      <w:marBottom w:val="0"/>
      <w:divBdr>
        <w:top w:val="none" w:sz="0" w:space="0" w:color="auto"/>
        <w:left w:val="none" w:sz="0" w:space="0" w:color="auto"/>
        <w:bottom w:val="none" w:sz="0" w:space="0" w:color="auto"/>
        <w:right w:val="none" w:sz="0" w:space="0" w:color="auto"/>
      </w:divBdr>
    </w:div>
    <w:div w:id="941110665">
      <w:bodyDiv w:val="1"/>
      <w:marLeft w:val="0"/>
      <w:marRight w:val="0"/>
      <w:marTop w:val="0"/>
      <w:marBottom w:val="0"/>
      <w:divBdr>
        <w:top w:val="none" w:sz="0" w:space="0" w:color="auto"/>
        <w:left w:val="none" w:sz="0" w:space="0" w:color="auto"/>
        <w:bottom w:val="none" w:sz="0" w:space="0" w:color="auto"/>
        <w:right w:val="none" w:sz="0" w:space="0" w:color="auto"/>
      </w:divBdr>
    </w:div>
    <w:div w:id="1017192654">
      <w:bodyDiv w:val="1"/>
      <w:marLeft w:val="0"/>
      <w:marRight w:val="0"/>
      <w:marTop w:val="0"/>
      <w:marBottom w:val="0"/>
      <w:divBdr>
        <w:top w:val="none" w:sz="0" w:space="0" w:color="auto"/>
        <w:left w:val="none" w:sz="0" w:space="0" w:color="auto"/>
        <w:bottom w:val="none" w:sz="0" w:space="0" w:color="auto"/>
        <w:right w:val="none" w:sz="0" w:space="0" w:color="auto"/>
      </w:divBdr>
    </w:div>
    <w:div w:id="1056703572">
      <w:bodyDiv w:val="1"/>
      <w:marLeft w:val="0"/>
      <w:marRight w:val="0"/>
      <w:marTop w:val="0"/>
      <w:marBottom w:val="0"/>
      <w:divBdr>
        <w:top w:val="none" w:sz="0" w:space="0" w:color="auto"/>
        <w:left w:val="none" w:sz="0" w:space="0" w:color="auto"/>
        <w:bottom w:val="none" w:sz="0" w:space="0" w:color="auto"/>
        <w:right w:val="none" w:sz="0" w:space="0" w:color="auto"/>
      </w:divBdr>
    </w:div>
    <w:div w:id="1084256675">
      <w:bodyDiv w:val="1"/>
      <w:marLeft w:val="0"/>
      <w:marRight w:val="0"/>
      <w:marTop w:val="0"/>
      <w:marBottom w:val="0"/>
      <w:divBdr>
        <w:top w:val="none" w:sz="0" w:space="0" w:color="auto"/>
        <w:left w:val="none" w:sz="0" w:space="0" w:color="auto"/>
        <w:bottom w:val="none" w:sz="0" w:space="0" w:color="auto"/>
        <w:right w:val="none" w:sz="0" w:space="0" w:color="auto"/>
      </w:divBdr>
    </w:div>
    <w:div w:id="1097484015">
      <w:bodyDiv w:val="1"/>
      <w:marLeft w:val="0"/>
      <w:marRight w:val="0"/>
      <w:marTop w:val="0"/>
      <w:marBottom w:val="0"/>
      <w:divBdr>
        <w:top w:val="none" w:sz="0" w:space="0" w:color="auto"/>
        <w:left w:val="none" w:sz="0" w:space="0" w:color="auto"/>
        <w:bottom w:val="none" w:sz="0" w:space="0" w:color="auto"/>
        <w:right w:val="none" w:sz="0" w:space="0" w:color="auto"/>
      </w:divBdr>
    </w:div>
    <w:div w:id="1311909705">
      <w:bodyDiv w:val="1"/>
      <w:marLeft w:val="0"/>
      <w:marRight w:val="0"/>
      <w:marTop w:val="0"/>
      <w:marBottom w:val="0"/>
      <w:divBdr>
        <w:top w:val="none" w:sz="0" w:space="0" w:color="auto"/>
        <w:left w:val="none" w:sz="0" w:space="0" w:color="auto"/>
        <w:bottom w:val="none" w:sz="0" w:space="0" w:color="auto"/>
        <w:right w:val="none" w:sz="0" w:space="0" w:color="auto"/>
      </w:divBdr>
    </w:div>
    <w:div w:id="1334843101">
      <w:bodyDiv w:val="1"/>
      <w:marLeft w:val="0"/>
      <w:marRight w:val="0"/>
      <w:marTop w:val="0"/>
      <w:marBottom w:val="0"/>
      <w:divBdr>
        <w:top w:val="none" w:sz="0" w:space="0" w:color="auto"/>
        <w:left w:val="none" w:sz="0" w:space="0" w:color="auto"/>
        <w:bottom w:val="none" w:sz="0" w:space="0" w:color="auto"/>
        <w:right w:val="none" w:sz="0" w:space="0" w:color="auto"/>
      </w:divBdr>
    </w:div>
    <w:div w:id="1405685000">
      <w:bodyDiv w:val="1"/>
      <w:marLeft w:val="0"/>
      <w:marRight w:val="0"/>
      <w:marTop w:val="0"/>
      <w:marBottom w:val="0"/>
      <w:divBdr>
        <w:top w:val="none" w:sz="0" w:space="0" w:color="auto"/>
        <w:left w:val="none" w:sz="0" w:space="0" w:color="auto"/>
        <w:bottom w:val="none" w:sz="0" w:space="0" w:color="auto"/>
        <w:right w:val="none" w:sz="0" w:space="0" w:color="auto"/>
      </w:divBdr>
    </w:div>
    <w:div w:id="1534878809">
      <w:bodyDiv w:val="1"/>
      <w:marLeft w:val="0"/>
      <w:marRight w:val="0"/>
      <w:marTop w:val="0"/>
      <w:marBottom w:val="0"/>
      <w:divBdr>
        <w:top w:val="none" w:sz="0" w:space="0" w:color="auto"/>
        <w:left w:val="none" w:sz="0" w:space="0" w:color="auto"/>
        <w:bottom w:val="none" w:sz="0" w:space="0" w:color="auto"/>
        <w:right w:val="none" w:sz="0" w:space="0" w:color="auto"/>
      </w:divBdr>
    </w:div>
    <w:div w:id="1625385787">
      <w:bodyDiv w:val="1"/>
      <w:marLeft w:val="0"/>
      <w:marRight w:val="0"/>
      <w:marTop w:val="0"/>
      <w:marBottom w:val="0"/>
      <w:divBdr>
        <w:top w:val="none" w:sz="0" w:space="0" w:color="auto"/>
        <w:left w:val="none" w:sz="0" w:space="0" w:color="auto"/>
        <w:bottom w:val="none" w:sz="0" w:space="0" w:color="auto"/>
        <w:right w:val="none" w:sz="0" w:space="0" w:color="auto"/>
      </w:divBdr>
    </w:div>
    <w:div w:id="1627854829">
      <w:bodyDiv w:val="1"/>
      <w:marLeft w:val="0"/>
      <w:marRight w:val="0"/>
      <w:marTop w:val="0"/>
      <w:marBottom w:val="0"/>
      <w:divBdr>
        <w:top w:val="none" w:sz="0" w:space="0" w:color="auto"/>
        <w:left w:val="none" w:sz="0" w:space="0" w:color="auto"/>
        <w:bottom w:val="none" w:sz="0" w:space="0" w:color="auto"/>
        <w:right w:val="none" w:sz="0" w:space="0" w:color="auto"/>
      </w:divBdr>
    </w:div>
    <w:div w:id="1843398538">
      <w:bodyDiv w:val="1"/>
      <w:marLeft w:val="0"/>
      <w:marRight w:val="0"/>
      <w:marTop w:val="0"/>
      <w:marBottom w:val="0"/>
      <w:divBdr>
        <w:top w:val="none" w:sz="0" w:space="0" w:color="auto"/>
        <w:left w:val="none" w:sz="0" w:space="0" w:color="auto"/>
        <w:bottom w:val="none" w:sz="0" w:space="0" w:color="auto"/>
        <w:right w:val="none" w:sz="0" w:space="0" w:color="auto"/>
      </w:divBdr>
    </w:div>
    <w:div w:id="1852910688">
      <w:bodyDiv w:val="1"/>
      <w:marLeft w:val="0"/>
      <w:marRight w:val="0"/>
      <w:marTop w:val="0"/>
      <w:marBottom w:val="0"/>
      <w:divBdr>
        <w:top w:val="none" w:sz="0" w:space="0" w:color="auto"/>
        <w:left w:val="none" w:sz="0" w:space="0" w:color="auto"/>
        <w:bottom w:val="none" w:sz="0" w:space="0" w:color="auto"/>
        <w:right w:val="none" w:sz="0" w:space="0" w:color="auto"/>
      </w:divBdr>
    </w:div>
    <w:div w:id="2113085824">
      <w:bodyDiv w:val="1"/>
      <w:marLeft w:val="0"/>
      <w:marRight w:val="0"/>
      <w:marTop w:val="0"/>
      <w:marBottom w:val="0"/>
      <w:divBdr>
        <w:top w:val="none" w:sz="0" w:space="0" w:color="auto"/>
        <w:left w:val="none" w:sz="0" w:space="0" w:color="auto"/>
        <w:bottom w:val="none" w:sz="0" w:space="0" w:color="auto"/>
        <w:right w:val="none" w:sz="0" w:space="0" w:color="auto"/>
      </w:divBdr>
    </w:div>
    <w:div w:id="2146895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erk.seattle.gov/~scripts/nph-brs.exe?s1=23.66.032&amp;s2=&amp;S3=&amp;Sect4=AND&amp;l=20&amp;Sect3=PLURON&amp;Sect5=CODE1&amp;d=CODE&amp;p=1&amp;u=%2F%7Epublic%2Fcode1.htm&amp;r=1&amp;Sect6=HITOFF&amp;f=G" TargetMode="External"/><Relationship Id="rId13" Type="http://schemas.openxmlformats.org/officeDocument/2006/relationships/hyperlink" Target="http://www.seattle.gov/neighborhoods/preservation/incentives_state.htm" TargetMode="External"/><Relationship Id="rId18" Type="http://schemas.openxmlformats.org/officeDocument/2006/relationships/hyperlink" Target="http://www.nps.gov/tps/tax-incentives.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eattle.gov/neighborhoods/preservation/documents/brochure_incentives.pdf" TargetMode="External"/><Relationship Id="rId7" Type="http://schemas.openxmlformats.org/officeDocument/2006/relationships/endnotes" Target="endnotes.xml"/><Relationship Id="rId12" Type="http://schemas.openxmlformats.org/officeDocument/2006/relationships/hyperlink" Target="http://www.seattle.gov/dpd/vault/cs/groups/pan/@pan/documents/web_informational/s048352.pdf" TargetMode="External"/><Relationship Id="rId17" Type="http://schemas.openxmlformats.org/officeDocument/2006/relationships/hyperlink" Target="http://www.dahp.wa.gov/tax-credi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rs.gov/pub/irs-mssp/rehab.pdf" TargetMode="External"/><Relationship Id="rId20" Type="http://schemas.openxmlformats.org/officeDocument/2006/relationships/hyperlink" Target="http://www.americanbar.org/newsletter/publications/law_trends_news_practice_area_e_newsletter_home/preservationtaxcre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ttle.gov/dPd/cs/groups/pan/@pan/documents/web_informational/s048509.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ahp.wa.gov/special-valuation" TargetMode="External"/><Relationship Id="rId23" Type="http://schemas.openxmlformats.org/officeDocument/2006/relationships/header" Target="header1.xml"/><Relationship Id="rId10" Type="http://schemas.openxmlformats.org/officeDocument/2006/relationships/hyperlink" Target="http://www.seattle.gov/neighborhoods/preservation/documents/brochure_incentives.pdf" TargetMode="External"/><Relationship Id="rId19" Type="http://schemas.openxmlformats.org/officeDocument/2006/relationships/hyperlink" Target="http://www.nps.gov/tps/tax-incentives/taxdocs/about-tax-incentives-2012.pdf" TargetMode="External"/><Relationship Id="rId4" Type="http://schemas.openxmlformats.org/officeDocument/2006/relationships/settings" Target="settings.xml"/><Relationship Id="rId9" Type="http://schemas.openxmlformats.org/officeDocument/2006/relationships/hyperlink" Target="http://www.seattle.gov/housing/incentives/TDRbonus.htm" TargetMode="External"/><Relationship Id="rId14" Type="http://schemas.openxmlformats.org/officeDocument/2006/relationships/hyperlink" Target="http://www.seattle.gov/neighborhoods/preservation/documents/brochure_incentives.pdf" TargetMode="External"/><Relationship Id="rId22" Type="http://schemas.openxmlformats.org/officeDocument/2006/relationships/hyperlink" Target="http://www.4culture.org/apply/landmarks/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7FC0E-BE43-48DB-8DF1-8ECAE5BE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Winter</dc:creator>
  <cp:keywords/>
  <dc:description/>
  <cp:lastModifiedBy>Peter Steinbrueck</cp:lastModifiedBy>
  <cp:revision>2</cp:revision>
  <cp:lastPrinted>2015-02-11T17:23:00Z</cp:lastPrinted>
  <dcterms:created xsi:type="dcterms:W3CDTF">2015-02-11T17:37:00Z</dcterms:created>
  <dcterms:modified xsi:type="dcterms:W3CDTF">2015-02-11T17:37:00Z</dcterms:modified>
</cp:coreProperties>
</file>