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sz w:val="24"/>
          <w:szCs w:val="24"/>
          <w:vertAlign w:val="baseline"/>
          <w:rtl w:val="0"/>
        </w:rPr>
        <w:t xml:space="preserve">SPECIAL ACTIVITIES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Acts as a liaison between the HSC Board and special activity groups sponsored by the HSC.  Responsible for planning and coordinating special activities for the HSC.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w:t>
      </w:r>
      <w:r w:rsidDel="00000000" w:rsidR="00000000" w:rsidRPr="00000000">
        <w:rPr>
          <w:rFonts w:ascii="Calibri" w:cs="Calibri" w:eastAsia="Calibri" w:hAnsi="Calibri"/>
          <w:rtl w:val="0"/>
        </w:rPr>
        <w:t xml:space="preserve">y-Laws and Operating Policies.</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Reports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Updates the list of ongoing special activity group.  Provides this list to the Executive Board.</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Acts as a liaison between the HSC Board and all HSC-sponsored special activity groups.  Contacts the head of each group periodically to determine if anything is needed such as publicity or financial assistance with supplies (i.e. Pokeno club needs new Pokeno board).  </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Communicates the needs of the special activity clubs to the Board.  If a conflict arises within a special activity group, the president of the group contacts the Special Activities Chairman who researches the problem and brings it to the Board for resolution.</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Establishes special activities groups and POCs for the groups at the beginning of the Board year, according to the interest of the membership.  Continue successful groups from the previous year, and start new ones as needed. </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Ensures the special activities groups are in compliance with the HSC Constitution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By-Laws and Operating Policies.  Ensures all members participating in HSC-sponsored groups are HSC members in good standing.  Establishes guidelines regarding the presence of children and the conduct of members at events.</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the meeting, please bring copies to the meeting for all Board members.  Report should include details or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Contacts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agenda.</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If any expenditure is incurred, Special Activities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budget meeting.</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For historical data and continuity of information, Special Activities Chairman also submits a separate “After Action Report” to the President,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results/solutions/recommendations for an event or situation, requests for funds for Bunko Club to purchase additional supplies, itemized descriptions of items purchased or received).</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w:t>
      </w:r>
      <w:r w:rsidDel="00000000" w:rsidR="00000000" w:rsidRPr="00000000">
        <w:rPr>
          <w:rFonts w:ascii="Calibri" w:cs="Calibri" w:eastAsia="Calibri" w:hAnsi="Calibri"/>
          <w:rtl w:val="0"/>
        </w:rPr>
        <w:t xml:space="preserv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HSC Special Activities Chairman Job Description</w:t>
      <w:tab/>
      <w:t xml:space="preserve">                     </w:t>
      <w:tab/>
      <w:t xml:space="preserve">                                                                                             </w:t>
    </w:r>
    <w:fldSimple w:instr="PAGE" w:fldLock="0" w:dirty="0">
      <w:r w:rsidDel="00000000" w:rsidR="00000000" w:rsidRPr="00000000">
        <w:rPr>
          <w:rFonts w:ascii="Calibri" w:cs="Calibri" w:eastAsia="Calibri" w:hAnsi="Calibri"/>
          <w:sz w:val="16"/>
          <w:szCs w:val="16"/>
          <w:vertAlign w:val="baseline"/>
        </w:rPr>
      </w:r>
    </w:fldSimple>
    <w:r w:rsidDel="00000000" w:rsidR="00000000" w:rsidRPr="00000000">
      <w:rPr>
        <w:rtl w:val="0"/>
      </w:rPr>
    </w:r>
  </w:p>
  <w:p w:rsidR="00000000" w:rsidDel="00000000" w:rsidP="00000000" w:rsidRDefault="00000000" w:rsidRPr="00000000">
    <w:pPr>
      <w:spacing w:after="5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cs="Times New Roman" w:eastAsia="Times New Roman" w:hAnsi="Times New Roman"/>
        <w:b w:val="0"/>
        <w:i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2"/>
      <w:szCs w:val="22"/>
      <w:vertAlign w:val="baseline"/>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