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8A" w:rsidRDefault="00CF2B8A" w:rsidP="00CF2B8A">
      <w:pPr>
        <w:jc w:val="center"/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</w:pPr>
      <w:bookmarkStart w:id="0" w:name="_GoBack"/>
      <w:bookmarkEnd w:id="0"/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*NOTICE OF HERBICIDE TREATMENT 8.6.15</w:t>
      </w:r>
    </w:p>
    <w:p w:rsidR="00CF2B8A" w:rsidRDefault="00CF2B8A" w:rsidP="00CF2B8A">
      <w:pPr>
        <w:jc w:val="center"/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</w:pPr>
    </w:p>
    <w:p w:rsidR="00EC1DA8" w:rsidRDefault="00CF2B8A"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In accordance with the Connecticut DEEP, Pesticide Division notification requirements, a portion of Upper Moodus Reservoir in East Haddam will be chemically treated on Thursday, August 6th for control of nuisance aquatic vegetation.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The Reservoir will be treated with Clipper (flumioxazin) and Reward (diquat) herbicides in accordance with CT DEEP Permit # AQUA-2015-428.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Following treatment, the following water use restrictions will be imposed on the water from the Upper Reservoir: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* Drinking – 2 days or until August 9th.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* Livestock/domestic animal consumption – 1 day or until August 8th.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* Irrigation to turf and landscape ornamentals – 2 days or until August 9th.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* Irrigation to food crops and production ornamentals including those grown for production in greenhouse and nursery – 5 days or until August 12th.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There are no restrictions on recreational use of the reservoir including swimming, boating or fishing; however we ask that users avoid the treated area on the day of treatment.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Signs posted around the reservoir prior to treatment will have a map showing the location of the treatment area.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Prior to treatment, the shoreline will be posted with signs in accordance with CT DEEP requirements. Information on the application may be obtained from the person named below.</w:t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Fonts w:ascii="Maven Pro" w:hAnsi="Maven Pro" w:cs="Arial"/>
          <w:b/>
          <w:bCs/>
          <w:color w:val="000000"/>
          <w:sz w:val="23"/>
          <w:szCs w:val="23"/>
          <w:lang w:val="en"/>
        </w:rPr>
        <w:br/>
      </w:r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 xml:space="preserve">The chemical applications are being conducted for the Moodus Reservoir Preservation Group by the State licensed firm, Aquatic Control Technology of 11 John Road, Sutton, MA 01590. (508) 865-1000. Contact: Dominic </w:t>
      </w:r>
      <w:proofErr w:type="spellStart"/>
      <w:r>
        <w:rPr>
          <w:rStyle w:val="Strong"/>
          <w:rFonts w:ascii="Maven Pro" w:hAnsi="Maven Pro" w:cs="Arial"/>
          <w:color w:val="000000"/>
          <w:sz w:val="23"/>
          <w:szCs w:val="23"/>
          <w:lang w:val="en"/>
        </w:rPr>
        <w:t>Meringolo</w:t>
      </w:r>
      <w:proofErr w:type="spellEnd"/>
    </w:p>
    <w:sectPr w:rsidR="00EC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8A"/>
    <w:rsid w:val="000D2D62"/>
    <w:rsid w:val="002C3E2E"/>
    <w:rsid w:val="00C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CD0B8-ABE3-486A-B366-17B42028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2B8A"/>
    <w:rPr>
      <w:b/>
      <w:bCs/>
    </w:rPr>
  </w:style>
  <w:style w:type="paragraph" w:styleId="NormalWeb">
    <w:name w:val="Normal (Web)"/>
    <w:basedOn w:val="Normal"/>
    <w:uiPriority w:val="99"/>
    <w:unhideWhenUsed/>
    <w:rsid w:val="00CF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42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6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Howat</dc:creator>
  <cp:keywords/>
  <dc:description/>
  <cp:lastModifiedBy>Al Howat</cp:lastModifiedBy>
  <cp:revision>1</cp:revision>
  <dcterms:created xsi:type="dcterms:W3CDTF">2015-08-13T15:38:00Z</dcterms:created>
  <dcterms:modified xsi:type="dcterms:W3CDTF">2015-08-13T15:45:00Z</dcterms:modified>
</cp:coreProperties>
</file>