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4B" w:rsidRDefault="0083594B" w:rsidP="00F81B50">
      <w:pPr>
        <w:pStyle w:val="Title"/>
        <w:jc w:val="left"/>
        <w:rPr>
          <w:rFonts w:ascii="Garamond" w:hAnsi="Garamond"/>
          <w:szCs w:val="24"/>
        </w:rPr>
      </w:pPr>
    </w:p>
    <w:p w:rsidR="0011636D" w:rsidRPr="0083594B" w:rsidRDefault="006B66D6" w:rsidP="0083594B">
      <w:pPr>
        <w:pStyle w:val="Title"/>
        <w:rPr>
          <w:rFonts w:ascii="Garamond" w:hAnsi="Garamond"/>
          <w:szCs w:val="24"/>
        </w:rPr>
      </w:pPr>
      <w:r>
        <w:rPr>
          <w:rFonts w:ascii="Garamond" w:hAnsi="Garamond"/>
          <w:szCs w:val="24"/>
        </w:rPr>
        <w:t>First</w:t>
      </w:r>
      <w:r w:rsidR="0011636D" w:rsidRPr="0083594B">
        <w:rPr>
          <w:rFonts w:ascii="Garamond" w:hAnsi="Garamond"/>
          <w:szCs w:val="24"/>
        </w:rPr>
        <w:t xml:space="preserve"> Quarter 201</w:t>
      </w:r>
      <w:r>
        <w:rPr>
          <w:rFonts w:ascii="Garamond" w:hAnsi="Garamond"/>
          <w:szCs w:val="24"/>
        </w:rPr>
        <w:t>6</w:t>
      </w:r>
      <w:r w:rsidR="0011636D" w:rsidRPr="0083594B">
        <w:rPr>
          <w:rFonts w:ascii="Garamond" w:hAnsi="Garamond"/>
          <w:b w:val="0"/>
          <w:szCs w:val="24"/>
        </w:rPr>
        <w:t xml:space="preserve"> </w:t>
      </w:r>
      <w:r w:rsidR="007F5BCD" w:rsidRPr="0083594B">
        <w:rPr>
          <w:rFonts w:ascii="Garamond" w:hAnsi="Garamond"/>
          <w:szCs w:val="24"/>
        </w:rPr>
        <w:t>Review</w:t>
      </w:r>
      <w:r w:rsidR="007F5BCD" w:rsidRPr="0083594B">
        <w:rPr>
          <w:rFonts w:ascii="Garamond" w:hAnsi="Garamond"/>
          <w:b w:val="0"/>
          <w:szCs w:val="24"/>
        </w:rPr>
        <w:t xml:space="preserve"> </w:t>
      </w:r>
      <w:r w:rsidR="0011636D" w:rsidRPr="0083594B">
        <w:rPr>
          <w:rFonts w:ascii="Garamond" w:hAnsi="Garamond"/>
          <w:szCs w:val="24"/>
        </w:rPr>
        <w:t>and Outlook</w:t>
      </w:r>
    </w:p>
    <w:p w:rsidR="008B45D9" w:rsidRDefault="008B45D9" w:rsidP="0083594B">
      <w:pPr>
        <w:pStyle w:val="Title"/>
        <w:jc w:val="left"/>
        <w:rPr>
          <w:rFonts w:ascii="Garamond" w:hAnsi="Garamond"/>
          <w:szCs w:val="24"/>
        </w:rPr>
      </w:pPr>
    </w:p>
    <w:p w:rsidR="00F137F6" w:rsidRDefault="00F137F6" w:rsidP="0083594B">
      <w:pPr>
        <w:pStyle w:val="Title"/>
        <w:jc w:val="left"/>
        <w:rPr>
          <w:rFonts w:ascii="Garamond" w:hAnsi="Garamond"/>
          <w:szCs w:val="24"/>
        </w:rPr>
      </w:pPr>
    </w:p>
    <w:p w:rsidR="00A35EEB" w:rsidRDefault="00A35EEB" w:rsidP="0083594B">
      <w:pPr>
        <w:pStyle w:val="Title"/>
        <w:jc w:val="left"/>
        <w:rPr>
          <w:rFonts w:ascii="Garamond" w:hAnsi="Garamond"/>
          <w:szCs w:val="24"/>
        </w:rPr>
      </w:pPr>
    </w:p>
    <w:p w:rsidR="004269F9" w:rsidRDefault="004269F9" w:rsidP="0083594B">
      <w:pPr>
        <w:pStyle w:val="Title"/>
        <w:jc w:val="left"/>
        <w:rPr>
          <w:rFonts w:ascii="Garamond" w:hAnsi="Garamond"/>
          <w:b w:val="0"/>
          <w:szCs w:val="24"/>
        </w:rPr>
      </w:pPr>
      <w:r>
        <w:rPr>
          <w:rFonts w:ascii="Garamond" w:hAnsi="Garamond"/>
          <w:b w:val="0"/>
          <w:szCs w:val="24"/>
        </w:rPr>
        <w:t xml:space="preserve">U. S. Stocks ended the quarter modestly higher which is a remarkable turn of events given the selloff that kicked of the year.  </w:t>
      </w:r>
      <w:r w:rsidR="00073CDB">
        <w:rPr>
          <w:rFonts w:ascii="Garamond" w:hAnsi="Garamond"/>
          <w:b w:val="0"/>
          <w:szCs w:val="24"/>
        </w:rPr>
        <w:t xml:space="preserve">During the first week of 2016, stock values dropped by roughly 6%.  </w:t>
      </w:r>
      <w:r w:rsidR="00FF16F5">
        <w:rPr>
          <w:rFonts w:ascii="Garamond" w:hAnsi="Garamond"/>
          <w:b w:val="0"/>
          <w:szCs w:val="24"/>
        </w:rPr>
        <w:t>By mid-February, the major stock indices were do</w:t>
      </w:r>
      <w:r w:rsidR="00073CDB">
        <w:rPr>
          <w:rFonts w:ascii="Garamond" w:hAnsi="Garamond"/>
          <w:b w:val="0"/>
          <w:szCs w:val="24"/>
        </w:rPr>
        <w:t xml:space="preserve">wn more than 10%.  </w:t>
      </w:r>
      <w:r w:rsidR="00B32764">
        <w:rPr>
          <w:rFonts w:ascii="Garamond" w:hAnsi="Garamond"/>
          <w:b w:val="0"/>
          <w:szCs w:val="24"/>
        </w:rPr>
        <w:t>Mid quarter,</w:t>
      </w:r>
      <w:r w:rsidR="00FF16F5">
        <w:rPr>
          <w:rFonts w:ascii="Garamond" w:hAnsi="Garamond"/>
          <w:b w:val="0"/>
          <w:szCs w:val="24"/>
        </w:rPr>
        <w:t xml:space="preserve"> however,</w:t>
      </w:r>
      <w:r w:rsidR="00B32764">
        <w:rPr>
          <w:rFonts w:ascii="Garamond" w:hAnsi="Garamond"/>
          <w:b w:val="0"/>
          <w:szCs w:val="24"/>
        </w:rPr>
        <w:t xml:space="preserve"> the trend shifted and by </w:t>
      </w:r>
      <w:r w:rsidR="00FF16F5">
        <w:rPr>
          <w:rFonts w:ascii="Garamond" w:hAnsi="Garamond"/>
          <w:b w:val="0"/>
          <w:szCs w:val="24"/>
        </w:rPr>
        <w:t xml:space="preserve">the close of the </w:t>
      </w:r>
      <w:r>
        <w:rPr>
          <w:rFonts w:ascii="Garamond" w:hAnsi="Garamond"/>
          <w:b w:val="0"/>
          <w:szCs w:val="24"/>
        </w:rPr>
        <w:t>quarter, the S&amp;P 500 index was up +1.4%</w:t>
      </w:r>
      <w:r w:rsidR="00FF16F5">
        <w:rPr>
          <w:rFonts w:ascii="Garamond" w:hAnsi="Garamond"/>
          <w:b w:val="0"/>
          <w:szCs w:val="24"/>
        </w:rPr>
        <w:t>, th</w:t>
      </w:r>
      <w:r>
        <w:rPr>
          <w:rFonts w:ascii="Garamond" w:hAnsi="Garamond"/>
          <w:b w:val="0"/>
          <w:szCs w:val="24"/>
        </w:rPr>
        <w:t xml:space="preserve">e DJIA </w:t>
      </w:r>
      <w:r w:rsidR="00FF16F5">
        <w:rPr>
          <w:rFonts w:ascii="Garamond" w:hAnsi="Garamond"/>
          <w:b w:val="0"/>
          <w:szCs w:val="24"/>
        </w:rPr>
        <w:t>had gained +2.2% yet</w:t>
      </w:r>
      <w:r>
        <w:rPr>
          <w:rFonts w:ascii="Garamond" w:hAnsi="Garamond"/>
          <w:b w:val="0"/>
          <w:szCs w:val="24"/>
        </w:rPr>
        <w:t xml:space="preserve"> the </w:t>
      </w:r>
      <w:r w:rsidR="00FF16F5">
        <w:rPr>
          <w:rFonts w:ascii="Garamond" w:hAnsi="Garamond"/>
          <w:b w:val="0"/>
          <w:szCs w:val="24"/>
        </w:rPr>
        <w:t>NASDAQ</w:t>
      </w:r>
      <w:r>
        <w:rPr>
          <w:rFonts w:ascii="Garamond" w:hAnsi="Garamond"/>
          <w:b w:val="0"/>
          <w:szCs w:val="24"/>
        </w:rPr>
        <w:t xml:space="preserve"> was</w:t>
      </w:r>
      <w:r w:rsidR="00FF16F5">
        <w:rPr>
          <w:rFonts w:ascii="Garamond" w:hAnsi="Garamond"/>
          <w:b w:val="0"/>
          <w:szCs w:val="24"/>
        </w:rPr>
        <w:t xml:space="preserve"> still in negative territory</w:t>
      </w:r>
      <w:r>
        <w:rPr>
          <w:rFonts w:ascii="Garamond" w:hAnsi="Garamond"/>
          <w:b w:val="0"/>
          <w:szCs w:val="24"/>
        </w:rPr>
        <w:t xml:space="preserve"> off -2.4%.  Bonds </w:t>
      </w:r>
      <w:r w:rsidR="00FF16F5">
        <w:rPr>
          <w:rFonts w:ascii="Garamond" w:hAnsi="Garamond"/>
          <w:b w:val="0"/>
          <w:szCs w:val="24"/>
        </w:rPr>
        <w:t xml:space="preserve">generally increased in value this quarter; </w:t>
      </w:r>
      <w:r>
        <w:rPr>
          <w:rFonts w:ascii="Garamond" w:hAnsi="Garamond"/>
          <w:b w:val="0"/>
          <w:szCs w:val="24"/>
        </w:rPr>
        <w:t>the Barclay’s Aggregate Index up +3.0%.</w:t>
      </w:r>
    </w:p>
    <w:p w:rsidR="004269F9" w:rsidRDefault="004269F9" w:rsidP="0083594B">
      <w:pPr>
        <w:pStyle w:val="Title"/>
        <w:jc w:val="left"/>
        <w:rPr>
          <w:rFonts w:ascii="Garamond" w:hAnsi="Garamond"/>
          <w:b w:val="0"/>
          <w:szCs w:val="24"/>
        </w:rPr>
      </w:pPr>
    </w:p>
    <w:p w:rsidR="004269F9" w:rsidRDefault="00B32764" w:rsidP="0083594B">
      <w:pPr>
        <w:pStyle w:val="Title"/>
        <w:jc w:val="left"/>
        <w:rPr>
          <w:rFonts w:ascii="Garamond" w:hAnsi="Garamond"/>
          <w:b w:val="0"/>
          <w:szCs w:val="24"/>
        </w:rPr>
      </w:pPr>
      <w:r>
        <w:rPr>
          <w:rFonts w:ascii="Garamond" w:hAnsi="Garamond"/>
          <w:b w:val="0"/>
          <w:szCs w:val="24"/>
        </w:rPr>
        <w:t>Two s</w:t>
      </w:r>
      <w:r w:rsidR="004269F9">
        <w:rPr>
          <w:rFonts w:ascii="Garamond" w:hAnsi="Garamond"/>
          <w:b w:val="0"/>
          <w:szCs w:val="24"/>
        </w:rPr>
        <w:t xml:space="preserve">ignificant worries </w:t>
      </w:r>
      <w:r>
        <w:rPr>
          <w:rFonts w:ascii="Garamond" w:hAnsi="Garamond"/>
          <w:b w:val="0"/>
          <w:szCs w:val="24"/>
        </w:rPr>
        <w:t>rung in</w:t>
      </w:r>
      <w:r w:rsidR="004269F9">
        <w:rPr>
          <w:rFonts w:ascii="Garamond" w:hAnsi="Garamond"/>
          <w:b w:val="0"/>
          <w:szCs w:val="24"/>
        </w:rPr>
        <w:t xml:space="preserve"> the New Year.  New rules designed to stabilize China’s stock markets seem</w:t>
      </w:r>
      <w:r w:rsidR="00D620B6">
        <w:rPr>
          <w:rFonts w:ascii="Garamond" w:hAnsi="Garamond"/>
          <w:b w:val="0"/>
          <w:szCs w:val="24"/>
        </w:rPr>
        <w:t>ed</w:t>
      </w:r>
      <w:r w:rsidR="004269F9">
        <w:rPr>
          <w:rFonts w:ascii="Garamond" w:hAnsi="Garamond"/>
          <w:b w:val="0"/>
          <w:szCs w:val="24"/>
        </w:rPr>
        <w:t xml:space="preserve"> to have had the opposite effect, leading to dramatic downward swings in prices.  These swings highlighted underlying weakness in the Chinese economy and led to growing concern about emerging markets and global growth.  </w:t>
      </w:r>
      <w:r>
        <w:rPr>
          <w:rFonts w:ascii="Garamond" w:hAnsi="Garamond"/>
          <w:b w:val="0"/>
          <w:szCs w:val="24"/>
        </w:rPr>
        <w:t>Additionally, w</w:t>
      </w:r>
      <w:r w:rsidR="004269F9">
        <w:rPr>
          <w:rFonts w:ascii="Garamond" w:hAnsi="Garamond"/>
          <w:b w:val="0"/>
          <w:szCs w:val="24"/>
        </w:rPr>
        <w:t>eak global demand and continued supply growth spelled trouble for crude oil futur</w:t>
      </w:r>
      <w:r w:rsidR="00FF16F5">
        <w:rPr>
          <w:rFonts w:ascii="Garamond" w:hAnsi="Garamond"/>
          <w:b w:val="0"/>
          <w:szCs w:val="24"/>
        </w:rPr>
        <w:t>es as they plunged to the lowest</w:t>
      </w:r>
      <w:r w:rsidR="004269F9">
        <w:rPr>
          <w:rFonts w:ascii="Garamond" w:hAnsi="Garamond"/>
          <w:b w:val="0"/>
          <w:szCs w:val="24"/>
        </w:rPr>
        <w:t xml:space="preserve"> levels in years.   At the same time, the markets were eyei</w:t>
      </w:r>
      <w:r w:rsidR="00073CDB">
        <w:rPr>
          <w:rFonts w:ascii="Garamond" w:hAnsi="Garamond"/>
          <w:b w:val="0"/>
          <w:szCs w:val="24"/>
        </w:rPr>
        <w:t>ng the Federal Reserve which</w:t>
      </w:r>
      <w:r w:rsidR="004269F9">
        <w:rPr>
          <w:rFonts w:ascii="Garamond" w:hAnsi="Garamond"/>
          <w:b w:val="0"/>
          <w:szCs w:val="24"/>
        </w:rPr>
        <w:t xml:space="preserve"> raised ra</w:t>
      </w:r>
      <w:r w:rsidR="00073CDB">
        <w:rPr>
          <w:rFonts w:ascii="Garamond" w:hAnsi="Garamond"/>
          <w:b w:val="0"/>
          <w:szCs w:val="24"/>
        </w:rPr>
        <w:t>tes in December and had</w:t>
      </w:r>
      <w:r w:rsidR="004269F9">
        <w:rPr>
          <w:rFonts w:ascii="Garamond" w:hAnsi="Garamond"/>
          <w:b w:val="0"/>
          <w:szCs w:val="24"/>
        </w:rPr>
        <w:t xml:space="preserve"> indicated that it was planning on </w:t>
      </w:r>
      <w:r w:rsidR="00073CDB">
        <w:rPr>
          <w:rFonts w:ascii="Garamond" w:hAnsi="Garamond"/>
          <w:b w:val="0"/>
          <w:szCs w:val="24"/>
        </w:rPr>
        <w:t>further rate increases during</w:t>
      </w:r>
      <w:r w:rsidR="004269F9">
        <w:rPr>
          <w:rFonts w:ascii="Garamond" w:hAnsi="Garamond"/>
          <w:b w:val="0"/>
          <w:szCs w:val="24"/>
        </w:rPr>
        <w:t xml:space="preserve"> 2016 as it started down the path of normalizing monetary policy.  </w:t>
      </w:r>
    </w:p>
    <w:p w:rsidR="004269F9" w:rsidRDefault="004269F9" w:rsidP="0083594B">
      <w:pPr>
        <w:pStyle w:val="Title"/>
        <w:jc w:val="left"/>
        <w:rPr>
          <w:rFonts w:ascii="Garamond" w:hAnsi="Garamond"/>
          <w:b w:val="0"/>
          <w:szCs w:val="24"/>
        </w:rPr>
      </w:pPr>
    </w:p>
    <w:p w:rsidR="004269F9" w:rsidRDefault="00073CDB" w:rsidP="0083594B">
      <w:pPr>
        <w:pStyle w:val="Title"/>
        <w:jc w:val="left"/>
        <w:rPr>
          <w:rFonts w:ascii="Garamond" w:hAnsi="Garamond"/>
          <w:b w:val="0"/>
          <w:szCs w:val="24"/>
        </w:rPr>
      </w:pPr>
      <w:r>
        <w:rPr>
          <w:rFonts w:ascii="Garamond" w:hAnsi="Garamond"/>
          <w:b w:val="0"/>
          <w:szCs w:val="24"/>
        </w:rPr>
        <w:t>A</w:t>
      </w:r>
      <w:r w:rsidR="004269F9">
        <w:rPr>
          <w:rFonts w:ascii="Garamond" w:hAnsi="Garamond"/>
          <w:b w:val="0"/>
          <w:szCs w:val="24"/>
        </w:rPr>
        <w:t xml:space="preserve">s the quarter moved on, these fears subsided and equities began to turn higher.  China’s market stabilized, even if the underlying concerns about the health of the </w:t>
      </w:r>
      <w:r w:rsidR="00883F44">
        <w:rPr>
          <w:rFonts w:ascii="Garamond" w:hAnsi="Garamond"/>
          <w:b w:val="0"/>
          <w:szCs w:val="24"/>
        </w:rPr>
        <w:t>country’s</w:t>
      </w:r>
      <w:r>
        <w:rPr>
          <w:rFonts w:ascii="Garamond" w:hAnsi="Garamond"/>
          <w:b w:val="0"/>
          <w:szCs w:val="24"/>
        </w:rPr>
        <w:t xml:space="preserve"> economy remained.  Signs that</w:t>
      </w:r>
      <w:r w:rsidR="004269F9">
        <w:rPr>
          <w:rFonts w:ascii="Garamond" w:hAnsi="Garamond"/>
          <w:b w:val="0"/>
          <w:szCs w:val="24"/>
        </w:rPr>
        <w:t xml:space="preserve"> oil producers were willing to talk about freezing supply at current levels helped bring crude prices off their lows.  Also words and action</w:t>
      </w:r>
      <w:r>
        <w:rPr>
          <w:rFonts w:ascii="Garamond" w:hAnsi="Garamond"/>
          <w:b w:val="0"/>
          <w:szCs w:val="24"/>
        </w:rPr>
        <w:t>s from global central banks</w:t>
      </w:r>
      <w:r w:rsidR="004269F9">
        <w:rPr>
          <w:rFonts w:ascii="Garamond" w:hAnsi="Garamond"/>
          <w:b w:val="0"/>
          <w:szCs w:val="24"/>
        </w:rPr>
        <w:t xml:space="preserve"> made it </w:t>
      </w:r>
      <w:r w:rsidR="00883F44">
        <w:rPr>
          <w:rFonts w:ascii="Garamond" w:hAnsi="Garamond"/>
          <w:b w:val="0"/>
          <w:szCs w:val="24"/>
        </w:rPr>
        <w:t>clear</w:t>
      </w:r>
      <w:r w:rsidR="004269F9">
        <w:rPr>
          <w:rFonts w:ascii="Garamond" w:hAnsi="Garamond"/>
          <w:b w:val="0"/>
          <w:szCs w:val="24"/>
        </w:rPr>
        <w:t xml:space="preserve"> we are still in </w:t>
      </w:r>
      <w:r w:rsidR="00883F44">
        <w:rPr>
          <w:rFonts w:ascii="Garamond" w:hAnsi="Garamond"/>
          <w:b w:val="0"/>
          <w:szCs w:val="24"/>
        </w:rPr>
        <w:t>an era of very loose monetary policy and as a result, markets in the U.S. were able to make up the lost ground in short order.</w:t>
      </w:r>
    </w:p>
    <w:p w:rsidR="00B32764" w:rsidRDefault="00B32764" w:rsidP="0083594B">
      <w:pPr>
        <w:pStyle w:val="Title"/>
        <w:jc w:val="left"/>
        <w:rPr>
          <w:rFonts w:ascii="Garamond" w:hAnsi="Garamond"/>
          <w:b w:val="0"/>
          <w:szCs w:val="24"/>
        </w:rPr>
      </w:pPr>
    </w:p>
    <w:p w:rsidR="00B32764" w:rsidRDefault="00B32764" w:rsidP="0083594B">
      <w:pPr>
        <w:pStyle w:val="Title"/>
        <w:jc w:val="left"/>
        <w:rPr>
          <w:rFonts w:ascii="Garamond" w:hAnsi="Garamond"/>
          <w:b w:val="0"/>
          <w:szCs w:val="24"/>
        </w:rPr>
      </w:pPr>
      <w:r>
        <w:rPr>
          <w:rFonts w:ascii="Garamond" w:hAnsi="Garamond"/>
          <w:b w:val="0"/>
          <w:szCs w:val="24"/>
        </w:rPr>
        <w:t xml:space="preserve">Domestically, </w:t>
      </w:r>
      <w:r w:rsidR="001A51C0">
        <w:rPr>
          <w:rFonts w:ascii="Garamond" w:hAnsi="Garamond"/>
          <w:b w:val="0"/>
          <w:szCs w:val="24"/>
        </w:rPr>
        <w:t>value funds had returns in positive territory while growth funds were generally down. Within key sectors some trends shifted as financial were down given concerns about enduring low rates; healthcare retreated due to concerns of further government regulation; utilities advanced as rates appeared to stabilize and gold had significant gains as investor concerns took hold.</w:t>
      </w:r>
    </w:p>
    <w:p w:rsidR="00883F44" w:rsidRDefault="00883F44" w:rsidP="0083594B">
      <w:pPr>
        <w:pStyle w:val="Title"/>
        <w:jc w:val="left"/>
        <w:rPr>
          <w:rFonts w:ascii="Garamond" w:hAnsi="Garamond"/>
          <w:b w:val="0"/>
          <w:szCs w:val="24"/>
        </w:rPr>
      </w:pPr>
    </w:p>
    <w:p w:rsidR="00883F44" w:rsidRDefault="00883F44" w:rsidP="0083594B">
      <w:pPr>
        <w:pStyle w:val="Title"/>
        <w:jc w:val="left"/>
        <w:rPr>
          <w:rFonts w:ascii="Garamond" w:hAnsi="Garamond"/>
          <w:b w:val="0"/>
          <w:szCs w:val="24"/>
        </w:rPr>
      </w:pPr>
      <w:r>
        <w:rPr>
          <w:rFonts w:ascii="Garamond" w:hAnsi="Garamond"/>
          <w:b w:val="0"/>
          <w:szCs w:val="24"/>
        </w:rPr>
        <w:t>On the fixed income side, a flight to safety sent the yield on the 1</w:t>
      </w:r>
      <w:r w:rsidR="00B32764">
        <w:rPr>
          <w:rFonts w:ascii="Garamond" w:hAnsi="Garamond"/>
          <w:b w:val="0"/>
          <w:szCs w:val="24"/>
        </w:rPr>
        <w:t xml:space="preserve">0 year Treasury </w:t>
      </w:r>
      <w:proofErr w:type="gramStart"/>
      <w:r w:rsidR="00B32764">
        <w:rPr>
          <w:rFonts w:ascii="Garamond" w:hAnsi="Garamond"/>
          <w:b w:val="0"/>
          <w:szCs w:val="24"/>
        </w:rPr>
        <w:t>Bond</w:t>
      </w:r>
      <w:proofErr w:type="gramEnd"/>
      <w:r w:rsidR="00B32764">
        <w:rPr>
          <w:rFonts w:ascii="Garamond" w:hAnsi="Garamond"/>
          <w:b w:val="0"/>
          <w:szCs w:val="24"/>
        </w:rPr>
        <w:t xml:space="preserve"> down to 1.</w:t>
      </w:r>
      <w:r>
        <w:rPr>
          <w:rFonts w:ascii="Garamond" w:hAnsi="Garamond"/>
          <w:b w:val="0"/>
          <w:szCs w:val="24"/>
        </w:rPr>
        <w:t>8% from 2.2% at the start of the year.  That drop prov</w:t>
      </w:r>
      <w:r w:rsidR="00073CDB">
        <w:rPr>
          <w:rFonts w:ascii="Garamond" w:hAnsi="Garamond"/>
          <w:b w:val="0"/>
          <w:szCs w:val="24"/>
        </w:rPr>
        <w:t>ed a major boost to the vast majority of bond funds.</w:t>
      </w:r>
      <w:r>
        <w:rPr>
          <w:rFonts w:ascii="Garamond" w:hAnsi="Garamond"/>
          <w:b w:val="0"/>
          <w:szCs w:val="24"/>
        </w:rPr>
        <w:t xml:space="preserve"> High yield bond funds, which had been under tremendous pressure last year, stabilized and rose over </w:t>
      </w:r>
      <w:r w:rsidR="00B32764">
        <w:rPr>
          <w:rFonts w:ascii="Garamond" w:hAnsi="Garamond"/>
          <w:b w:val="0"/>
          <w:szCs w:val="24"/>
        </w:rPr>
        <w:t>+</w:t>
      </w:r>
      <w:r>
        <w:rPr>
          <w:rFonts w:ascii="Garamond" w:hAnsi="Garamond"/>
          <w:b w:val="0"/>
          <w:szCs w:val="24"/>
        </w:rPr>
        <w:t>2% for the quarter.</w:t>
      </w:r>
    </w:p>
    <w:p w:rsidR="00883F44" w:rsidRDefault="00883F44" w:rsidP="0083594B">
      <w:pPr>
        <w:pStyle w:val="Title"/>
        <w:jc w:val="left"/>
        <w:rPr>
          <w:rFonts w:ascii="Garamond" w:hAnsi="Garamond"/>
          <w:b w:val="0"/>
          <w:szCs w:val="24"/>
        </w:rPr>
      </w:pPr>
    </w:p>
    <w:p w:rsidR="00883F44" w:rsidRPr="004269F9" w:rsidRDefault="00883F44" w:rsidP="0083594B">
      <w:pPr>
        <w:pStyle w:val="Title"/>
        <w:jc w:val="left"/>
        <w:rPr>
          <w:rFonts w:ascii="Garamond" w:hAnsi="Garamond"/>
          <w:b w:val="0"/>
          <w:szCs w:val="24"/>
        </w:rPr>
      </w:pPr>
      <w:r>
        <w:rPr>
          <w:rFonts w:ascii="Garamond" w:hAnsi="Garamond"/>
          <w:b w:val="0"/>
          <w:szCs w:val="24"/>
        </w:rPr>
        <w:t xml:space="preserve">Overseas </w:t>
      </w:r>
      <w:r w:rsidR="00FD07F8">
        <w:rPr>
          <w:rFonts w:ascii="Garamond" w:hAnsi="Garamond"/>
          <w:b w:val="0"/>
          <w:szCs w:val="24"/>
        </w:rPr>
        <w:t xml:space="preserve">stock </w:t>
      </w:r>
      <w:r>
        <w:rPr>
          <w:rFonts w:ascii="Garamond" w:hAnsi="Garamond"/>
          <w:b w:val="0"/>
          <w:szCs w:val="24"/>
        </w:rPr>
        <w:t xml:space="preserve">markets lagged the U.S. for the most part.  </w:t>
      </w:r>
      <w:r w:rsidR="00FD07F8">
        <w:rPr>
          <w:rFonts w:ascii="Garamond" w:hAnsi="Garamond"/>
          <w:b w:val="0"/>
          <w:szCs w:val="24"/>
        </w:rPr>
        <w:t xml:space="preserve">Most regions had negative returns with the exception of Latin America which had a </w:t>
      </w:r>
      <w:r w:rsidR="00F137F6">
        <w:rPr>
          <w:rFonts w:ascii="Garamond" w:hAnsi="Garamond"/>
          <w:b w:val="0"/>
          <w:szCs w:val="24"/>
        </w:rPr>
        <w:t>positive</w:t>
      </w:r>
      <w:r w:rsidR="00FD07F8">
        <w:rPr>
          <w:rFonts w:ascii="Garamond" w:hAnsi="Garamond"/>
          <w:b w:val="0"/>
          <w:szCs w:val="24"/>
        </w:rPr>
        <w:t xml:space="preserve"> quarter but remains neg</w:t>
      </w:r>
      <w:r w:rsidR="00F137F6">
        <w:rPr>
          <w:rFonts w:ascii="Garamond" w:hAnsi="Garamond"/>
          <w:b w:val="0"/>
          <w:szCs w:val="24"/>
        </w:rPr>
        <w:t>ative over the past 12 months.  World bond funds and emerging bond funds were generally in positive territory.</w:t>
      </w:r>
    </w:p>
    <w:p w:rsidR="0083594B" w:rsidRPr="00F137F6" w:rsidRDefault="009862EF" w:rsidP="0011636D">
      <w:pPr>
        <w:shd w:val="clear" w:color="auto" w:fill="FFFFFF"/>
        <w:spacing w:before="100" w:beforeAutospacing="1" w:after="100" w:afterAutospacing="1" w:line="240" w:lineRule="auto"/>
        <w:rPr>
          <w:rFonts w:ascii="Garamond" w:eastAsia="Times New Roman" w:hAnsi="Garamond" w:cs="Times New Roman"/>
          <w:sz w:val="24"/>
          <w:szCs w:val="24"/>
        </w:rPr>
      </w:pPr>
      <w:r w:rsidRPr="00F137F6">
        <w:rPr>
          <w:rFonts w:ascii="Garamond" w:eastAsia="Times New Roman" w:hAnsi="Garamond" w:cs="Times New Roman"/>
          <w:sz w:val="24"/>
          <w:szCs w:val="24"/>
        </w:rPr>
        <w:t>The following s</w:t>
      </w:r>
      <w:r w:rsidR="0005176F" w:rsidRPr="00F137F6">
        <w:rPr>
          <w:rFonts w:ascii="Garamond" w:eastAsia="Times New Roman" w:hAnsi="Garamond" w:cs="Times New Roman"/>
          <w:sz w:val="24"/>
          <w:szCs w:val="24"/>
        </w:rPr>
        <w:t>hows details of</w:t>
      </w:r>
      <w:r w:rsidR="005271D8" w:rsidRPr="00F137F6">
        <w:rPr>
          <w:rFonts w:ascii="Garamond" w:eastAsia="Times New Roman" w:hAnsi="Garamond" w:cs="Times New Roman"/>
          <w:sz w:val="24"/>
          <w:szCs w:val="24"/>
        </w:rPr>
        <w:t xml:space="preserve"> the major domestic indices</w:t>
      </w:r>
      <w:r w:rsidRPr="00F137F6">
        <w:rPr>
          <w:rFonts w:ascii="Garamond" w:eastAsia="Times New Roman" w:hAnsi="Garamond" w:cs="Times New Roman"/>
          <w:sz w:val="24"/>
          <w:szCs w:val="24"/>
        </w:rPr>
        <w:t>:</w:t>
      </w:r>
    </w:p>
    <w:tbl>
      <w:tblPr>
        <w:tblStyle w:val="TableGrid"/>
        <w:tblW w:w="9540" w:type="dxa"/>
        <w:tblInd w:w="85" w:type="dxa"/>
        <w:tblLayout w:type="fixed"/>
        <w:tblLook w:val="04A0" w:firstRow="1" w:lastRow="0" w:firstColumn="1" w:lastColumn="0" w:noHBand="0" w:noVBand="1"/>
      </w:tblPr>
      <w:tblGrid>
        <w:gridCol w:w="2723"/>
        <w:gridCol w:w="1507"/>
        <w:gridCol w:w="1620"/>
        <w:gridCol w:w="1890"/>
        <w:gridCol w:w="1800"/>
      </w:tblGrid>
      <w:tr w:rsidR="009862EF" w:rsidRPr="0083594B" w:rsidTr="00A17DCF">
        <w:tc>
          <w:tcPr>
            <w:tcW w:w="2723" w:type="dxa"/>
          </w:tcPr>
          <w:p w:rsidR="009862EF" w:rsidRPr="00A35EEB" w:rsidRDefault="009862EF" w:rsidP="00BC7735">
            <w:pPr>
              <w:rPr>
                <w:rFonts w:ascii="Garamond" w:hAnsi="Garamond"/>
              </w:rPr>
            </w:pPr>
          </w:p>
        </w:tc>
        <w:tc>
          <w:tcPr>
            <w:tcW w:w="1507" w:type="dxa"/>
          </w:tcPr>
          <w:p w:rsidR="009862EF" w:rsidRPr="00A35EEB" w:rsidRDefault="009862EF" w:rsidP="00BC7735">
            <w:pPr>
              <w:jc w:val="center"/>
              <w:rPr>
                <w:rFonts w:ascii="Garamond" w:hAnsi="Garamond"/>
                <w:b/>
              </w:rPr>
            </w:pPr>
            <w:r w:rsidRPr="00A35EEB">
              <w:rPr>
                <w:rFonts w:ascii="Garamond" w:hAnsi="Garamond"/>
                <w:b/>
                <w:u w:val="single"/>
              </w:rPr>
              <w:t>QUARTER</w:t>
            </w:r>
            <w:r w:rsidR="006B66D6">
              <w:rPr>
                <w:rFonts w:ascii="Garamond" w:hAnsi="Garamond"/>
                <w:b/>
              </w:rPr>
              <w:t xml:space="preserve"> Ending 3</w:t>
            </w:r>
            <w:r w:rsidR="002A1C17">
              <w:rPr>
                <w:rFonts w:ascii="Garamond" w:hAnsi="Garamond"/>
                <w:b/>
              </w:rPr>
              <w:t>/31</w:t>
            </w:r>
            <w:r w:rsidR="006B66D6">
              <w:rPr>
                <w:rFonts w:ascii="Garamond" w:hAnsi="Garamond"/>
                <w:b/>
              </w:rPr>
              <w:t>/2016</w:t>
            </w:r>
          </w:p>
        </w:tc>
        <w:tc>
          <w:tcPr>
            <w:tcW w:w="1620" w:type="dxa"/>
          </w:tcPr>
          <w:p w:rsidR="009862EF" w:rsidRPr="00A35EEB" w:rsidRDefault="009862EF" w:rsidP="00BC7735">
            <w:pPr>
              <w:jc w:val="center"/>
              <w:rPr>
                <w:rFonts w:ascii="Garamond" w:hAnsi="Garamond"/>
                <w:b/>
              </w:rPr>
            </w:pPr>
            <w:r w:rsidRPr="00A35EEB">
              <w:rPr>
                <w:rFonts w:ascii="Garamond" w:hAnsi="Garamond"/>
                <w:b/>
                <w:u w:val="single"/>
              </w:rPr>
              <w:t xml:space="preserve">12 MONTHS </w:t>
            </w:r>
            <w:r w:rsidRPr="00A35EEB">
              <w:rPr>
                <w:rFonts w:ascii="Garamond" w:hAnsi="Garamond"/>
                <w:b/>
              </w:rPr>
              <w:t>Ending</w:t>
            </w:r>
          </w:p>
          <w:p w:rsidR="009862EF" w:rsidRPr="00A35EEB" w:rsidRDefault="00554EE3" w:rsidP="001B4061">
            <w:pPr>
              <w:jc w:val="center"/>
              <w:rPr>
                <w:rFonts w:ascii="Garamond" w:hAnsi="Garamond"/>
              </w:rPr>
            </w:pPr>
            <w:r w:rsidRPr="00A35EEB">
              <w:rPr>
                <w:rFonts w:ascii="Garamond" w:hAnsi="Garamond"/>
                <w:b/>
              </w:rPr>
              <w:t xml:space="preserve"> </w:t>
            </w:r>
            <w:r w:rsidR="006B66D6">
              <w:rPr>
                <w:rFonts w:ascii="Garamond" w:hAnsi="Garamond"/>
                <w:b/>
              </w:rPr>
              <w:t>3</w:t>
            </w:r>
            <w:r w:rsidR="002A1C17">
              <w:rPr>
                <w:rFonts w:ascii="Garamond" w:hAnsi="Garamond"/>
                <w:b/>
              </w:rPr>
              <w:t>/31</w:t>
            </w:r>
            <w:r w:rsidR="006B66D6">
              <w:rPr>
                <w:rFonts w:ascii="Garamond" w:hAnsi="Garamond"/>
                <w:b/>
              </w:rPr>
              <w:t>/2016</w:t>
            </w:r>
          </w:p>
        </w:tc>
        <w:tc>
          <w:tcPr>
            <w:tcW w:w="1890" w:type="dxa"/>
          </w:tcPr>
          <w:p w:rsidR="009862EF" w:rsidRPr="00A35EEB" w:rsidRDefault="009862EF" w:rsidP="00BC7735">
            <w:pPr>
              <w:jc w:val="center"/>
              <w:rPr>
                <w:rFonts w:ascii="Garamond" w:hAnsi="Garamond"/>
                <w:b/>
              </w:rPr>
            </w:pPr>
            <w:r w:rsidRPr="00A35EEB">
              <w:rPr>
                <w:rFonts w:ascii="Garamond" w:hAnsi="Garamond"/>
                <w:b/>
                <w:u w:val="single"/>
              </w:rPr>
              <w:t>THREE YEARS</w:t>
            </w:r>
            <w:r w:rsidRPr="00A35EEB">
              <w:rPr>
                <w:rFonts w:ascii="Garamond" w:hAnsi="Garamond"/>
                <w:b/>
              </w:rPr>
              <w:t xml:space="preserve"> Ending</w:t>
            </w:r>
          </w:p>
          <w:p w:rsidR="009862EF" w:rsidRPr="00A35EEB" w:rsidRDefault="006B66D6" w:rsidP="00BC7735">
            <w:pPr>
              <w:jc w:val="center"/>
              <w:rPr>
                <w:rFonts w:ascii="Garamond" w:hAnsi="Garamond"/>
                <w:b/>
              </w:rPr>
            </w:pPr>
            <w:r>
              <w:rPr>
                <w:rFonts w:ascii="Garamond" w:hAnsi="Garamond"/>
                <w:b/>
              </w:rPr>
              <w:t xml:space="preserve"> 3</w:t>
            </w:r>
            <w:r w:rsidR="002A1C17">
              <w:rPr>
                <w:rFonts w:ascii="Garamond" w:hAnsi="Garamond"/>
                <w:b/>
              </w:rPr>
              <w:t>/31</w:t>
            </w:r>
            <w:r>
              <w:rPr>
                <w:rFonts w:ascii="Garamond" w:hAnsi="Garamond"/>
                <w:b/>
              </w:rPr>
              <w:t>/2016</w:t>
            </w:r>
          </w:p>
        </w:tc>
        <w:tc>
          <w:tcPr>
            <w:tcW w:w="1800" w:type="dxa"/>
          </w:tcPr>
          <w:p w:rsidR="009862EF" w:rsidRPr="00A35EEB" w:rsidRDefault="009862EF" w:rsidP="00BC7735">
            <w:pPr>
              <w:jc w:val="center"/>
              <w:rPr>
                <w:rFonts w:ascii="Garamond" w:hAnsi="Garamond"/>
                <w:b/>
              </w:rPr>
            </w:pPr>
            <w:r w:rsidRPr="00A35EEB">
              <w:rPr>
                <w:rFonts w:ascii="Garamond" w:hAnsi="Garamond"/>
                <w:b/>
                <w:u w:val="single"/>
              </w:rPr>
              <w:t>TEN YEARS</w:t>
            </w:r>
            <w:r w:rsidRPr="00A35EEB">
              <w:rPr>
                <w:rFonts w:ascii="Garamond" w:hAnsi="Garamond"/>
                <w:b/>
              </w:rPr>
              <w:t xml:space="preserve"> Ending </w:t>
            </w:r>
          </w:p>
          <w:p w:rsidR="009862EF" w:rsidRPr="00A35EEB" w:rsidRDefault="006B66D6" w:rsidP="00BC7735">
            <w:pPr>
              <w:jc w:val="center"/>
              <w:rPr>
                <w:rFonts w:ascii="Garamond" w:hAnsi="Garamond"/>
                <w:b/>
              </w:rPr>
            </w:pPr>
            <w:r>
              <w:rPr>
                <w:rFonts w:ascii="Garamond" w:hAnsi="Garamond"/>
                <w:b/>
              </w:rPr>
              <w:t>3</w:t>
            </w:r>
            <w:r w:rsidR="002A1C17">
              <w:rPr>
                <w:rFonts w:ascii="Garamond" w:hAnsi="Garamond"/>
                <w:b/>
              </w:rPr>
              <w:t>/31</w:t>
            </w:r>
            <w:r>
              <w:rPr>
                <w:rFonts w:ascii="Garamond" w:hAnsi="Garamond"/>
                <w:b/>
              </w:rPr>
              <w:t>/2016</w:t>
            </w:r>
          </w:p>
        </w:tc>
      </w:tr>
      <w:tr w:rsidR="009862EF" w:rsidRPr="0083594B" w:rsidTr="00A17DCF">
        <w:tc>
          <w:tcPr>
            <w:tcW w:w="2723" w:type="dxa"/>
          </w:tcPr>
          <w:p w:rsidR="009862EF" w:rsidRPr="00A35EEB" w:rsidRDefault="009862EF" w:rsidP="00BC7735">
            <w:pPr>
              <w:pStyle w:val="Heading2"/>
              <w:outlineLvl w:val="1"/>
              <w:rPr>
                <w:rFonts w:ascii="Garamond" w:hAnsi="Garamond"/>
                <w:sz w:val="22"/>
                <w:szCs w:val="22"/>
              </w:rPr>
            </w:pPr>
            <w:r w:rsidRPr="00A35EEB">
              <w:rPr>
                <w:rFonts w:ascii="Garamond" w:hAnsi="Garamond"/>
                <w:b/>
                <w:sz w:val="22"/>
                <w:szCs w:val="22"/>
                <w:u w:val="none"/>
              </w:rPr>
              <w:t>DJIA</w:t>
            </w:r>
          </w:p>
        </w:tc>
        <w:tc>
          <w:tcPr>
            <w:tcW w:w="1507" w:type="dxa"/>
          </w:tcPr>
          <w:p w:rsidR="009862EF" w:rsidRPr="00A35EEB" w:rsidRDefault="006B66D6" w:rsidP="00BC7735">
            <w:pPr>
              <w:jc w:val="center"/>
              <w:rPr>
                <w:rFonts w:ascii="Garamond" w:hAnsi="Garamond"/>
              </w:rPr>
            </w:pPr>
            <w:r>
              <w:rPr>
                <w:rFonts w:ascii="Garamond" w:hAnsi="Garamond"/>
              </w:rPr>
              <w:t>2.2</w:t>
            </w:r>
            <w:r w:rsidR="009862EF" w:rsidRPr="00A35EEB">
              <w:rPr>
                <w:rFonts w:ascii="Garamond" w:hAnsi="Garamond"/>
              </w:rPr>
              <w:t>%</w:t>
            </w:r>
          </w:p>
        </w:tc>
        <w:tc>
          <w:tcPr>
            <w:tcW w:w="1620" w:type="dxa"/>
          </w:tcPr>
          <w:p w:rsidR="009862EF" w:rsidRPr="00A35EEB" w:rsidRDefault="006B66D6" w:rsidP="006B66D6">
            <w:pPr>
              <w:jc w:val="center"/>
              <w:rPr>
                <w:rFonts w:ascii="Garamond" w:hAnsi="Garamond"/>
              </w:rPr>
            </w:pPr>
            <w:r>
              <w:rPr>
                <w:rFonts w:ascii="Garamond" w:hAnsi="Garamond"/>
              </w:rPr>
              <w:t>2.1%</w:t>
            </w:r>
          </w:p>
        </w:tc>
        <w:tc>
          <w:tcPr>
            <w:tcW w:w="1890" w:type="dxa"/>
          </w:tcPr>
          <w:p w:rsidR="009862EF" w:rsidRPr="00A35EEB" w:rsidRDefault="006B66D6" w:rsidP="00BC7735">
            <w:pPr>
              <w:jc w:val="center"/>
              <w:rPr>
                <w:rFonts w:ascii="Garamond" w:hAnsi="Garamond"/>
              </w:rPr>
            </w:pPr>
            <w:r>
              <w:rPr>
                <w:rFonts w:ascii="Garamond" w:hAnsi="Garamond"/>
              </w:rPr>
              <w:t>9.3</w:t>
            </w:r>
            <w:r w:rsidR="009862EF" w:rsidRPr="00A35EEB">
              <w:rPr>
                <w:rFonts w:ascii="Garamond" w:hAnsi="Garamond"/>
              </w:rPr>
              <w:t>%</w:t>
            </w:r>
          </w:p>
        </w:tc>
        <w:tc>
          <w:tcPr>
            <w:tcW w:w="1800" w:type="dxa"/>
          </w:tcPr>
          <w:p w:rsidR="009862EF" w:rsidRPr="00A35EEB" w:rsidRDefault="006B66D6" w:rsidP="00BC7735">
            <w:pPr>
              <w:jc w:val="center"/>
              <w:rPr>
                <w:rFonts w:ascii="Garamond" w:hAnsi="Garamond"/>
              </w:rPr>
            </w:pPr>
            <w:r>
              <w:rPr>
                <w:rFonts w:ascii="Garamond" w:hAnsi="Garamond"/>
              </w:rPr>
              <w:t>7.5</w:t>
            </w:r>
            <w:r w:rsidR="009862EF" w:rsidRPr="00A35EEB">
              <w:rPr>
                <w:rFonts w:ascii="Garamond" w:hAnsi="Garamond"/>
              </w:rPr>
              <w:t>%</w:t>
            </w:r>
          </w:p>
        </w:tc>
      </w:tr>
      <w:tr w:rsidR="009862EF" w:rsidRPr="0083594B" w:rsidTr="00A17DCF">
        <w:tc>
          <w:tcPr>
            <w:tcW w:w="2723" w:type="dxa"/>
          </w:tcPr>
          <w:p w:rsidR="009862EF" w:rsidRPr="00A35EEB" w:rsidRDefault="009862EF" w:rsidP="00BC7735">
            <w:pPr>
              <w:rPr>
                <w:rFonts w:ascii="Garamond" w:hAnsi="Garamond"/>
                <w:b/>
              </w:rPr>
            </w:pPr>
            <w:r w:rsidRPr="00A35EEB">
              <w:rPr>
                <w:rFonts w:ascii="Garamond" w:hAnsi="Garamond"/>
                <w:b/>
              </w:rPr>
              <w:t>S &amp; P 500</w:t>
            </w:r>
          </w:p>
        </w:tc>
        <w:tc>
          <w:tcPr>
            <w:tcW w:w="1507" w:type="dxa"/>
          </w:tcPr>
          <w:p w:rsidR="009862EF" w:rsidRPr="00A35EEB" w:rsidRDefault="006B66D6" w:rsidP="00BC7735">
            <w:pPr>
              <w:jc w:val="center"/>
              <w:rPr>
                <w:rFonts w:ascii="Garamond" w:hAnsi="Garamond"/>
              </w:rPr>
            </w:pPr>
            <w:r>
              <w:rPr>
                <w:rFonts w:ascii="Garamond" w:hAnsi="Garamond"/>
              </w:rPr>
              <w:t>1.4</w:t>
            </w:r>
            <w:r w:rsidR="009862EF" w:rsidRPr="00A35EEB">
              <w:rPr>
                <w:rFonts w:ascii="Garamond" w:hAnsi="Garamond"/>
              </w:rPr>
              <w:t>%</w:t>
            </w:r>
          </w:p>
        </w:tc>
        <w:tc>
          <w:tcPr>
            <w:tcW w:w="1620" w:type="dxa"/>
          </w:tcPr>
          <w:p w:rsidR="009862EF" w:rsidRPr="00A35EEB" w:rsidRDefault="006B66D6" w:rsidP="00BC7735">
            <w:pPr>
              <w:jc w:val="center"/>
              <w:rPr>
                <w:rFonts w:ascii="Garamond" w:hAnsi="Garamond"/>
              </w:rPr>
            </w:pPr>
            <w:r>
              <w:rPr>
                <w:rFonts w:ascii="Garamond" w:hAnsi="Garamond"/>
              </w:rPr>
              <w:t>1.8</w:t>
            </w:r>
            <w:r w:rsidR="009862EF" w:rsidRPr="00A35EEB">
              <w:rPr>
                <w:rFonts w:ascii="Garamond" w:hAnsi="Garamond"/>
              </w:rPr>
              <w:t>%</w:t>
            </w:r>
          </w:p>
        </w:tc>
        <w:tc>
          <w:tcPr>
            <w:tcW w:w="1890" w:type="dxa"/>
          </w:tcPr>
          <w:p w:rsidR="009862EF" w:rsidRPr="00A35EEB" w:rsidRDefault="006B66D6" w:rsidP="00BC7735">
            <w:pPr>
              <w:jc w:val="center"/>
              <w:rPr>
                <w:rFonts w:ascii="Garamond" w:hAnsi="Garamond"/>
              </w:rPr>
            </w:pPr>
            <w:r>
              <w:rPr>
                <w:rFonts w:ascii="Garamond" w:hAnsi="Garamond"/>
              </w:rPr>
              <w:t>11.8</w:t>
            </w:r>
            <w:r w:rsidR="009862EF" w:rsidRPr="00A35EEB">
              <w:rPr>
                <w:rFonts w:ascii="Garamond" w:hAnsi="Garamond"/>
              </w:rPr>
              <w:t>%</w:t>
            </w:r>
          </w:p>
        </w:tc>
        <w:tc>
          <w:tcPr>
            <w:tcW w:w="1800" w:type="dxa"/>
          </w:tcPr>
          <w:p w:rsidR="009862EF" w:rsidRPr="00A35EEB" w:rsidRDefault="006B66D6" w:rsidP="00BC7735">
            <w:pPr>
              <w:jc w:val="center"/>
              <w:rPr>
                <w:rFonts w:ascii="Garamond" w:hAnsi="Garamond"/>
              </w:rPr>
            </w:pPr>
            <w:r>
              <w:rPr>
                <w:rFonts w:ascii="Garamond" w:hAnsi="Garamond"/>
              </w:rPr>
              <w:t>7.0</w:t>
            </w:r>
            <w:r w:rsidR="009862EF" w:rsidRPr="00A35EEB">
              <w:rPr>
                <w:rFonts w:ascii="Garamond" w:hAnsi="Garamond"/>
              </w:rPr>
              <w:t>%</w:t>
            </w:r>
          </w:p>
        </w:tc>
      </w:tr>
      <w:tr w:rsidR="009862EF" w:rsidRPr="0083594B" w:rsidTr="00A17DCF">
        <w:tc>
          <w:tcPr>
            <w:tcW w:w="2723" w:type="dxa"/>
          </w:tcPr>
          <w:p w:rsidR="009862EF" w:rsidRPr="00A35EEB" w:rsidRDefault="009862EF" w:rsidP="00BC7735">
            <w:pPr>
              <w:rPr>
                <w:rFonts w:ascii="Garamond" w:hAnsi="Garamond"/>
                <w:b/>
              </w:rPr>
            </w:pPr>
            <w:r w:rsidRPr="00A35EEB">
              <w:rPr>
                <w:rFonts w:ascii="Garamond" w:hAnsi="Garamond"/>
                <w:b/>
              </w:rPr>
              <w:t>NASDAQ Composite</w:t>
            </w:r>
          </w:p>
        </w:tc>
        <w:tc>
          <w:tcPr>
            <w:tcW w:w="1507" w:type="dxa"/>
          </w:tcPr>
          <w:p w:rsidR="009862EF" w:rsidRPr="00A35EEB" w:rsidRDefault="006B66D6" w:rsidP="00BC7735">
            <w:pPr>
              <w:jc w:val="center"/>
              <w:rPr>
                <w:rFonts w:ascii="Garamond" w:hAnsi="Garamond"/>
              </w:rPr>
            </w:pPr>
            <w:r>
              <w:rPr>
                <w:rFonts w:ascii="Garamond" w:hAnsi="Garamond"/>
              </w:rPr>
              <w:t>-2.4</w:t>
            </w:r>
            <w:r w:rsidR="009862EF" w:rsidRPr="00A35EEB">
              <w:rPr>
                <w:rFonts w:ascii="Garamond" w:hAnsi="Garamond"/>
              </w:rPr>
              <w:t>%</w:t>
            </w:r>
          </w:p>
        </w:tc>
        <w:tc>
          <w:tcPr>
            <w:tcW w:w="1620" w:type="dxa"/>
          </w:tcPr>
          <w:p w:rsidR="009862EF" w:rsidRPr="00A35EEB" w:rsidRDefault="006B66D6" w:rsidP="00BC7735">
            <w:pPr>
              <w:jc w:val="center"/>
              <w:rPr>
                <w:rFonts w:ascii="Garamond" w:hAnsi="Garamond"/>
              </w:rPr>
            </w:pPr>
            <w:r>
              <w:rPr>
                <w:rFonts w:ascii="Garamond" w:hAnsi="Garamond"/>
              </w:rPr>
              <w:t>0.6</w:t>
            </w:r>
            <w:r w:rsidR="009862EF" w:rsidRPr="00A35EEB">
              <w:rPr>
                <w:rFonts w:ascii="Garamond" w:hAnsi="Garamond"/>
              </w:rPr>
              <w:t>%</w:t>
            </w:r>
          </w:p>
        </w:tc>
        <w:tc>
          <w:tcPr>
            <w:tcW w:w="1890" w:type="dxa"/>
          </w:tcPr>
          <w:p w:rsidR="009862EF" w:rsidRPr="00A35EEB" w:rsidRDefault="006B66D6" w:rsidP="00BC7735">
            <w:pPr>
              <w:jc w:val="center"/>
              <w:rPr>
                <w:rFonts w:ascii="Garamond" w:hAnsi="Garamond"/>
              </w:rPr>
            </w:pPr>
            <w:r>
              <w:rPr>
                <w:rFonts w:ascii="Garamond" w:hAnsi="Garamond"/>
              </w:rPr>
              <w:t>15.6</w:t>
            </w:r>
            <w:r w:rsidR="009862EF" w:rsidRPr="00A35EEB">
              <w:rPr>
                <w:rFonts w:ascii="Garamond" w:hAnsi="Garamond"/>
              </w:rPr>
              <w:t>%</w:t>
            </w:r>
          </w:p>
        </w:tc>
        <w:tc>
          <w:tcPr>
            <w:tcW w:w="1800" w:type="dxa"/>
          </w:tcPr>
          <w:p w:rsidR="009862EF" w:rsidRPr="00A35EEB" w:rsidRDefault="006B66D6" w:rsidP="00092DEF">
            <w:pPr>
              <w:jc w:val="center"/>
              <w:rPr>
                <w:rFonts w:ascii="Garamond" w:hAnsi="Garamond"/>
              </w:rPr>
            </w:pPr>
            <w:r>
              <w:rPr>
                <w:rFonts w:ascii="Garamond" w:hAnsi="Garamond"/>
              </w:rPr>
              <w:t>8.7</w:t>
            </w:r>
            <w:r w:rsidR="009862EF" w:rsidRPr="00A35EEB">
              <w:rPr>
                <w:rFonts w:ascii="Garamond" w:hAnsi="Garamond"/>
              </w:rPr>
              <w:t>%</w:t>
            </w:r>
          </w:p>
        </w:tc>
      </w:tr>
      <w:tr w:rsidR="009862EF" w:rsidRPr="0083594B" w:rsidTr="00A17DCF">
        <w:tc>
          <w:tcPr>
            <w:tcW w:w="2723" w:type="dxa"/>
          </w:tcPr>
          <w:p w:rsidR="009862EF" w:rsidRPr="00A35EEB" w:rsidRDefault="009862EF" w:rsidP="001B4061">
            <w:pPr>
              <w:rPr>
                <w:rFonts w:ascii="Garamond" w:hAnsi="Garamond"/>
                <w:b/>
              </w:rPr>
            </w:pPr>
            <w:r w:rsidRPr="00A35EEB">
              <w:rPr>
                <w:rFonts w:ascii="Garamond" w:hAnsi="Garamond"/>
                <w:b/>
              </w:rPr>
              <w:t>Barclays Cap. Agg. Bond</w:t>
            </w:r>
          </w:p>
        </w:tc>
        <w:tc>
          <w:tcPr>
            <w:tcW w:w="1507" w:type="dxa"/>
          </w:tcPr>
          <w:p w:rsidR="009862EF" w:rsidRPr="00A35EEB" w:rsidRDefault="006B66D6" w:rsidP="000D0A9E">
            <w:pPr>
              <w:jc w:val="center"/>
              <w:rPr>
                <w:rFonts w:ascii="Garamond" w:hAnsi="Garamond"/>
              </w:rPr>
            </w:pPr>
            <w:r>
              <w:rPr>
                <w:rFonts w:ascii="Garamond" w:hAnsi="Garamond"/>
              </w:rPr>
              <w:t>3.0</w:t>
            </w:r>
            <w:r w:rsidR="00860991" w:rsidRPr="00A35EEB">
              <w:rPr>
                <w:rFonts w:ascii="Garamond" w:hAnsi="Garamond"/>
              </w:rPr>
              <w:t>%</w:t>
            </w:r>
          </w:p>
        </w:tc>
        <w:tc>
          <w:tcPr>
            <w:tcW w:w="1620" w:type="dxa"/>
          </w:tcPr>
          <w:p w:rsidR="009862EF" w:rsidRPr="00A35EEB" w:rsidRDefault="006B66D6" w:rsidP="00BC7735">
            <w:pPr>
              <w:jc w:val="center"/>
              <w:rPr>
                <w:rFonts w:ascii="Garamond" w:hAnsi="Garamond"/>
              </w:rPr>
            </w:pPr>
            <w:r>
              <w:rPr>
                <w:rFonts w:ascii="Garamond" w:hAnsi="Garamond"/>
              </w:rPr>
              <w:t>2.0</w:t>
            </w:r>
            <w:r w:rsidR="009862EF" w:rsidRPr="00A35EEB">
              <w:rPr>
                <w:rFonts w:ascii="Garamond" w:hAnsi="Garamond"/>
              </w:rPr>
              <w:t>%</w:t>
            </w:r>
          </w:p>
        </w:tc>
        <w:tc>
          <w:tcPr>
            <w:tcW w:w="1890" w:type="dxa"/>
          </w:tcPr>
          <w:p w:rsidR="009862EF" w:rsidRPr="00A35EEB" w:rsidRDefault="006B66D6" w:rsidP="00BC7735">
            <w:pPr>
              <w:jc w:val="center"/>
              <w:rPr>
                <w:rFonts w:ascii="Garamond" w:hAnsi="Garamond"/>
              </w:rPr>
            </w:pPr>
            <w:r>
              <w:rPr>
                <w:rFonts w:ascii="Garamond" w:hAnsi="Garamond"/>
              </w:rPr>
              <w:t>2.5</w:t>
            </w:r>
            <w:r w:rsidR="009862EF" w:rsidRPr="00A35EEB">
              <w:rPr>
                <w:rFonts w:ascii="Garamond" w:hAnsi="Garamond"/>
              </w:rPr>
              <w:t>%</w:t>
            </w:r>
          </w:p>
        </w:tc>
        <w:tc>
          <w:tcPr>
            <w:tcW w:w="1800" w:type="dxa"/>
          </w:tcPr>
          <w:p w:rsidR="009862EF" w:rsidRPr="00A35EEB" w:rsidRDefault="003C7463" w:rsidP="00DA65B8">
            <w:pPr>
              <w:jc w:val="center"/>
              <w:rPr>
                <w:rFonts w:ascii="Garamond" w:hAnsi="Garamond"/>
              </w:rPr>
            </w:pPr>
            <w:r w:rsidRPr="00A35EEB">
              <w:rPr>
                <w:rFonts w:ascii="Garamond" w:hAnsi="Garamond"/>
              </w:rPr>
              <w:t>4.</w:t>
            </w:r>
            <w:r w:rsidR="006B66D6">
              <w:rPr>
                <w:rFonts w:ascii="Garamond" w:hAnsi="Garamond"/>
              </w:rPr>
              <w:t>9</w:t>
            </w:r>
            <w:r w:rsidR="009862EF" w:rsidRPr="00A35EEB">
              <w:rPr>
                <w:rFonts w:ascii="Garamond" w:hAnsi="Garamond"/>
              </w:rPr>
              <w:t>%</w:t>
            </w:r>
          </w:p>
        </w:tc>
      </w:tr>
    </w:tbl>
    <w:p w:rsidR="00FF7EB0" w:rsidRDefault="00FF7EB0" w:rsidP="0011636D">
      <w:pPr>
        <w:shd w:val="clear" w:color="auto" w:fill="FFFFFF"/>
        <w:spacing w:before="100" w:beforeAutospacing="1" w:after="100" w:afterAutospacing="1" w:line="240" w:lineRule="auto"/>
        <w:rPr>
          <w:rFonts w:ascii="Arial" w:eastAsia="Times New Roman" w:hAnsi="Arial" w:cs="Arial"/>
          <w:color w:val="000000"/>
          <w:sz w:val="24"/>
          <w:szCs w:val="24"/>
        </w:rPr>
      </w:pPr>
    </w:p>
    <w:p w:rsidR="0083594B" w:rsidRPr="0083594B" w:rsidRDefault="0083594B" w:rsidP="00F137F6">
      <w:pPr>
        <w:rPr>
          <w:rFonts w:ascii="Arial" w:eastAsia="Times New Roman" w:hAnsi="Arial" w:cs="Arial"/>
          <w:color w:val="000000"/>
          <w:sz w:val="24"/>
          <w:szCs w:val="24"/>
        </w:rPr>
      </w:pPr>
    </w:p>
    <w:tbl>
      <w:tblPr>
        <w:tblStyle w:val="TableGrid1"/>
        <w:tblW w:w="9427" w:type="dxa"/>
        <w:tblInd w:w="198" w:type="dxa"/>
        <w:tblLayout w:type="fixed"/>
        <w:tblLook w:val="04A0" w:firstRow="1" w:lastRow="0" w:firstColumn="1" w:lastColumn="0" w:noHBand="0" w:noVBand="1"/>
      </w:tblPr>
      <w:tblGrid>
        <w:gridCol w:w="2610"/>
        <w:gridCol w:w="1507"/>
        <w:gridCol w:w="1620"/>
        <w:gridCol w:w="1890"/>
        <w:gridCol w:w="1800"/>
      </w:tblGrid>
      <w:tr w:rsidR="005C63FE" w:rsidRPr="00A35EEB" w:rsidTr="006B66D6">
        <w:trPr>
          <w:trHeight w:val="602"/>
        </w:trPr>
        <w:tc>
          <w:tcPr>
            <w:tcW w:w="2610" w:type="dxa"/>
          </w:tcPr>
          <w:p w:rsidR="005C63FE" w:rsidRPr="00A35EEB" w:rsidRDefault="005C63FE" w:rsidP="005C63FE">
            <w:pPr>
              <w:rPr>
                <w:rFonts w:ascii="Garamond" w:hAnsi="Garamond"/>
              </w:rPr>
            </w:pPr>
            <w:r w:rsidRPr="00A35EEB">
              <w:br w:type="page"/>
            </w:r>
          </w:p>
        </w:tc>
        <w:tc>
          <w:tcPr>
            <w:tcW w:w="1507" w:type="dxa"/>
          </w:tcPr>
          <w:p w:rsidR="005C63FE" w:rsidRPr="00A35EEB" w:rsidRDefault="005C63FE" w:rsidP="005C63FE">
            <w:pPr>
              <w:jc w:val="center"/>
              <w:rPr>
                <w:rFonts w:ascii="Garamond" w:hAnsi="Garamond"/>
                <w:b/>
              </w:rPr>
            </w:pPr>
            <w:r w:rsidRPr="00A35EEB">
              <w:rPr>
                <w:rFonts w:ascii="Garamond" w:hAnsi="Garamond"/>
                <w:b/>
                <w:u w:val="single"/>
              </w:rPr>
              <w:t>QUARTER</w:t>
            </w:r>
            <w:r w:rsidR="006B66D6">
              <w:rPr>
                <w:rFonts w:ascii="Garamond" w:hAnsi="Garamond"/>
                <w:b/>
              </w:rPr>
              <w:t xml:space="preserve"> Ending 3</w:t>
            </w:r>
            <w:r w:rsidR="002A1C17">
              <w:rPr>
                <w:rFonts w:ascii="Garamond" w:hAnsi="Garamond"/>
                <w:b/>
              </w:rPr>
              <w:t>/31</w:t>
            </w:r>
            <w:r w:rsidR="006B66D6">
              <w:rPr>
                <w:rFonts w:ascii="Garamond" w:hAnsi="Garamond"/>
                <w:b/>
              </w:rPr>
              <w:t>/2016</w:t>
            </w:r>
          </w:p>
        </w:tc>
        <w:tc>
          <w:tcPr>
            <w:tcW w:w="1620" w:type="dxa"/>
          </w:tcPr>
          <w:p w:rsidR="005C63FE" w:rsidRPr="00A35EEB" w:rsidRDefault="005C63FE" w:rsidP="005C63FE">
            <w:pPr>
              <w:jc w:val="center"/>
              <w:rPr>
                <w:rFonts w:ascii="Garamond" w:hAnsi="Garamond"/>
              </w:rPr>
            </w:pPr>
            <w:r w:rsidRPr="00A35EEB">
              <w:rPr>
                <w:rFonts w:ascii="Garamond" w:hAnsi="Garamond"/>
                <w:b/>
                <w:u w:val="single"/>
              </w:rPr>
              <w:t xml:space="preserve">12 MONTHS </w:t>
            </w:r>
            <w:r w:rsidR="006B66D6">
              <w:rPr>
                <w:rFonts w:ascii="Garamond" w:hAnsi="Garamond"/>
                <w:b/>
              </w:rPr>
              <w:t>Ending 3</w:t>
            </w:r>
            <w:r w:rsidR="002A1C17">
              <w:rPr>
                <w:rFonts w:ascii="Garamond" w:hAnsi="Garamond"/>
                <w:b/>
              </w:rPr>
              <w:t>/31</w:t>
            </w:r>
            <w:r w:rsidR="006B66D6">
              <w:rPr>
                <w:rFonts w:ascii="Garamond" w:hAnsi="Garamond"/>
                <w:b/>
              </w:rPr>
              <w:t>/2016</w:t>
            </w:r>
          </w:p>
        </w:tc>
        <w:tc>
          <w:tcPr>
            <w:tcW w:w="1890" w:type="dxa"/>
          </w:tcPr>
          <w:p w:rsidR="005C63FE" w:rsidRPr="00A35EEB" w:rsidRDefault="005C63FE" w:rsidP="005C63FE">
            <w:pPr>
              <w:jc w:val="center"/>
              <w:rPr>
                <w:rFonts w:ascii="Garamond" w:hAnsi="Garamond"/>
                <w:b/>
              </w:rPr>
            </w:pPr>
            <w:r w:rsidRPr="00A35EEB">
              <w:rPr>
                <w:rFonts w:ascii="Garamond" w:hAnsi="Garamond"/>
                <w:b/>
                <w:u w:val="single"/>
              </w:rPr>
              <w:t>THREE YEARS</w:t>
            </w:r>
            <w:r w:rsidRPr="00A35EEB">
              <w:rPr>
                <w:rFonts w:ascii="Garamond" w:hAnsi="Garamond"/>
                <w:b/>
              </w:rPr>
              <w:t xml:space="preserve"> Ending</w:t>
            </w:r>
          </w:p>
          <w:p w:rsidR="005C63FE" w:rsidRPr="00A35EEB" w:rsidRDefault="006B66D6" w:rsidP="005C63FE">
            <w:pPr>
              <w:jc w:val="center"/>
              <w:rPr>
                <w:rFonts w:ascii="Garamond" w:hAnsi="Garamond"/>
                <w:b/>
              </w:rPr>
            </w:pPr>
            <w:r>
              <w:rPr>
                <w:rFonts w:ascii="Garamond" w:hAnsi="Garamond"/>
                <w:b/>
              </w:rPr>
              <w:t>3</w:t>
            </w:r>
            <w:r w:rsidR="002A1C17">
              <w:rPr>
                <w:rFonts w:ascii="Garamond" w:hAnsi="Garamond"/>
                <w:b/>
              </w:rPr>
              <w:t>/31</w:t>
            </w:r>
            <w:r>
              <w:rPr>
                <w:rFonts w:ascii="Garamond" w:hAnsi="Garamond"/>
                <w:b/>
              </w:rPr>
              <w:t>/2016</w:t>
            </w:r>
          </w:p>
        </w:tc>
        <w:tc>
          <w:tcPr>
            <w:tcW w:w="1800" w:type="dxa"/>
          </w:tcPr>
          <w:p w:rsidR="005C63FE" w:rsidRPr="00A35EEB" w:rsidRDefault="005C63FE" w:rsidP="005C63FE">
            <w:pPr>
              <w:jc w:val="center"/>
              <w:rPr>
                <w:rFonts w:ascii="Garamond" w:hAnsi="Garamond"/>
                <w:b/>
              </w:rPr>
            </w:pPr>
            <w:r w:rsidRPr="00A35EEB">
              <w:rPr>
                <w:rFonts w:ascii="Garamond" w:hAnsi="Garamond"/>
                <w:b/>
                <w:u w:val="single"/>
              </w:rPr>
              <w:t>TEN YEARS</w:t>
            </w:r>
            <w:r w:rsidRPr="00A35EEB">
              <w:rPr>
                <w:rFonts w:ascii="Garamond" w:hAnsi="Garamond"/>
                <w:b/>
              </w:rPr>
              <w:t xml:space="preserve"> Ending </w:t>
            </w:r>
          </w:p>
          <w:p w:rsidR="005C63FE" w:rsidRPr="00A35EEB" w:rsidRDefault="006B66D6" w:rsidP="00C364D5">
            <w:pPr>
              <w:jc w:val="center"/>
              <w:rPr>
                <w:rFonts w:ascii="Garamond" w:hAnsi="Garamond"/>
                <w:b/>
              </w:rPr>
            </w:pPr>
            <w:r>
              <w:rPr>
                <w:rFonts w:ascii="Garamond" w:hAnsi="Garamond"/>
                <w:b/>
              </w:rPr>
              <w:t>3</w:t>
            </w:r>
            <w:r w:rsidR="001B4061" w:rsidRPr="00A35EEB">
              <w:rPr>
                <w:rFonts w:ascii="Garamond" w:hAnsi="Garamond"/>
                <w:b/>
              </w:rPr>
              <w:t>/3</w:t>
            </w:r>
            <w:r w:rsidR="002A1C17">
              <w:rPr>
                <w:rFonts w:ascii="Garamond" w:hAnsi="Garamond"/>
                <w:b/>
              </w:rPr>
              <w:t>1</w:t>
            </w:r>
            <w:r>
              <w:rPr>
                <w:rFonts w:ascii="Garamond" w:hAnsi="Garamond"/>
                <w:b/>
              </w:rPr>
              <w:t>/2016</w:t>
            </w: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Mutual Funds</w:t>
            </w:r>
          </w:p>
        </w:tc>
        <w:tc>
          <w:tcPr>
            <w:tcW w:w="1507" w:type="dxa"/>
          </w:tcPr>
          <w:p w:rsidR="005C63FE" w:rsidRPr="00A35EEB" w:rsidRDefault="005C63FE" w:rsidP="005C63FE">
            <w:pPr>
              <w:jc w:val="center"/>
              <w:rPr>
                <w:rFonts w:ascii="Garamond" w:hAnsi="Garamond"/>
              </w:rPr>
            </w:pPr>
          </w:p>
        </w:tc>
        <w:tc>
          <w:tcPr>
            <w:tcW w:w="1620" w:type="dxa"/>
          </w:tcPr>
          <w:p w:rsidR="005C63FE" w:rsidRPr="00A35EEB" w:rsidRDefault="005C63FE" w:rsidP="005C63FE">
            <w:pPr>
              <w:jc w:val="center"/>
              <w:rPr>
                <w:rFonts w:ascii="Garamond" w:hAnsi="Garamond"/>
              </w:rPr>
            </w:pPr>
          </w:p>
        </w:tc>
        <w:tc>
          <w:tcPr>
            <w:tcW w:w="1890" w:type="dxa"/>
          </w:tcPr>
          <w:p w:rsidR="005C63FE" w:rsidRPr="00A35EEB" w:rsidRDefault="005C63FE" w:rsidP="005C63FE">
            <w:pPr>
              <w:jc w:val="center"/>
              <w:rPr>
                <w:rFonts w:ascii="Garamond" w:hAnsi="Garamond"/>
              </w:rPr>
            </w:pPr>
          </w:p>
        </w:tc>
        <w:tc>
          <w:tcPr>
            <w:tcW w:w="1800" w:type="dxa"/>
          </w:tcPr>
          <w:p w:rsidR="005C63FE" w:rsidRPr="00A35EEB" w:rsidRDefault="005C63FE" w:rsidP="005C63FE">
            <w:pPr>
              <w:jc w:val="center"/>
              <w:rPr>
                <w:rFonts w:ascii="Garamond" w:hAnsi="Garamond"/>
              </w:rPr>
            </w:pP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Domestic</w:t>
            </w:r>
          </w:p>
        </w:tc>
        <w:tc>
          <w:tcPr>
            <w:tcW w:w="1507" w:type="dxa"/>
          </w:tcPr>
          <w:p w:rsidR="005C63FE" w:rsidRPr="00A35EEB" w:rsidRDefault="005C63FE" w:rsidP="005E1BE5">
            <w:pPr>
              <w:jc w:val="center"/>
              <w:rPr>
                <w:rFonts w:ascii="Garamond" w:hAnsi="Garamond"/>
              </w:rPr>
            </w:pPr>
          </w:p>
        </w:tc>
        <w:tc>
          <w:tcPr>
            <w:tcW w:w="1620" w:type="dxa"/>
          </w:tcPr>
          <w:p w:rsidR="005C63FE" w:rsidRPr="00A35EEB" w:rsidRDefault="005C63FE" w:rsidP="005C63FE">
            <w:pPr>
              <w:jc w:val="center"/>
              <w:rPr>
                <w:rFonts w:ascii="Garamond" w:hAnsi="Garamond"/>
              </w:rPr>
            </w:pPr>
          </w:p>
        </w:tc>
        <w:tc>
          <w:tcPr>
            <w:tcW w:w="1890" w:type="dxa"/>
          </w:tcPr>
          <w:p w:rsidR="005C63FE" w:rsidRPr="00A35EEB" w:rsidRDefault="005C63FE" w:rsidP="005C63FE">
            <w:pPr>
              <w:jc w:val="center"/>
              <w:rPr>
                <w:rFonts w:ascii="Garamond" w:hAnsi="Garamond"/>
              </w:rPr>
            </w:pPr>
          </w:p>
        </w:tc>
        <w:tc>
          <w:tcPr>
            <w:tcW w:w="1800" w:type="dxa"/>
          </w:tcPr>
          <w:p w:rsidR="005C63FE" w:rsidRPr="00A35EEB" w:rsidRDefault="005C63FE" w:rsidP="005C63FE">
            <w:pPr>
              <w:jc w:val="center"/>
              <w:rPr>
                <w:rFonts w:ascii="Garamond" w:hAnsi="Garamond"/>
              </w:rPr>
            </w:pP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Large Cap</w:t>
            </w:r>
          </w:p>
        </w:tc>
        <w:tc>
          <w:tcPr>
            <w:tcW w:w="1507" w:type="dxa"/>
          </w:tcPr>
          <w:p w:rsidR="005C63FE" w:rsidRPr="00A35EEB" w:rsidRDefault="005C63FE" w:rsidP="005C63FE">
            <w:pPr>
              <w:jc w:val="center"/>
              <w:rPr>
                <w:rFonts w:ascii="Garamond" w:hAnsi="Garamond"/>
              </w:rPr>
            </w:pPr>
          </w:p>
        </w:tc>
        <w:tc>
          <w:tcPr>
            <w:tcW w:w="1620" w:type="dxa"/>
          </w:tcPr>
          <w:p w:rsidR="005C63FE" w:rsidRPr="00A35EEB" w:rsidRDefault="005C63FE" w:rsidP="005C63FE">
            <w:pPr>
              <w:jc w:val="center"/>
              <w:rPr>
                <w:rFonts w:ascii="Garamond" w:hAnsi="Garamond"/>
              </w:rPr>
            </w:pPr>
          </w:p>
        </w:tc>
        <w:tc>
          <w:tcPr>
            <w:tcW w:w="1890" w:type="dxa"/>
          </w:tcPr>
          <w:p w:rsidR="005C63FE" w:rsidRPr="00A35EEB" w:rsidRDefault="005C63FE" w:rsidP="005C63FE">
            <w:pPr>
              <w:jc w:val="center"/>
              <w:rPr>
                <w:rFonts w:ascii="Garamond" w:hAnsi="Garamond"/>
              </w:rPr>
            </w:pPr>
          </w:p>
        </w:tc>
        <w:tc>
          <w:tcPr>
            <w:tcW w:w="1800" w:type="dxa"/>
          </w:tcPr>
          <w:p w:rsidR="005C63FE" w:rsidRPr="00A35EEB" w:rsidRDefault="005C63FE" w:rsidP="005C63FE">
            <w:pPr>
              <w:jc w:val="center"/>
              <w:rPr>
                <w:rFonts w:ascii="Garamond" w:hAnsi="Garamond"/>
              </w:rPr>
            </w:pP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Growth</w:t>
            </w:r>
          </w:p>
        </w:tc>
        <w:tc>
          <w:tcPr>
            <w:tcW w:w="1507" w:type="dxa"/>
          </w:tcPr>
          <w:p w:rsidR="005C63FE" w:rsidRPr="00A35EEB" w:rsidRDefault="00635E9E" w:rsidP="005C63FE">
            <w:pPr>
              <w:jc w:val="center"/>
              <w:rPr>
                <w:rFonts w:ascii="Garamond" w:hAnsi="Garamond"/>
              </w:rPr>
            </w:pPr>
            <w:r>
              <w:rPr>
                <w:rFonts w:ascii="Garamond" w:hAnsi="Garamond"/>
              </w:rPr>
              <w:t>-2.5</w:t>
            </w:r>
            <w:r w:rsidR="005C63FE" w:rsidRPr="00A35EEB">
              <w:rPr>
                <w:rFonts w:ascii="Garamond" w:hAnsi="Garamond"/>
              </w:rPr>
              <w:t>%</w:t>
            </w:r>
          </w:p>
        </w:tc>
        <w:tc>
          <w:tcPr>
            <w:tcW w:w="1620" w:type="dxa"/>
          </w:tcPr>
          <w:p w:rsidR="005C63FE" w:rsidRPr="00A35EEB" w:rsidRDefault="00635E9E" w:rsidP="005C63FE">
            <w:pPr>
              <w:jc w:val="center"/>
              <w:rPr>
                <w:rFonts w:ascii="Garamond" w:hAnsi="Garamond"/>
              </w:rPr>
            </w:pPr>
            <w:r>
              <w:rPr>
                <w:rFonts w:ascii="Garamond" w:hAnsi="Garamond"/>
              </w:rPr>
              <w:t>-2.4</w:t>
            </w:r>
            <w:r w:rsidR="005C63FE" w:rsidRPr="00A35EEB">
              <w:rPr>
                <w:rFonts w:ascii="Garamond" w:hAnsi="Garamond"/>
              </w:rPr>
              <w:t>%</w:t>
            </w:r>
          </w:p>
        </w:tc>
        <w:tc>
          <w:tcPr>
            <w:tcW w:w="1890" w:type="dxa"/>
          </w:tcPr>
          <w:p w:rsidR="005C63FE" w:rsidRPr="00A35EEB" w:rsidRDefault="00635E9E" w:rsidP="005C63FE">
            <w:pPr>
              <w:jc w:val="center"/>
              <w:rPr>
                <w:rFonts w:ascii="Garamond" w:hAnsi="Garamond"/>
              </w:rPr>
            </w:pPr>
            <w:r>
              <w:rPr>
                <w:rFonts w:ascii="Garamond" w:hAnsi="Garamond"/>
              </w:rPr>
              <w:t>11.0</w:t>
            </w:r>
            <w:r w:rsidR="005C63FE" w:rsidRPr="00A35EEB">
              <w:rPr>
                <w:rFonts w:ascii="Garamond" w:hAnsi="Garamond"/>
              </w:rPr>
              <w:t>%</w:t>
            </w:r>
          </w:p>
        </w:tc>
        <w:tc>
          <w:tcPr>
            <w:tcW w:w="1800" w:type="dxa"/>
          </w:tcPr>
          <w:p w:rsidR="005C63FE" w:rsidRPr="00A35EEB" w:rsidRDefault="00635E9E" w:rsidP="005C63FE">
            <w:pPr>
              <w:jc w:val="center"/>
              <w:rPr>
                <w:rFonts w:ascii="Garamond" w:hAnsi="Garamond"/>
              </w:rPr>
            </w:pPr>
            <w:r>
              <w:rPr>
                <w:rFonts w:ascii="Garamond" w:hAnsi="Garamond"/>
              </w:rPr>
              <w:t>6.1</w:t>
            </w:r>
            <w:r w:rsidR="005C63FE" w:rsidRPr="00A35EEB">
              <w:rPr>
                <w:rFonts w:ascii="Garamond" w:hAnsi="Garamond"/>
              </w:rPr>
              <w:t>%</w:t>
            </w: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Value</w:t>
            </w:r>
          </w:p>
        </w:tc>
        <w:tc>
          <w:tcPr>
            <w:tcW w:w="1507" w:type="dxa"/>
          </w:tcPr>
          <w:p w:rsidR="005C63FE" w:rsidRPr="00A35EEB" w:rsidRDefault="00635E9E" w:rsidP="005C63FE">
            <w:pPr>
              <w:jc w:val="center"/>
              <w:rPr>
                <w:rFonts w:ascii="Garamond" w:hAnsi="Garamond"/>
              </w:rPr>
            </w:pPr>
            <w:r>
              <w:rPr>
                <w:rFonts w:ascii="Garamond" w:hAnsi="Garamond"/>
              </w:rPr>
              <w:t>1.3</w:t>
            </w:r>
            <w:r w:rsidR="005C63FE" w:rsidRPr="00A35EEB">
              <w:rPr>
                <w:rFonts w:ascii="Garamond" w:hAnsi="Garamond"/>
              </w:rPr>
              <w:t>%</w:t>
            </w:r>
          </w:p>
        </w:tc>
        <w:tc>
          <w:tcPr>
            <w:tcW w:w="1620" w:type="dxa"/>
          </w:tcPr>
          <w:p w:rsidR="005C63FE" w:rsidRPr="00A35EEB" w:rsidRDefault="00635E9E" w:rsidP="00D824B3">
            <w:pPr>
              <w:jc w:val="center"/>
              <w:rPr>
                <w:rFonts w:ascii="Garamond" w:hAnsi="Garamond"/>
              </w:rPr>
            </w:pPr>
            <w:r>
              <w:rPr>
                <w:rFonts w:ascii="Garamond" w:hAnsi="Garamond"/>
              </w:rPr>
              <w:t>-3.0</w:t>
            </w:r>
            <w:r w:rsidR="005C63FE" w:rsidRPr="00A35EEB">
              <w:rPr>
                <w:rFonts w:ascii="Garamond" w:hAnsi="Garamond"/>
              </w:rPr>
              <w:t>%</w:t>
            </w:r>
          </w:p>
        </w:tc>
        <w:tc>
          <w:tcPr>
            <w:tcW w:w="1890" w:type="dxa"/>
          </w:tcPr>
          <w:p w:rsidR="005C63FE" w:rsidRPr="00A35EEB" w:rsidRDefault="00635E9E" w:rsidP="005C63FE">
            <w:pPr>
              <w:jc w:val="center"/>
              <w:rPr>
                <w:rFonts w:ascii="Garamond" w:hAnsi="Garamond"/>
              </w:rPr>
            </w:pPr>
            <w:r>
              <w:rPr>
                <w:rFonts w:ascii="Garamond" w:hAnsi="Garamond"/>
              </w:rPr>
              <w:t>8.1</w:t>
            </w:r>
            <w:r w:rsidR="005C63FE" w:rsidRPr="00A35EEB">
              <w:rPr>
                <w:rFonts w:ascii="Garamond" w:hAnsi="Garamond"/>
              </w:rPr>
              <w:t>%</w:t>
            </w:r>
          </w:p>
        </w:tc>
        <w:tc>
          <w:tcPr>
            <w:tcW w:w="1800" w:type="dxa"/>
          </w:tcPr>
          <w:p w:rsidR="005C63FE" w:rsidRPr="00A35EEB" w:rsidRDefault="00635E9E" w:rsidP="005C63FE">
            <w:pPr>
              <w:jc w:val="center"/>
              <w:rPr>
                <w:rFonts w:ascii="Garamond" w:hAnsi="Garamond"/>
              </w:rPr>
            </w:pPr>
            <w:r>
              <w:rPr>
                <w:rFonts w:ascii="Garamond" w:hAnsi="Garamond"/>
              </w:rPr>
              <w:t>4.9</w:t>
            </w:r>
            <w:r w:rsidR="005C63FE" w:rsidRPr="00A35EEB">
              <w:rPr>
                <w:rFonts w:ascii="Garamond" w:hAnsi="Garamond"/>
              </w:rPr>
              <w:t>%</w:t>
            </w: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Small Cap</w:t>
            </w:r>
          </w:p>
        </w:tc>
        <w:tc>
          <w:tcPr>
            <w:tcW w:w="1507" w:type="dxa"/>
          </w:tcPr>
          <w:p w:rsidR="005C63FE" w:rsidRPr="00A35EEB" w:rsidRDefault="005C63FE" w:rsidP="005C63FE">
            <w:pPr>
              <w:jc w:val="center"/>
              <w:rPr>
                <w:rFonts w:ascii="Garamond" w:hAnsi="Garamond"/>
              </w:rPr>
            </w:pPr>
          </w:p>
        </w:tc>
        <w:tc>
          <w:tcPr>
            <w:tcW w:w="1620" w:type="dxa"/>
          </w:tcPr>
          <w:p w:rsidR="005C63FE" w:rsidRPr="00A35EEB" w:rsidRDefault="005C63FE" w:rsidP="005C63FE">
            <w:pPr>
              <w:jc w:val="center"/>
              <w:rPr>
                <w:rFonts w:ascii="Garamond" w:hAnsi="Garamond"/>
              </w:rPr>
            </w:pPr>
          </w:p>
        </w:tc>
        <w:tc>
          <w:tcPr>
            <w:tcW w:w="1890" w:type="dxa"/>
          </w:tcPr>
          <w:p w:rsidR="005C63FE" w:rsidRPr="00A35EEB" w:rsidRDefault="005C63FE" w:rsidP="005C63FE">
            <w:pPr>
              <w:jc w:val="center"/>
              <w:rPr>
                <w:rFonts w:ascii="Garamond" w:hAnsi="Garamond"/>
              </w:rPr>
            </w:pPr>
          </w:p>
        </w:tc>
        <w:tc>
          <w:tcPr>
            <w:tcW w:w="1800" w:type="dxa"/>
          </w:tcPr>
          <w:p w:rsidR="005C63FE" w:rsidRPr="00A35EEB" w:rsidRDefault="005C63FE" w:rsidP="005C63FE">
            <w:pPr>
              <w:jc w:val="center"/>
              <w:rPr>
                <w:rFonts w:ascii="Garamond" w:hAnsi="Garamond"/>
              </w:rPr>
            </w:pP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Growth</w:t>
            </w:r>
          </w:p>
        </w:tc>
        <w:tc>
          <w:tcPr>
            <w:tcW w:w="1507" w:type="dxa"/>
          </w:tcPr>
          <w:p w:rsidR="005C63FE" w:rsidRPr="00A35EEB" w:rsidRDefault="00635E9E" w:rsidP="005C63FE">
            <w:pPr>
              <w:jc w:val="center"/>
              <w:rPr>
                <w:rFonts w:ascii="Garamond" w:hAnsi="Garamond"/>
              </w:rPr>
            </w:pPr>
            <w:r>
              <w:rPr>
                <w:rFonts w:ascii="Garamond" w:hAnsi="Garamond"/>
              </w:rPr>
              <w:t>-4.3</w:t>
            </w:r>
            <w:r w:rsidR="005C63FE" w:rsidRPr="00A35EEB">
              <w:rPr>
                <w:rFonts w:ascii="Garamond" w:hAnsi="Garamond"/>
              </w:rPr>
              <w:t>%</w:t>
            </w:r>
          </w:p>
        </w:tc>
        <w:tc>
          <w:tcPr>
            <w:tcW w:w="1620" w:type="dxa"/>
          </w:tcPr>
          <w:p w:rsidR="005C63FE" w:rsidRPr="00A35EEB" w:rsidRDefault="00635E9E" w:rsidP="005C63FE">
            <w:pPr>
              <w:jc w:val="center"/>
              <w:rPr>
                <w:rFonts w:ascii="Garamond" w:hAnsi="Garamond"/>
              </w:rPr>
            </w:pPr>
            <w:r>
              <w:rPr>
                <w:rFonts w:ascii="Garamond" w:hAnsi="Garamond"/>
              </w:rPr>
              <w:t>-11.9</w:t>
            </w:r>
            <w:r w:rsidR="005C63FE" w:rsidRPr="00A35EEB">
              <w:rPr>
                <w:rFonts w:ascii="Garamond" w:hAnsi="Garamond"/>
              </w:rPr>
              <w:t>%</w:t>
            </w:r>
          </w:p>
        </w:tc>
        <w:tc>
          <w:tcPr>
            <w:tcW w:w="1890" w:type="dxa"/>
          </w:tcPr>
          <w:p w:rsidR="005C63FE" w:rsidRPr="00A35EEB" w:rsidRDefault="00635E9E" w:rsidP="005C63FE">
            <w:pPr>
              <w:jc w:val="center"/>
              <w:rPr>
                <w:rFonts w:ascii="Garamond" w:hAnsi="Garamond"/>
              </w:rPr>
            </w:pPr>
            <w:r>
              <w:rPr>
                <w:rFonts w:ascii="Garamond" w:hAnsi="Garamond"/>
              </w:rPr>
              <w:t>6.4</w:t>
            </w:r>
            <w:r w:rsidR="005C63FE" w:rsidRPr="00A35EEB">
              <w:rPr>
                <w:rFonts w:ascii="Garamond" w:hAnsi="Garamond"/>
              </w:rPr>
              <w:t>%</w:t>
            </w:r>
          </w:p>
        </w:tc>
        <w:tc>
          <w:tcPr>
            <w:tcW w:w="1800" w:type="dxa"/>
          </w:tcPr>
          <w:p w:rsidR="005C63FE" w:rsidRPr="00A35EEB" w:rsidRDefault="00635E9E" w:rsidP="005C63FE">
            <w:pPr>
              <w:jc w:val="center"/>
              <w:rPr>
                <w:rFonts w:ascii="Garamond" w:hAnsi="Garamond"/>
              </w:rPr>
            </w:pPr>
            <w:r>
              <w:rPr>
                <w:rFonts w:ascii="Garamond" w:hAnsi="Garamond"/>
              </w:rPr>
              <w:t>4.5</w:t>
            </w:r>
            <w:r w:rsidR="005C63FE" w:rsidRPr="00A35EEB">
              <w:rPr>
                <w:rFonts w:ascii="Garamond" w:hAnsi="Garamond"/>
              </w:rPr>
              <w:t>%</w:t>
            </w:r>
          </w:p>
        </w:tc>
      </w:tr>
      <w:tr w:rsidR="005C63FE" w:rsidRPr="00A35EEB" w:rsidTr="00145DFD">
        <w:tc>
          <w:tcPr>
            <w:tcW w:w="2610" w:type="dxa"/>
          </w:tcPr>
          <w:p w:rsidR="005C63FE" w:rsidRPr="00A35EEB" w:rsidRDefault="005C63FE" w:rsidP="005C63FE">
            <w:pPr>
              <w:keepNext/>
              <w:widowControl w:val="0"/>
              <w:outlineLvl w:val="1"/>
              <w:rPr>
                <w:rFonts w:ascii="Garamond" w:hAnsi="Garamond"/>
                <w:b/>
              </w:rPr>
            </w:pPr>
            <w:r w:rsidRPr="00A35EEB">
              <w:rPr>
                <w:rFonts w:ascii="Garamond" w:hAnsi="Garamond"/>
                <w:b/>
              </w:rPr>
              <w:t xml:space="preserve">     Value</w:t>
            </w:r>
          </w:p>
        </w:tc>
        <w:tc>
          <w:tcPr>
            <w:tcW w:w="1507" w:type="dxa"/>
          </w:tcPr>
          <w:p w:rsidR="005C63FE" w:rsidRPr="00A35EEB" w:rsidRDefault="00635E9E" w:rsidP="005C63FE">
            <w:pPr>
              <w:jc w:val="center"/>
              <w:rPr>
                <w:rFonts w:ascii="Garamond" w:hAnsi="Garamond"/>
              </w:rPr>
            </w:pPr>
            <w:r>
              <w:rPr>
                <w:rFonts w:ascii="Garamond" w:hAnsi="Garamond"/>
              </w:rPr>
              <w:t>2.2</w:t>
            </w:r>
            <w:r w:rsidR="005C63FE" w:rsidRPr="00A35EEB">
              <w:rPr>
                <w:rFonts w:ascii="Garamond" w:hAnsi="Garamond"/>
              </w:rPr>
              <w:t>%</w:t>
            </w:r>
          </w:p>
        </w:tc>
        <w:tc>
          <w:tcPr>
            <w:tcW w:w="1620" w:type="dxa"/>
          </w:tcPr>
          <w:p w:rsidR="005C63FE" w:rsidRPr="00A35EEB" w:rsidRDefault="00635E9E" w:rsidP="005C63FE">
            <w:pPr>
              <w:jc w:val="center"/>
              <w:rPr>
                <w:rFonts w:ascii="Garamond" w:hAnsi="Garamond"/>
              </w:rPr>
            </w:pPr>
            <w:r>
              <w:rPr>
                <w:rFonts w:ascii="Garamond" w:hAnsi="Garamond"/>
              </w:rPr>
              <w:t>-7.0</w:t>
            </w:r>
            <w:r w:rsidR="005C63FE" w:rsidRPr="00A35EEB">
              <w:rPr>
                <w:rFonts w:ascii="Garamond" w:hAnsi="Garamond"/>
              </w:rPr>
              <w:t>%</w:t>
            </w:r>
          </w:p>
        </w:tc>
        <w:tc>
          <w:tcPr>
            <w:tcW w:w="1890" w:type="dxa"/>
          </w:tcPr>
          <w:p w:rsidR="005C63FE" w:rsidRPr="00A35EEB" w:rsidRDefault="00635E9E" w:rsidP="005C63FE">
            <w:pPr>
              <w:jc w:val="center"/>
              <w:rPr>
                <w:rFonts w:ascii="Garamond" w:hAnsi="Garamond"/>
              </w:rPr>
            </w:pPr>
            <w:r>
              <w:rPr>
                <w:rFonts w:ascii="Garamond" w:hAnsi="Garamond"/>
              </w:rPr>
              <w:t>6.0</w:t>
            </w:r>
            <w:r w:rsidR="005C63FE" w:rsidRPr="00A35EEB">
              <w:rPr>
                <w:rFonts w:ascii="Garamond" w:hAnsi="Garamond"/>
              </w:rPr>
              <w:t>%</w:t>
            </w:r>
          </w:p>
        </w:tc>
        <w:tc>
          <w:tcPr>
            <w:tcW w:w="1800" w:type="dxa"/>
          </w:tcPr>
          <w:p w:rsidR="005C63FE" w:rsidRPr="00A35EEB" w:rsidRDefault="00635E9E" w:rsidP="005C63FE">
            <w:pPr>
              <w:jc w:val="center"/>
              <w:rPr>
                <w:rFonts w:ascii="Garamond" w:hAnsi="Garamond"/>
              </w:rPr>
            </w:pPr>
            <w:r>
              <w:rPr>
                <w:rFonts w:ascii="Garamond" w:hAnsi="Garamond"/>
              </w:rPr>
              <w:t>5.0</w:t>
            </w:r>
            <w:r w:rsidR="005C63FE" w:rsidRPr="00A35EEB">
              <w:rPr>
                <w:rFonts w:ascii="Garamond" w:hAnsi="Garamond"/>
              </w:rPr>
              <w:t>%</w:t>
            </w:r>
          </w:p>
        </w:tc>
      </w:tr>
    </w:tbl>
    <w:tbl>
      <w:tblPr>
        <w:tblW w:w="9427" w:type="dxa"/>
        <w:tblInd w:w="19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07"/>
        <w:gridCol w:w="1620"/>
        <w:gridCol w:w="1890"/>
        <w:gridCol w:w="1800"/>
      </w:tblGrid>
      <w:tr w:rsidR="003C7463" w:rsidRPr="00A35EEB" w:rsidTr="00145DFD">
        <w:trPr>
          <w:cantSplit/>
        </w:trPr>
        <w:tc>
          <w:tcPr>
            <w:tcW w:w="2610" w:type="dxa"/>
          </w:tcPr>
          <w:p w:rsidR="003C7463" w:rsidRPr="00A35EEB" w:rsidRDefault="003C7463" w:rsidP="005C63FE">
            <w:pPr>
              <w:keepNext/>
              <w:widowControl w:val="0"/>
              <w:spacing w:after="0" w:line="240" w:lineRule="auto"/>
              <w:outlineLvl w:val="1"/>
              <w:rPr>
                <w:rFonts w:ascii="Garamond" w:eastAsia="Times New Roman" w:hAnsi="Garamond" w:cs="Times New Roman"/>
                <w:b/>
                <w:u w:val="single"/>
              </w:rPr>
            </w:pPr>
          </w:p>
        </w:tc>
        <w:tc>
          <w:tcPr>
            <w:tcW w:w="1507" w:type="dxa"/>
          </w:tcPr>
          <w:p w:rsidR="003C7463" w:rsidRPr="00A35EEB" w:rsidRDefault="003C7463" w:rsidP="003C7463">
            <w:pPr>
              <w:spacing w:after="0" w:line="240" w:lineRule="auto"/>
              <w:jc w:val="center"/>
              <w:rPr>
                <w:rFonts w:ascii="Garamond" w:eastAsia="Times New Roman" w:hAnsi="Garamond" w:cs="Times New Roman"/>
              </w:rPr>
            </w:pPr>
          </w:p>
        </w:tc>
        <w:tc>
          <w:tcPr>
            <w:tcW w:w="1620" w:type="dxa"/>
          </w:tcPr>
          <w:p w:rsidR="003C7463" w:rsidRPr="00A35EEB" w:rsidRDefault="003C7463" w:rsidP="005C63FE">
            <w:pPr>
              <w:spacing w:after="0" w:line="240" w:lineRule="auto"/>
              <w:jc w:val="center"/>
              <w:rPr>
                <w:rFonts w:ascii="Garamond" w:eastAsia="Times New Roman" w:hAnsi="Garamond" w:cs="Times New Roman"/>
              </w:rPr>
            </w:pPr>
          </w:p>
        </w:tc>
        <w:tc>
          <w:tcPr>
            <w:tcW w:w="1890" w:type="dxa"/>
          </w:tcPr>
          <w:p w:rsidR="003C7463" w:rsidRPr="00A35EEB" w:rsidRDefault="003C7463" w:rsidP="005C63FE">
            <w:pPr>
              <w:spacing w:after="0" w:line="240" w:lineRule="auto"/>
              <w:jc w:val="center"/>
              <w:rPr>
                <w:rFonts w:ascii="Garamond" w:eastAsia="Times New Roman" w:hAnsi="Garamond" w:cs="Times New Roman"/>
              </w:rPr>
            </w:pPr>
          </w:p>
        </w:tc>
        <w:tc>
          <w:tcPr>
            <w:tcW w:w="1800" w:type="dxa"/>
          </w:tcPr>
          <w:p w:rsidR="003C7463" w:rsidRPr="00A35EEB" w:rsidRDefault="003C7463" w:rsidP="005C63FE">
            <w:pPr>
              <w:spacing w:after="0" w:line="240" w:lineRule="auto"/>
              <w:jc w:val="center"/>
              <w:rPr>
                <w:rFonts w:ascii="Garamond" w:eastAsia="Times New Roman" w:hAnsi="Garamond" w:cs="Times New Roman"/>
              </w:rPr>
            </w:pPr>
          </w:p>
        </w:tc>
      </w:tr>
      <w:tr w:rsidR="005C63FE" w:rsidRPr="00A35EEB" w:rsidTr="00145DFD">
        <w:trPr>
          <w:cantSplit/>
        </w:trPr>
        <w:tc>
          <w:tcPr>
            <w:tcW w:w="2610" w:type="dxa"/>
          </w:tcPr>
          <w:p w:rsidR="005C63FE" w:rsidRPr="00A35EEB" w:rsidRDefault="005C63FE" w:rsidP="005C63FE">
            <w:pPr>
              <w:keepNext/>
              <w:widowControl w:val="0"/>
              <w:spacing w:after="0" w:line="240" w:lineRule="auto"/>
              <w:outlineLvl w:val="1"/>
              <w:rPr>
                <w:rFonts w:ascii="Garamond" w:eastAsia="Times New Roman" w:hAnsi="Garamond" w:cs="Times New Roman"/>
                <w:b/>
                <w:u w:val="single"/>
              </w:rPr>
            </w:pPr>
            <w:r w:rsidRPr="00A35EEB">
              <w:rPr>
                <w:rFonts w:ascii="Garamond" w:eastAsia="Times New Roman" w:hAnsi="Garamond" w:cs="Times New Roman"/>
                <w:b/>
                <w:u w:val="single"/>
              </w:rPr>
              <w:t>International</w:t>
            </w:r>
          </w:p>
        </w:tc>
        <w:tc>
          <w:tcPr>
            <w:tcW w:w="1507" w:type="dxa"/>
          </w:tcPr>
          <w:p w:rsidR="005C63FE" w:rsidRPr="00A35EEB" w:rsidRDefault="005C63FE" w:rsidP="003C7463">
            <w:pPr>
              <w:spacing w:after="0" w:line="240" w:lineRule="auto"/>
              <w:jc w:val="center"/>
              <w:rPr>
                <w:rFonts w:ascii="Garamond" w:eastAsia="Times New Roman" w:hAnsi="Garamond" w:cs="Times New Roman"/>
              </w:rPr>
            </w:pPr>
          </w:p>
        </w:tc>
        <w:tc>
          <w:tcPr>
            <w:tcW w:w="1620" w:type="dxa"/>
          </w:tcPr>
          <w:p w:rsidR="005C63FE" w:rsidRPr="00A35EEB" w:rsidRDefault="005C63FE" w:rsidP="005C63FE">
            <w:pPr>
              <w:spacing w:after="0" w:line="240" w:lineRule="auto"/>
              <w:jc w:val="center"/>
              <w:rPr>
                <w:rFonts w:ascii="Garamond" w:eastAsia="Times New Roman" w:hAnsi="Garamond" w:cs="Times New Roman"/>
              </w:rPr>
            </w:pPr>
          </w:p>
        </w:tc>
        <w:tc>
          <w:tcPr>
            <w:tcW w:w="1890" w:type="dxa"/>
          </w:tcPr>
          <w:p w:rsidR="005C63FE" w:rsidRPr="00A35EEB" w:rsidRDefault="005C63FE" w:rsidP="005C63FE">
            <w:pPr>
              <w:spacing w:after="0" w:line="240" w:lineRule="auto"/>
              <w:jc w:val="center"/>
              <w:rPr>
                <w:rFonts w:ascii="Garamond" w:eastAsia="Times New Roman" w:hAnsi="Garamond" w:cs="Times New Roman"/>
              </w:rPr>
            </w:pPr>
          </w:p>
        </w:tc>
        <w:tc>
          <w:tcPr>
            <w:tcW w:w="1800" w:type="dxa"/>
          </w:tcPr>
          <w:p w:rsidR="005C63FE" w:rsidRPr="00A35EEB" w:rsidRDefault="005C63FE" w:rsidP="005C63FE">
            <w:pPr>
              <w:spacing w:after="0" w:line="240" w:lineRule="auto"/>
              <w:jc w:val="center"/>
              <w:rPr>
                <w:rFonts w:ascii="Garamond" w:eastAsia="Times New Roman" w:hAnsi="Garamond" w:cs="Times New Roman"/>
              </w:rPr>
            </w:pP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Europe</w:t>
            </w:r>
          </w:p>
        </w:tc>
        <w:tc>
          <w:tcPr>
            <w:tcW w:w="1507" w:type="dxa"/>
          </w:tcPr>
          <w:p w:rsidR="005C63FE" w:rsidRPr="00A35EEB" w:rsidRDefault="00635E9E" w:rsidP="005E1BE5">
            <w:pPr>
              <w:spacing w:after="0" w:line="240" w:lineRule="auto"/>
              <w:jc w:val="center"/>
              <w:rPr>
                <w:rFonts w:ascii="Garamond" w:eastAsia="Times New Roman" w:hAnsi="Garamond" w:cs="Times New Roman"/>
              </w:rPr>
            </w:pPr>
            <w:r>
              <w:rPr>
                <w:rFonts w:ascii="Garamond" w:eastAsia="Times New Roman" w:hAnsi="Garamond" w:cs="Times New Roman"/>
              </w:rPr>
              <w:t>-2.5</w:t>
            </w:r>
            <w:r w:rsidR="005E1BE5"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-5.6</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3.7</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2.3</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Latin America</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14.7</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-11.3</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-15.5</w:t>
            </w:r>
            <w:r w:rsidR="005C63FE" w:rsidRPr="00A35EEB">
              <w:rPr>
                <w:rFonts w:ascii="Garamond" w:eastAsia="Times New Roman" w:hAnsi="Garamond" w:cs="Times New Roman"/>
              </w:rPr>
              <w:t>%</w:t>
            </w:r>
          </w:p>
        </w:tc>
        <w:tc>
          <w:tcPr>
            <w:tcW w:w="1800" w:type="dxa"/>
          </w:tcPr>
          <w:p w:rsidR="005C63FE" w:rsidRPr="00A35EEB" w:rsidRDefault="00D824B3" w:rsidP="005C63FE">
            <w:pPr>
              <w:spacing w:after="0" w:line="240" w:lineRule="auto"/>
              <w:jc w:val="center"/>
              <w:rPr>
                <w:rFonts w:ascii="Garamond" w:eastAsia="Times New Roman" w:hAnsi="Garamond" w:cs="Times New Roman"/>
              </w:rPr>
            </w:pPr>
            <w:r>
              <w:rPr>
                <w:rFonts w:ascii="Garamond" w:eastAsia="Times New Roman" w:hAnsi="Garamond" w:cs="Times New Roman"/>
              </w:rPr>
              <w:t>-</w:t>
            </w:r>
            <w:r w:rsidR="00635E9E">
              <w:rPr>
                <w:rFonts w:ascii="Garamond" w:eastAsia="Times New Roman" w:hAnsi="Garamond" w:cs="Times New Roman"/>
              </w:rPr>
              <w:t>0.7%</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Japan</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-3.7</w:t>
            </w:r>
            <w:r w:rsidR="005C63FE" w:rsidRPr="00A35EEB">
              <w:rPr>
                <w:rFonts w:ascii="Garamond" w:eastAsia="Times New Roman" w:hAnsi="Garamond" w:cs="Times New Roman"/>
              </w:rPr>
              <w:t>%</w:t>
            </w:r>
          </w:p>
        </w:tc>
        <w:tc>
          <w:tcPr>
            <w:tcW w:w="1620" w:type="dxa"/>
          </w:tcPr>
          <w:p w:rsidR="005C63FE" w:rsidRPr="00A35EEB" w:rsidRDefault="00635E9E" w:rsidP="00B82A34">
            <w:pPr>
              <w:spacing w:after="0" w:line="240" w:lineRule="auto"/>
              <w:jc w:val="center"/>
              <w:rPr>
                <w:rFonts w:ascii="Garamond" w:eastAsia="Times New Roman" w:hAnsi="Garamond" w:cs="Times New Roman"/>
              </w:rPr>
            </w:pPr>
            <w:r>
              <w:rPr>
                <w:rFonts w:ascii="Garamond" w:eastAsia="Times New Roman" w:hAnsi="Garamond" w:cs="Times New Roman"/>
              </w:rPr>
              <w:t>-2.7</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6.1</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-1.7</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Pacific ex Japan</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0.3</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-11.1</w:t>
            </w:r>
            <w:r w:rsidR="005C63FE" w:rsidRPr="00A35EEB">
              <w:rPr>
                <w:rFonts w:ascii="Garamond" w:eastAsia="Times New Roman" w:hAnsi="Garamond" w:cs="Times New Roman"/>
              </w:rPr>
              <w:t>%</w:t>
            </w:r>
          </w:p>
        </w:tc>
        <w:tc>
          <w:tcPr>
            <w:tcW w:w="1890" w:type="dxa"/>
          </w:tcPr>
          <w:p w:rsidR="005C63FE" w:rsidRPr="00A35EEB" w:rsidRDefault="00635E9E" w:rsidP="002E3CB6">
            <w:pPr>
              <w:spacing w:after="0" w:line="240" w:lineRule="auto"/>
              <w:jc w:val="center"/>
              <w:rPr>
                <w:rFonts w:ascii="Garamond" w:eastAsia="Times New Roman" w:hAnsi="Garamond" w:cs="Times New Roman"/>
              </w:rPr>
            </w:pPr>
            <w:r>
              <w:rPr>
                <w:rFonts w:ascii="Garamond" w:eastAsia="Times New Roman" w:hAnsi="Garamond" w:cs="Times New Roman"/>
              </w:rPr>
              <w:t>-0.7</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5.4</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China Region</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-4.7</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-13.4</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1.7</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5.3</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keepNext/>
              <w:spacing w:after="0" w:line="240" w:lineRule="auto"/>
              <w:outlineLvl w:val="5"/>
              <w:rPr>
                <w:rFonts w:ascii="Garamond" w:eastAsia="Times New Roman" w:hAnsi="Garamond" w:cs="Times New Roman"/>
                <w:b/>
                <w:u w:val="single"/>
              </w:rPr>
            </w:pPr>
            <w:r w:rsidRPr="00A35EEB">
              <w:rPr>
                <w:rFonts w:ascii="Garamond" w:eastAsia="Times New Roman" w:hAnsi="Garamond" w:cs="Times New Roman"/>
                <w:b/>
                <w:u w:val="single"/>
              </w:rPr>
              <w:t>Corporate Bond</w:t>
            </w:r>
          </w:p>
        </w:tc>
        <w:tc>
          <w:tcPr>
            <w:tcW w:w="1507" w:type="dxa"/>
          </w:tcPr>
          <w:p w:rsidR="005C63FE" w:rsidRPr="00A35EEB" w:rsidRDefault="005C63FE" w:rsidP="005C63FE">
            <w:pPr>
              <w:spacing w:after="0" w:line="240" w:lineRule="auto"/>
              <w:jc w:val="center"/>
              <w:rPr>
                <w:rFonts w:ascii="Garamond" w:eastAsia="Times New Roman" w:hAnsi="Garamond" w:cs="Times New Roman"/>
              </w:rPr>
            </w:pPr>
          </w:p>
        </w:tc>
        <w:tc>
          <w:tcPr>
            <w:tcW w:w="1620" w:type="dxa"/>
          </w:tcPr>
          <w:p w:rsidR="005C63FE" w:rsidRPr="00A35EEB" w:rsidRDefault="005C63FE" w:rsidP="005C63FE">
            <w:pPr>
              <w:spacing w:after="0" w:line="240" w:lineRule="auto"/>
              <w:jc w:val="center"/>
              <w:rPr>
                <w:rFonts w:ascii="Garamond" w:eastAsia="Times New Roman" w:hAnsi="Garamond" w:cs="Times New Roman"/>
              </w:rPr>
            </w:pPr>
          </w:p>
        </w:tc>
        <w:tc>
          <w:tcPr>
            <w:tcW w:w="1890" w:type="dxa"/>
          </w:tcPr>
          <w:p w:rsidR="005C63FE" w:rsidRPr="00A35EEB" w:rsidRDefault="005C63FE" w:rsidP="005C63FE">
            <w:pPr>
              <w:spacing w:after="0" w:line="240" w:lineRule="auto"/>
              <w:jc w:val="center"/>
              <w:rPr>
                <w:rFonts w:ascii="Garamond" w:eastAsia="Times New Roman" w:hAnsi="Garamond" w:cs="Times New Roman"/>
              </w:rPr>
            </w:pPr>
          </w:p>
        </w:tc>
        <w:tc>
          <w:tcPr>
            <w:tcW w:w="1800" w:type="dxa"/>
          </w:tcPr>
          <w:p w:rsidR="005C63FE" w:rsidRPr="00A35EEB" w:rsidRDefault="005C63FE" w:rsidP="005C63FE">
            <w:pPr>
              <w:spacing w:after="0" w:line="240" w:lineRule="auto"/>
              <w:jc w:val="center"/>
              <w:rPr>
                <w:rFonts w:ascii="Garamond" w:eastAsia="Times New Roman" w:hAnsi="Garamond" w:cs="Times New Roman"/>
              </w:rPr>
            </w:pPr>
          </w:p>
        </w:tc>
      </w:tr>
      <w:tr w:rsidR="005C63FE" w:rsidRPr="00A35EEB" w:rsidTr="00145DFD">
        <w:trPr>
          <w:cantSplit/>
        </w:trPr>
        <w:tc>
          <w:tcPr>
            <w:tcW w:w="2610" w:type="dxa"/>
          </w:tcPr>
          <w:p w:rsidR="005C63FE" w:rsidRPr="00A35EEB" w:rsidRDefault="005C63FE" w:rsidP="005C63FE">
            <w:pPr>
              <w:keepNext/>
              <w:spacing w:after="0" w:line="240" w:lineRule="auto"/>
              <w:outlineLvl w:val="6"/>
              <w:rPr>
                <w:rFonts w:ascii="Garamond" w:eastAsia="Times New Roman" w:hAnsi="Garamond" w:cs="Times New Roman"/>
                <w:b/>
              </w:rPr>
            </w:pPr>
            <w:r w:rsidRPr="00A35EEB">
              <w:rPr>
                <w:rFonts w:ascii="Garamond" w:eastAsia="Times New Roman" w:hAnsi="Garamond" w:cs="Times New Roman"/>
                <w:b/>
              </w:rPr>
              <w:t xml:space="preserve">      Long </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6.2</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1.0</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3.8</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6.8</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Intermediate</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2.5</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0.7</w:t>
            </w:r>
            <w:r w:rsidR="00D824B3">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1.8</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4.3</w:t>
            </w:r>
            <w:r w:rsidR="005C63FE" w:rsidRPr="00A35EEB">
              <w:rPr>
                <w:rFonts w:ascii="Garamond" w:eastAsia="Times New Roman" w:hAnsi="Garamond" w:cs="Times New Roman"/>
              </w:rPr>
              <w:t>%</w:t>
            </w:r>
          </w:p>
        </w:tc>
      </w:tr>
      <w:tr w:rsidR="005C63FE" w:rsidRPr="00A35EEB" w:rsidTr="00145DFD">
        <w:trPr>
          <w:cantSplit/>
        </w:trPr>
        <w:tc>
          <w:tcPr>
            <w:tcW w:w="2610" w:type="dxa"/>
          </w:tcPr>
          <w:p w:rsidR="00C73865" w:rsidRPr="00A35EEB" w:rsidRDefault="005E1BE5" w:rsidP="005C63FE">
            <w:pPr>
              <w:keepNext/>
              <w:spacing w:after="0" w:line="240" w:lineRule="auto"/>
              <w:outlineLvl w:val="5"/>
              <w:rPr>
                <w:rFonts w:ascii="Garamond" w:eastAsia="Times New Roman" w:hAnsi="Garamond" w:cs="Times New Roman"/>
                <w:b/>
              </w:rPr>
            </w:pPr>
            <w:r w:rsidRPr="00A35EEB">
              <w:rPr>
                <w:rFonts w:ascii="Garamond" w:eastAsia="Times New Roman" w:hAnsi="Garamond" w:cs="Times New Roman"/>
                <w:b/>
              </w:rPr>
              <w:t xml:space="preserve">      Short</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1.0</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0.4</w:t>
            </w:r>
            <w:r w:rsidR="005C63FE" w:rsidRPr="00A35EEB">
              <w:rPr>
                <w:rFonts w:ascii="Garamond" w:eastAsia="Times New Roman" w:hAnsi="Garamond" w:cs="Times New Roman"/>
              </w:rPr>
              <w:t>%</w:t>
            </w:r>
          </w:p>
        </w:tc>
        <w:tc>
          <w:tcPr>
            <w:tcW w:w="1890" w:type="dxa"/>
          </w:tcPr>
          <w:p w:rsidR="005C63FE" w:rsidRPr="00A35EEB" w:rsidRDefault="00635E9E" w:rsidP="002E3CB6">
            <w:pPr>
              <w:spacing w:after="0" w:line="240" w:lineRule="auto"/>
              <w:jc w:val="center"/>
              <w:rPr>
                <w:rFonts w:ascii="Garamond" w:eastAsia="Times New Roman" w:hAnsi="Garamond" w:cs="Times New Roman"/>
              </w:rPr>
            </w:pPr>
            <w:r>
              <w:rPr>
                <w:rFonts w:ascii="Garamond" w:eastAsia="Times New Roman" w:hAnsi="Garamond" w:cs="Times New Roman"/>
              </w:rPr>
              <w:t>0.7</w:t>
            </w:r>
            <w:r w:rsidR="002E3CB6"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2.4</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keepNext/>
              <w:spacing w:after="0" w:line="240" w:lineRule="auto"/>
              <w:outlineLvl w:val="5"/>
              <w:rPr>
                <w:rFonts w:ascii="Garamond" w:eastAsia="Times New Roman" w:hAnsi="Garamond" w:cs="Times New Roman"/>
                <w:b/>
                <w:u w:val="single"/>
              </w:rPr>
            </w:pPr>
            <w:r w:rsidRPr="00A35EEB">
              <w:rPr>
                <w:rFonts w:ascii="Garamond" w:eastAsia="Times New Roman" w:hAnsi="Garamond" w:cs="Times New Roman"/>
                <w:b/>
                <w:u w:val="single"/>
              </w:rPr>
              <w:t>Government Bond</w:t>
            </w:r>
          </w:p>
        </w:tc>
        <w:tc>
          <w:tcPr>
            <w:tcW w:w="1507" w:type="dxa"/>
          </w:tcPr>
          <w:p w:rsidR="005C63FE" w:rsidRPr="00A35EEB" w:rsidRDefault="005C63FE" w:rsidP="005C63FE">
            <w:pPr>
              <w:spacing w:after="0" w:line="240" w:lineRule="auto"/>
              <w:jc w:val="center"/>
              <w:rPr>
                <w:rFonts w:ascii="Garamond" w:eastAsia="Times New Roman" w:hAnsi="Garamond" w:cs="Times New Roman"/>
              </w:rPr>
            </w:pPr>
          </w:p>
        </w:tc>
        <w:tc>
          <w:tcPr>
            <w:tcW w:w="1620" w:type="dxa"/>
          </w:tcPr>
          <w:p w:rsidR="005C63FE" w:rsidRPr="00A35EEB" w:rsidRDefault="005C63FE" w:rsidP="005C63FE">
            <w:pPr>
              <w:spacing w:after="0" w:line="240" w:lineRule="auto"/>
              <w:jc w:val="center"/>
              <w:rPr>
                <w:rFonts w:ascii="Garamond" w:eastAsia="Times New Roman" w:hAnsi="Garamond" w:cs="Times New Roman"/>
              </w:rPr>
            </w:pPr>
          </w:p>
        </w:tc>
        <w:tc>
          <w:tcPr>
            <w:tcW w:w="1890" w:type="dxa"/>
          </w:tcPr>
          <w:p w:rsidR="005C63FE" w:rsidRPr="00A35EEB" w:rsidRDefault="005C63FE" w:rsidP="005C63FE">
            <w:pPr>
              <w:spacing w:after="0" w:line="240" w:lineRule="auto"/>
              <w:jc w:val="center"/>
              <w:rPr>
                <w:rFonts w:ascii="Garamond" w:eastAsia="Times New Roman" w:hAnsi="Garamond" w:cs="Times New Roman"/>
              </w:rPr>
            </w:pPr>
          </w:p>
        </w:tc>
        <w:tc>
          <w:tcPr>
            <w:tcW w:w="1800" w:type="dxa"/>
          </w:tcPr>
          <w:p w:rsidR="005C63FE" w:rsidRPr="00A35EEB" w:rsidRDefault="005C63FE" w:rsidP="005C63FE">
            <w:pPr>
              <w:spacing w:after="0" w:line="240" w:lineRule="auto"/>
              <w:jc w:val="center"/>
              <w:rPr>
                <w:rFonts w:ascii="Garamond" w:eastAsia="Times New Roman" w:hAnsi="Garamond" w:cs="Times New Roman"/>
              </w:rPr>
            </w:pPr>
          </w:p>
        </w:tc>
      </w:tr>
      <w:tr w:rsidR="005C63FE" w:rsidRPr="00A35EEB" w:rsidTr="00145DFD">
        <w:trPr>
          <w:cantSplit/>
        </w:trPr>
        <w:tc>
          <w:tcPr>
            <w:tcW w:w="2610" w:type="dxa"/>
          </w:tcPr>
          <w:p w:rsidR="005C63FE" w:rsidRPr="00A35EEB" w:rsidRDefault="005C63FE" w:rsidP="005C63FE">
            <w:pPr>
              <w:keepNext/>
              <w:spacing w:after="0" w:line="240" w:lineRule="auto"/>
              <w:outlineLvl w:val="6"/>
              <w:rPr>
                <w:rFonts w:ascii="Garamond" w:eastAsia="Times New Roman" w:hAnsi="Garamond" w:cs="Times New Roman"/>
                <w:b/>
              </w:rPr>
            </w:pPr>
            <w:r w:rsidRPr="00A35EEB">
              <w:rPr>
                <w:rFonts w:ascii="Garamond" w:eastAsia="Times New Roman" w:hAnsi="Garamond" w:cs="Times New Roman"/>
                <w:b/>
              </w:rPr>
              <w:t xml:space="preserve">      Long </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6.9</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2.2</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4.8</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7.8</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Intermediate</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2.0</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1.4</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1.5</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3.9</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Short</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1.0</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0.5</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0.4</w:t>
            </w:r>
            <w:r w:rsidR="005C63FE" w:rsidRPr="00A35EEB">
              <w:rPr>
                <w:rFonts w:ascii="Garamond" w:eastAsia="Times New Roman" w:hAnsi="Garamond" w:cs="Times New Roman"/>
              </w:rPr>
              <w:t>%</w:t>
            </w:r>
          </w:p>
        </w:tc>
        <w:tc>
          <w:tcPr>
            <w:tcW w:w="1800" w:type="dxa"/>
          </w:tcPr>
          <w:p w:rsidR="005C63FE" w:rsidRPr="00A35EEB" w:rsidRDefault="00AD4363" w:rsidP="005C63FE">
            <w:pPr>
              <w:spacing w:after="0" w:line="240" w:lineRule="auto"/>
              <w:jc w:val="center"/>
              <w:rPr>
                <w:rFonts w:ascii="Garamond" w:eastAsia="Times New Roman" w:hAnsi="Garamond" w:cs="Times New Roman"/>
              </w:rPr>
            </w:pPr>
            <w:r>
              <w:rPr>
                <w:rFonts w:ascii="Garamond" w:eastAsia="Times New Roman" w:hAnsi="Garamond" w:cs="Times New Roman"/>
              </w:rPr>
              <w:t>2.4</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keepNext/>
              <w:spacing w:after="0" w:line="240" w:lineRule="auto"/>
              <w:outlineLvl w:val="5"/>
              <w:rPr>
                <w:rFonts w:ascii="Garamond" w:eastAsia="Times New Roman" w:hAnsi="Garamond" w:cs="Times New Roman"/>
                <w:b/>
                <w:u w:val="single"/>
              </w:rPr>
            </w:pPr>
            <w:r w:rsidRPr="00A35EEB">
              <w:rPr>
                <w:rFonts w:ascii="Garamond" w:eastAsia="Times New Roman" w:hAnsi="Garamond" w:cs="Times New Roman"/>
                <w:b/>
                <w:u w:val="single"/>
              </w:rPr>
              <w:t>Municipal Bond</w:t>
            </w:r>
          </w:p>
        </w:tc>
        <w:tc>
          <w:tcPr>
            <w:tcW w:w="1507" w:type="dxa"/>
          </w:tcPr>
          <w:p w:rsidR="005C63FE" w:rsidRPr="00A35EEB" w:rsidRDefault="005C63FE" w:rsidP="005C63FE">
            <w:pPr>
              <w:spacing w:after="0" w:line="240" w:lineRule="auto"/>
              <w:jc w:val="center"/>
              <w:rPr>
                <w:rFonts w:ascii="Garamond" w:eastAsia="Times New Roman" w:hAnsi="Garamond" w:cs="Times New Roman"/>
              </w:rPr>
            </w:pPr>
          </w:p>
        </w:tc>
        <w:tc>
          <w:tcPr>
            <w:tcW w:w="1620" w:type="dxa"/>
          </w:tcPr>
          <w:p w:rsidR="005C63FE" w:rsidRPr="00A35EEB" w:rsidRDefault="005C63FE" w:rsidP="005C63FE">
            <w:pPr>
              <w:spacing w:after="0" w:line="240" w:lineRule="auto"/>
              <w:jc w:val="center"/>
              <w:rPr>
                <w:rFonts w:ascii="Garamond" w:eastAsia="Times New Roman" w:hAnsi="Garamond" w:cs="Times New Roman"/>
              </w:rPr>
            </w:pPr>
          </w:p>
        </w:tc>
        <w:tc>
          <w:tcPr>
            <w:tcW w:w="1890" w:type="dxa"/>
          </w:tcPr>
          <w:p w:rsidR="005C63FE" w:rsidRPr="00A35EEB" w:rsidRDefault="005C63FE" w:rsidP="005C63FE">
            <w:pPr>
              <w:spacing w:after="0" w:line="240" w:lineRule="auto"/>
              <w:jc w:val="center"/>
              <w:rPr>
                <w:rFonts w:ascii="Garamond" w:eastAsia="Times New Roman" w:hAnsi="Garamond" w:cs="Times New Roman"/>
              </w:rPr>
            </w:pPr>
          </w:p>
        </w:tc>
        <w:tc>
          <w:tcPr>
            <w:tcW w:w="1800" w:type="dxa"/>
          </w:tcPr>
          <w:p w:rsidR="005C63FE" w:rsidRPr="00A35EEB" w:rsidRDefault="005C63FE" w:rsidP="005C63FE">
            <w:pPr>
              <w:spacing w:after="0" w:line="240" w:lineRule="auto"/>
              <w:jc w:val="center"/>
              <w:rPr>
                <w:rFonts w:ascii="Garamond" w:eastAsia="Times New Roman" w:hAnsi="Garamond" w:cs="Times New Roman"/>
              </w:rPr>
            </w:pPr>
          </w:p>
        </w:tc>
      </w:tr>
      <w:tr w:rsidR="005C63FE" w:rsidRPr="00A35EEB" w:rsidTr="00145DFD">
        <w:trPr>
          <w:cantSplit/>
        </w:trPr>
        <w:tc>
          <w:tcPr>
            <w:tcW w:w="2610" w:type="dxa"/>
          </w:tcPr>
          <w:p w:rsidR="005C63FE" w:rsidRPr="00A35EEB" w:rsidRDefault="005C63FE" w:rsidP="005C63FE">
            <w:pPr>
              <w:keepNext/>
              <w:spacing w:after="0" w:line="240" w:lineRule="auto"/>
              <w:outlineLvl w:val="6"/>
              <w:rPr>
                <w:rFonts w:ascii="Garamond" w:eastAsia="Times New Roman" w:hAnsi="Garamond" w:cs="Times New Roman"/>
                <w:b/>
              </w:rPr>
            </w:pPr>
            <w:r w:rsidRPr="00A35EEB">
              <w:rPr>
                <w:rFonts w:ascii="Garamond" w:eastAsia="Times New Roman" w:hAnsi="Garamond" w:cs="Times New Roman"/>
                <w:b/>
              </w:rPr>
              <w:t xml:space="preserve">      Long </w:t>
            </w:r>
          </w:p>
        </w:tc>
        <w:tc>
          <w:tcPr>
            <w:tcW w:w="1507"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1.6</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3.6</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3.3</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4.3</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Intermediate</w:t>
            </w:r>
          </w:p>
        </w:tc>
        <w:tc>
          <w:tcPr>
            <w:tcW w:w="1507" w:type="dxa"/>
          </w:tcPr>
          <w:p w:rsidR="005C63FE" w:rsidRPr="00A35EEB" w:rsidRDefault="00AD4363" w:rsidP="005C63FE">
            <w:pPr>
              <w:spacing w:after="0" w:line="240" w:lineRule="auto"/>
              <w:jc w:val="center"/>
              <w:rPr>
                <w:rFonts w:ascii="Garamond" w:eastAsia="Times New Roman" w:hAnsi="Garamond" w:cs="Times New Roman"/>
              </w:rPr>
            </w:pPr>
            <w:r>
              <w:rPr>
                <w:rFonts w:ascii="Garamond" w:eastAsia="Times New Roman" w:hAnsi="Garamond" w:cs="Times New Roman"/>
              </w:rPr>
              <w:t>1.4</w:t>
            </w:r>
            <w:r w:rsidR="005C63FE" w:rsidRPr="00A35EEB">
              <w:rPr>
                <w:rFonts w:ascii="Garamond" w:eastAsia="Times New Roman" w:hAnsi="Garamond" w:cs="Times New Roman"/>
              </w:rPr>
              <w:t>%</w:t>
            </w:r>
          </w:p>
        </w:tc>
        <w:tc>
          <w:tcPr>
            <w:tcW w:w="162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3.2</w:t>
            </w:r>
            <w:r w:rsidR="005C63FE" w:rsidRPr="00A35EEB">
              <w:rPr>
                <w:rFonts w:ascii="Garamond" w:eastAsia="Times New Roman" w:hAnsi="Garamond" w:cs="Times New Roman"/>
              </w:rPr>
              <w:t>%</w:t>
            </w:r>
          </w:p>
        </w:tc>
        <w:tc>
          <w:tcPr>
            <w:tcW w:w="189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2.5</w:t>
            </w:r>
            <w:r w:rsidR="005C63FE" w:rsidRPr="00A35EEB">
              <w:rPr>
                <w:rFonts w:ascii="Garamond" w:eastAsia="Times New Roman" w:hAnsi="Garamond" w:cs="Times New Roman"/>
              </w:rPr>
              <w:t>%</w:t>
            </w:r>
          </w:p>
        </w:tc>
        <w:tc>
          <w:tcPr>
            <w:tcW w:w="1800" w:type="dxa"/>
          </w:tcPr>
          <w:p w:rsidR="005C63FE" w:rsidRPr="00A35EEB" w:rsidRDefault="00635E9E" w:rsidP="005C63FE">
            <w:pPr>
              <w:spacing w:after="0" w:line="240" w:lineRule="auto"/>
              <w:jc w:val="center"/>
              <w:rPr>
                <w:rFonts w:ascii="Garamond" w:eastAsia="Times New Roman" w:hAnsi="Garamond" w:cs="Times New Roman"/>
              </w:rPr>
            </w:pPr>
            <w:r>
              <w:rPr>
                <w:rFonts w:ascii="Garamond" w:eastAsia="Times New Roman" w:hAnsi="Garamond" w:cs="Times New Roman"/>
              </w:rPr>
              <w:t>4.0</w:t>
            </w:r>
            <w:r w:rsidR="005C63FE" w:rsidRPr="00A35EEB">
              <w:rPr>
                <w:rFonts w:ascii="Garamond" w:eastAsia="Times New Roman" w:hAnsi="Garamond" w:cs="Times New Roman"/>
              </w:rPr>
              <w:t>%</w:t>
            </w:r>
          </w:p>
        </w:tc>
      </w:tr>
      <w:tr w:rsidR="005C63FE" w:rsidRPr="00A35EEB" w:rsidTr="00145DFD">
        <w:trPr>
          <w:cantSplit/>
        </w:trPr>
        <w:tc>
          <w:tcPr>
            <w:tcW w:w="2610" w:type="dxa"/>
          </w:tcPr>
          <w:p w:rsidR="005C63FE" w:rsidRPr="00A35EEB" w:rsidRDefault="005C63FE" w:rsidP="005C63FE">
            <w:pPr>
              <w:spacing w:after="0" w:line="240" w:lineRule="auto"/>
              <w:rPr>
                <w:rFonts w:ascii="Garamond" w:eastAsia="Times New Roman" w:hAnsi="Garamond" w:cs="Times New Roman"/>
                <w:b/>
              </w:rPr>
            </w:pPr>
            <w:r w:rsidRPr="00A35EEB">
              <w:rPr>
                <w:rFonts w:ascii="Garamond" w:eastAsia="Times New Roman" w:hAnsi="Garamond" w:cs="Times New Roman"/>
                <w:b/>
              </w:rPr>
              <w:t xml:space="preserve">      Short</w:t>
            </w:r>
          </w:p>
        </w:tc>
        <w:tc>
          <w:tcPr>
            <w:tcW w:w="1507" w:type="dxa"/>
          </w:tcPr>
          <w:p w:rsidR="005C63FE" w:rsidRPr="00A35EEB" w:rsidRDefault="00BE63C5" w:rsidP="005C63FE">
            <w:pPr>
              <w:spacing w:after="0" w:line="240" w:lineRule="auto"/>
              <w:jc w:val="center"/>
              <w:rPr>
                <w:rFonts w:ascii="Garamond" w:eastAsia="Times New Roman" w:hAnsi="Garamond" w:cs="Times New Roman"/>
              </w:rPr>
            </w:pPr>
            <w:r>
              <w:rPr>
                <w:rFonts w:ascii="Garamond" w:eastAsia="Times New Roman" w:hAnsi="Garamond" w:cs="Times New Roman"/>
              </w:rPr>
              <w:t>0.6</w:t>
            </w:r>
            <w:r w:rsidR="005C63FE" w:rsidRPr="00A35EEB">
              <w:rPr>
                <w:rFonts w:ascii="Garamond" w:eastAsia="Times New Roman" w:hAnsi="Garamond" w:cs="Times New Roman"/>
              </w:rPr>
              <w:t>%</w:t>
            </w:r>
          </w:p>
        </w:tc>
        <w:tc>
          <w:tcPr>
            <w:tcW w:w="1620" w:type="dxa"/>
          </w:tcPr>
          <w:p w:rsidR="005C63FE" w:rsidRPr="00A35EEB" w:rsidRDefault="00BE63C5" w:rsidP="005C63FE">
            <w:pPr>
              <w:spacing w:after="0" w:line="240" w:lineRule="auto"/>
              <w:jc w:val="center"/>
              <w:rPr>
                <w:rFonts w:ascii="Garamond" w:eastAsia="Times New Roman" w:hAnsi="Garamond" w:cs="Times New Roman"/>
              </w:rPr>
            </w:pPr>
            <w:r>
              <w:rPr>
                <w:rFonts w:ascii="Garamond" w:eastAsia="Times New Roman" w:hAnsi="Garamond" w:cs="Times New Roman"/>
              </w:rPr>
              <w:t>1.0</w:t>
            </w:r>
            <w:r w:rsidR="005C63FE" w:rsidRPr="00A35EEB">
              <w:rPr>
                <w:rFonts w:ascii="Garamond" w:eastAsia="Times New Roman" w:hAnsi="Garamond" w:cs="Times New Roman"/>
              </w:rPr>
              <w:t>%</w:t>
            </w:r>
          </w:p>
        </w:tc>
        <w:tc>
          <w:tcPr>
            <w:tcW w:w="1890" w:type="dxa"/>
          </w:tcPr>
          <w:p w:rsidR="005C63FE" w:rsidRPr="00A35EEB" w:rsidRDefault="00BE63C5" w:rsidP="005C63FE">
            <w:pPr>
              <w:spacing w:after="0" w:line="240" w:lineRule="auto"/>
              <w:jc w:val="center"/>
              <w:rPr>
                <w:rFonts w:ascii="Garamond" w:eastAsia="Times New Roman" w:hAnsi="Garamond" w:cs="Times New Roman"/>
              </w:rPr>
            </w:pPr>
            <w:r>
              <w:rPr>
                <w:rFonts w:ascii="Garamond" w:eastAsia="Times New Roman" w:hAnsi="Garamond" w:cs="Times New Roman"/>
              </w:rPr>
              <w:t>0.8</w:t>
            </w:r>
            <w:r w:rsidR="005C63FE" w:rsidRPr="00A35EEB">
              <w:rPr>
                <w:rFonts w:ascii="Garamond" w:eastAsia="Times New Roman" w:hAnsi="Garamond" w:cs="Times New Roman"/>
              </w:rPr>
              <w:t>%</w:t>
            </w:r>
          </w:p>
        </w:tc>
        <w:tc>
          <w:tcPr>
            <w:tcW w:w="1800" w:type="dxa"/>
          </w:tcPr>
          <w:p w:rsidR="005C63FE" w:rsidRPr="00A35EEB" w:rsidRDefault="00BE63C5" w:rsidP="005C63FE">
            <w:pPr>
              <w:spacing w:after="0" w:line="240" w:lineRule="auto"/>
              <w:jc w:val="center"/>
              <w:rPr>
                <w:rFonts w:ascii="Garamond" w:eastAsia="Times New Roman" w:hAnsi="Garamond" w:cs="Times New Roman"/>
              </w:rPr>
            </w:pPr>
            <w:r>
              <w:rPr>
                <w:rFonts w:ascii="Garamond" w:eastAsia="Times New Roman" w:hAnsi="Garamond" w:cs="Times New Roman"/>
              </w:rPr>
              <w:t>2.2</w:t>
            </w:r>
            <w:r w:rsidR="005C63FE" w:rsidRPr="00A35EEB">
              <w:rPr>
                <w:rFonts w:ascii="Garamond" w:eastAsia="Times New Roman" w:hAnsi="Garamond" w:cs="Times New Roman"/>
              </w:rPr>
              <w:t>%</w:t>
            </w:r>
          </w:p>
        </w:tc>
      </w:tr>
    </w:tbl>
    <w:p w:rsidR="0011636D" w:rsidRPr="00F137F6" w:rsidRDefault="0011636D" w:rsidP="0011636D">
      <w:pPr>
        <w:shd w:val="clear" w:color="auto" w:fill="FFFFFF"/>
        <w:spacing w:before="100" w:beforeAutospacing="1" w:after="100" w:afterAutospacing="1" w:line="240" w:lineRule="auto"/>
        <w:rPr>
          <w:rFonts w:ascii="Garamond" w:eastAsia="Times New Roman" w:hAnsi="Garamond" w:cs="Times New Roman"/>
          <w:sz w:val="24"/>
          <w:szCs w:val="24"/>
        </w:rPr>
      </w:pPr>
      <w:r w:rsidRPr="00F137F6">
        <w:rPr>
          <w:rFonts w:ascii="Garamond" w:eastAsia="Times New Roman" w:hAnsi="Garamond" w:cs="Times New Roman"/>
          <w:sz w:val="24"/>
          <w:szCs w:val="24"/>
        </w:rPr>
        <w:t>Market Outlook</w:t>
      </w:r>
    </w:p>
    <w:p w:rsidR="00CD730D" w:rsidRPr="00F137F6" w:rsidRDefault="00F137F6" w:rsidP="004017A1">
      <w:pPr>
        <w:shd w:val="clear" w:color="auto" w:fill="FFFFFF"/>
        <w:spacing w:before="100" w:beforeAutospacing="1" w:after="100" w:afterAutospacing="1"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 xml:space="preserve">In light of the </w:t>
      </w:r>
      <w:r w:rsidR="00883F44" w:rsidRPr="00F137F6">
        <w:rPr>
          <w:rFonts w:ascii="Garamond" w:eastAsia="Times New Roman" w:hAnsi="Garamond" w:cs="Times New Roman"/>
          <w:sz w:val="24"/>
          <w:szCs w:val="24"/>
        </w:rPr>
        <w:t>significant volatility that was experienced dur</w:t>
      </w:r>
      <w:r>
        <w:rPr>
          <w:rFonts w:ascii="Garamond" w:eastAsia="Times New Roman" w:hAnsi="Garamond" w:cs="Times New Roman"/>
          <w:sz w:val="24"/>
          <w:szCs w:val="24"/>
        </w:rPr>
        <w:t xml:space="preserve">ing the first quarter, we continue </w:t>
      </w:r>
      <w:r w:rsidR="00D620B6">
        <w:rPr>
          <w:rFonts w:ascii="Garamond" w:eastAsia="Times New Roman" w:hAnsi="Garamond" w:cs="Times New Roman"/>
          <w:sz w:val="24"/>
          <w:szCs w:val="24"/>
        </w:rPr>
        <w:t>to be concerned with issues</w:t>
      </w:r>
      <w:bookmarkStart w:id="0" w:name="_GoBack"/>
      <w:bookmarkEnd w:id="0"/>
      <w:r w:rsidR="00883F44" w:rsidRPr="00F137F6">
        <w:rPr>
          <w:rFonts w:ascii="Garamond" w:eastAsia="Times New Roman" w:hAnsi="Garamond" w:cs="Times New Roman"/>
          <w:sz w:val="24"/>
          <w:szCs w:val="24"/>
        </w:rPr>
        <w:t xml:space="preserve"> discussed at the close of the fourth quarter:  lower exports, low (but improved) oil prices and significant employment shortfalls (unemployed and under </w:t>
      </w:r>
      <w:r w:rsidR="00D620B6" w:rsidRPr="00F137F6">
        <w:rPr>
          <w:rFonts w:ascii="Garamond" w:eastAsia="Times New Roman" w:hAnsi="Garamond" w:cs="Times New Roman"/>
          <w:sz w:val="24"/>
          <w:szCs w:val="24"/>
        </w:rPr>
        <w:t>employed</w:t>
      </w:r>
      <w:r w:rsidR="00883F44" w:rsidRPr="00F137F6">
        <w:rPr>
          <w:rFonts w:ascii="Garamond" w:eastAsia="Times New Roman" w:hAnsi="Garamond" w:cs="Times New Roman"/>
          <w:sz w:val="24"/>
          <w:szCs w:val="24"/>
        </w:rPr>
        <w:t xml:space="preserve"> workers).  The Federal Reserve did raise interest rates in the fourth quarter of 2015 and suggested further rate increase were likely in 2016.  Given market weakness experienced both domestically and internationally during the first quarter, these interest rate increase</w:t>
      </w:r>
      <w:r>
        <w:rPr>
          <w:rFonts w:ascii="Garamond" w:eastAsia="Times New Roman" w:hAnsi="Garamond" w:cs="Times New Roman"/>
          <w:sz w:val="24"/>
          <w:szCs w:val="24"/>
        </w:rPr>
        <w:t>s</w:t>
      </w:r>
      <w:r w:rsidR="00883F44" w:rsidRPr="00F137F6">
        <w:rPr>
          <w:rFonts w:ascii="Garamond" w:eastAsia="Times New Roman" w:hAnsi="Garamond" w:cs="Times New Roman"/>
          <w:sz w:val="24"/>
          <w:szCs w:val="24"/>
        </w:rPr>
        <w:t xml:space="preserve"> now seem unlikely for 2016.  </w:t>
      </w:r>
      <w:r w:rsidR="00CD730D" w:rsidRPr="00F137F6">
        <w:rPr>
          <w:rFonts w:ascii="Garamond" w:eastAsia="Times New Roman" w:hAnsi="Garamond" w:cs="Times New Roman"/>
          <w:sz w:val="24"/>
          <w:szCs w:val="24"/>
        </w:rPr>
        <w:t>Given the state of the economy, this makes sense.  Finally, strong U.S. leadership overseas continues to be missing in action.</w:t>
      </w:r>
    </w:p>
    <w:p w:rsidR="00CD730D" w:rsidRPr="00F137F6" w:rsidRDefault="00CD730D" w:rsidP="004017A1">
      <w:pPr>
        <w:shd w:val="clear" w:color="auto" w:fill="FFFFFF"/>
        <w:spacing w:before="100" w:beforeAutospacing="1" w:after="100" w:afterAutospacing="1" w:line="240" w:lineRule="auto"/>
        <w:contextualSpacing/>
        <w:rPr>
          <w:rFonts w:ascii="Garamond" w:eastAsia="Times New Roman" w:hAnsi="Garamond" w:cs="Times New Roman"/>
          <w:sz w:val="24"/>
          <w:szCs w:val="24"/>
        </w:rPr>
      </w:pPr>
    </w:p>
    <w:p w:rsidR="00BC7735" w:rsidRDefault="00F137F6" w:rsidP="004017A1">
      <w:pPr>
        <w:shd w:val="clear" w:color="auto" w:fill="FFFFFF"/>
        <w:spacing w:before="100" w:beforeAutospacing="1" w:after="100" w:afterAutospacing="1" w:line="240" w:lineRule="auto"/>
        <w:contextualSpacing/>
        <w:rPr>
          <w:rFonts w:ascii="Garamond" w:hAnsi="Garamond"/>
          <w:sz w:val="24"/>
          <w:szCs w:val="24"/>
        </w:rPr>
      </w:pPr>
      <w:r>
        <w:rPr>
          <w:rFonts w:ascii="Garamond" w:eastAsia="Times New Roman" w:hAnsi="Garamond" w:cs="Times New Roman"/>
          <w:sz w:val="24"/>
          <w:szCs w:val="24"/>
        </w:rPr>
        <w:t xml:space="preserve">Echoing our words from </w:t>
      </w:r>
      <w:r w:rsidR="00CD730D" w:rsidRPr="00F137F6">
        <w:rPr>
          <w:rFonts w:ascii="Garamond" w:eastAsia="Times New Roman" w:hAnsi="Garamond" w:cs="Times New Roman"/>
          <w:sz w:val="24"/>
          <w:szCs w:val="24"/>
        </w:rPr>
        <w:t xml:space="preserve">last quarter, our advice is to continue with your current equity and bond/cash allocation targets.  We are available to discuss your specific goals and concerns on an individual level.  Please let us know by phone or email or during </w:t>
      </w:r>
      <w:r w:rsidRPr="00F137F6">
        <w:rPr>
          <w:rFonts w:ascii="Garamond" w:eastAsia="Times New Roman" w:hAnsi="Garamond" w:cs="Times New Roman"/>
          <w:sz w:val="24"/>
          <w:szCs w:val="24"/>
        </w:rPr>
        <w:t>your</w:t>
      </w:r>
      <w:r w:rsidR="00CD730D" w:rsidRPr="00F137F6">
        <w:rPr>
          <w:rFonts w:ascii="Garamond" w:eastAsia="Times New Roman" w:hAnsi="Garamond" w:cs="Times New Roman"/>
          <w:sz w:val="24"/>
          <w:szCs w:val="24"/>
        </w:rPr>
        <w:t xml:space="preserve"> upcomi</w:t>
      </w:r>
      <w:r>
        <w:rPr>
          <w:rFonts w:ascii="Garamond" w:eastAsia="Times New Roman" w:hAnsi="Garamond" w:cs="Times New Roman"/>
          <w:sz w:val="24"/>
          <w:szCs w:val="24"/>
        </w:rPr>
        <w:t>ng quarter end review if you have specific topics you would like to address.</w:t>
      </w:r>
      <w:r w:rsidR="0011636D" w:rsidRPr="00F137F6">
        <w:rPr>
          <w:rFonts w:ascii="Garamond" w:eastAsia="Times New Roman" w:hAnsi="Garamond" w:cs="Times New Roman"/>
          <w:sz w:val="24"/>
          <w:szCs w:val="24"/>
        </w:rPr>
        <w:br/>
      </w:r>
      <w:r w:rsidR="004017A1">
        <w:rPr>
          <w:rFonts w:ascii="Garamond" w:hAnsi="Garamond"/>
          <w:sz w:val="24"/>
          <w:szCs w:val="24"/>
        </w:rPr>
        <w:t xml:space="preserve">                                                                                                    </w:t>
      </w:r>
    </w:p>
    <w:p w:rsidR="0083594B" w:rsidRDefault="008F71BA" w:rsidP="004017A1">
      <w:pPr>
        <w:shd w:val="clear" w:color="auto" w:fill="FFFFFF"/>
        <w:spacing w:before="100" w:beforeAutospacing="1" w:after="100" w:afterAutospacing="1" w:line="240" w:lineRule="auto"/>
        <w:contextualSpacing/>
        <w:rPr>
          <w:rFonts w:ascii="Garamond" w:hAnsi="Garamond"/>
          <w:sz w:val="24"/>
          <w:szCs w:val="24"/>
        </w:rPr>
      </w:pPr>
      <w:r w:rsidRPr="0083594B">
        <w:rPr>
          <w:rFonts w:ascii="Garamond" w:hAnsi="Garamond"/>
          <w:sz w:val="24"/>
          <w:szCs w:val="24"/>
        </w:rPr>
        <w:t>MSM FINANCIAL STRATEGIES</w:t>
      </w:r>
    </w:p>
    <w:p w:rsidR="008F71BA" w:rsidRPr="0083594B" w:rsidRDefault="0083594B" w:rsidP="0083594B">
      <w:pPr>
        <w:shd w:val="clear" w:color="auto" w:fill="FFFFFF"/>
        <w:spacing w:before="100" w:beforeAutospacing="1" w:after="100" w:afterAutospacing="1" w:line="240" w:lineRule="auto"/>
        <w:contextualSpacing/>
        <w:jc w:val="center"/>
        <w:rPr>
          <w:rFonts w:ascii="Garamond" w:hAnsi="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883F44">
        <w:rPr>
          <w:rFonts w:ascii="Garamond" w:hAnsi="Garamond"/>
          <w:sz w:val="24"/>
          <w:szCs w:val="24"/>
        </w:rPr>
        <w:t>4/11</w:t>
      </w:r>
      <w:r w:rsidR="00F81B50">
        <w:rPr>
          <w:rFonts w:ascii="Garamond" w:hAnsi="Garamond"/>
          <w:sz w:val="24"/>
          <w:szCs w:val="24"/>
        </w:rPr>
        <w:t>/2016</w:t>
      </w:r>
    </w:p>
    <w:p w:rsidR="00314712" w:rsidRDefault="00314712" w:rsidP="0018612C">
      <w:pPr>
        <w:spacing w:line="240" w:lineRule="auto"/>
        <w:ind w:left="3600" w:firstLine="720"/>
        <w:contextualSpacing/>
        <w:rPr>
          <w:rFonts w:ascii="Garamond" w:hAnsi="Garamond"/>
        </w:rPr>
      </w:pPr>
    </w:p>
    <w:p w:rsidR="008259B4" w:rsidRPr="00F931C1" w:rsidRDefault="0083594B" w:rsidP="00F931C1">
      <w:pPr>
        <w:spacing w:line="240" w:lineRule="auto"/>
        <w:contextualSpacing/>
        <w:jc w:val="both"/>
        <w:rPr>
          <w:rFonts w:ascii="Garamond" w:hAnsi="Garamond"/>
        </w:rPr>
      </w:pPr>
      <w:r w:rsidRPr="0018612C">
        <w:rPr>
          <w:rFonts w:ascii="Garamond" w:hAnsi="Garamond"/>
          <w:sz w:val="16"/>
          <w:szCs w:val="16"/>
        </w:rPr>
        <w:t>@Copyright 201</w:t>
      </w:r>
      <w:r w:rsidR="00F81B50">
        <w:rPr>
          <w:rFonts w:ascii="Garamond" w:hAnsi="Garamond"/>
          <w:sz w:val="16"/>
          <w:szCs w:val="16"/>
        </w:rPr>
        <w:t>6</w:t>
      </w:r>
      <w:r w:rsidRPr="0018612C">
        <w:rPr>
          <w:rFonts w:ascii="Garamond" w:hAnsi="Garamond"/>
          <w:sz w:val="16"/>
          <w:szCs w:val="16"/>
        </w:rPr>
        <w:t xml:space="preserve"> MSM Financial Strategies</w:t>
      </w:r>
    </w:p>
    <w:sectPr w:rsidR="008259B4" w:rsidRPr="00F931C1" w:rsidSect="00215D9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636D"/>
    <w:rsid w:val="00017145"/>
    <w:rsid w:val="00023DC1"/>
    <w:rsid w:val="0005176F"/>
    <w:rsid w:val="00053CA0"/>
    <w:rsid w:val="00073CDB"/>
    <w:rsid w:val="000809C0"/>
    <w:rsid w:val="00092DEF"/>
    <w:rsid w:val="000D0A9E"/>
    <w:rsid w:val="000F57DE"/>
    <w:rsid w:val="000F58FE"/>
    <w:rsid w:val="0011313E"/>
    <w:rsid w:val="0011636D"/>
    <w:rsid w:val="00145DFD"/>
    <w:rsid w:val="001639E1"/>
    <w:rsid w:val="001852BA"/>
    <w:rsid w:val="0018612C"/>
    <w:rsid w:val="00194F0A"/>
    <w:rsid w:val="001A51C0"/>
    <w:rsid w:val="001B4061"/>
    <w:rsid w:val="001D765D"/>
    <w:rsid w:val="002074EA"/>
    <w:rsid w:val="00215D9E"/>
    <w:rsid w:val="002522EE"/>
    <w:rsid w:val="002A1C17"/>
    <w:rsid w:val="002C4B47"/>
    <w:rsid w:val="002D600D"/>
    <w:rsid w:val="002E3777"/>
    <w:rsid w:val="002E3CB6"/>
    <w:rsid w:val="00311633"/>
    <w:rsid w:val="00314712"/>
    <w:rsid w:val="00351CB9"/>
    <w:rsid w:val="00357D6A"/>
    <w:rsid w:val="0036179E"/>
    <w:rsid w:val="00370A4E"/>
    <w:rsid w:val="003C7463"/>
    <w:rsid w:val="003D554E"/>
    <w:rsid w:val="003D7D77"/>
    <w:rsid w:val="003F1535"/>
    <w:rsid w:val="004017A1"/>
    <w:rsid w:val="00410C81"/>
    <w:rsid w:val="004269F9"/>
    <w:rsid w:val="004C20C8"/>
    <w:rsid w:val="004D2383"/>
    <w:rsid w:val="004E3CEE"/>
    <w:rsid w:val="005271D8"/>
    <w:rsid w:val="005468D8"/>
    <w:rsid w:val="00554EE3"/>
    <w:rsid w:val="00581FCB"/>
    <w:rsid w:val="005C63FE"/>
    <w:rsid w:val="005E08F6"/>
    <w:rsid w:val="005E1BE5"/>
    <w:rsid w:val="005E24A6"/>
    <w:rsid w:val="006154EF"/>
    <w:rsid w:val="00624DFA"/>
    <w:rsid w:val="00635E9E"/>
    <w:rsid w:val="00664C21"/>
    <w:rsid w:val="006809FB"/>
    <w:rsid w:val="006B66D6"/>
    <w:rsid w:val="006C27B8"/>
    <w:rsid w:val="0070152C"/>
    <w:rsid w:val="00750452"/>
    <w:rsid w:val="00750CDA"/>
    <w:rsid w:val="0078766E"/>
    <w:rsid w:val="007B595B"/>
    <w:rsid w:val="007C001B"/>
    <w:rsid w:val="007F5BCD"/>
    <w:rsid w:val="008259B4"/>
    <w:rsid w:val="00826EFE"/>
    <w:rsid w:val="0083594B"/>
    <w:rsid w:val="00841031"/>
    <w:rsid w:val="00860991"/>
    <w:rsid w:val="00867082"/>
    <w:rsid w:val="00883F44"/>
    <w:rsid w:val="00887724"/>
    <w:rsid w:val="008A63A9"/>
    <w:rsid w:val="008B45D9"/>
    <w:rsid w:val="008D5974"/>
    <w:rsid w:val="008F71BA"/>
    <w:rsid w:val="00971B85"/>
    <w:rsid w:val="0097721B"/>
    <w:rsid w:val="0097784E"/>
    <w:rsid w:val="009862EF"/>
    <w:rsid w:val="009C77F3"/>
    <w:rsid w:val="00A17DCF"/>
    <w:rsid w:val="00A23DC2"/>
    <w:rsid w:val="00A35DD4"/>
    <w:rsid w:val="00A35EEB"/>
    <w:rsid w:val="00A4099C"/>
    <w:rsid w:val="00A57792"/>
    <w:rsid w:val="00A77225"/>
    <w:rsid w:val="00AD4363"/>
    <w:rsid w:val="00B32764"/>
    <w:rsid w:val="00B82A34"/>
    <w:rsid w:val="00BA458E"/>
    <w:rsid w:val="00BB7AE9"/>
    <w:rsid w:val="00BC7735"/>
    <w:rsid w:val="00BE63C5"/>
    <w:rsid w:val="00C364D5"/>
    <w:rsid w:val="00C43F5C"/>
    <w:rsid w:val="00C73865"/>
    <w:rsid w:val="00C77587"/>
    <w:rsid w:val="00CC214E"/>
    <w:rsid w:val="00CD730D"/>
    <w:rsid w:val="00D10B87"/>
    <w:rsid w:val="00D1762D"/>
    <w:rsid w:val="00D36B0A"/>
    <w:rsid w:val="00D620B6"/>
    <w:rsid w:val="00D824B3"/>
    <w:rsid w:val="00DA5763"/>
    <w:rsid w:val="00DA65B8"/>
    <w:rsid w:val="00DB18CC"/>
    <w:rsid w:val="00DF01B6"/>
    <w:rsid w:val="00E352A4"/>
    <w:rsid w:val="00E80E72"/>
    <w:rsid w:val="00EC113F"/>
    <w:rsid w:val="00EC3075"/>
    <w:rsid w:val="00ED1AF8"/>
    <w:rsid w:val="00ED3A09"/>
    <w:rsid w:val="00F10CAE"/>
    <w:rsid w:val="00F137F6"/>
    <w:rsid w:val="00F516F5"/>
    <w:rsid w:val="00F56B72"/>
    <w:rsid w:val="00F62843"/>
    <w:rsid w:val="00F81B50"/>
    <w:rsid w:val="00F931C1"/>
    <w:rsid w:val="00F94CC6"/>
    <w:rsid w:val="00F96014"/>
    <w:rsid w:val="00FC1477"/>
    <w:rsid w:val="00FC41F6"/>
    <w:rsid w:val="00FD07F8"/>
    <w:rsid w:val="00FD0BC9"/>
    <w:rsid w:val="00FD73E8"/>
    <w:rsid w:val="00FF16F5"/>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DDFE3-40F3-4B49-B7B1-92319551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A4"/>
  </w:style>
  <w:style w:type="paragraph" w:styleId="Heading2">
    <w:name w:val="heading 2"/>
    <w:basedOn w:val="Normal"/>
    <w:next w:val="Normal"/>
    <w:link w:val="Heading2Char"/>
    <w:uiPriority w:val="99"/>
    <w:qFormat/>
    <w:rsid w:val="009862EF"/>
    <w:pPr>
      <w:keepNext/>
      <w:widowControl w:val="0"/>
      <w:spacing w:after="0" w:line="240" w:lineRule="auto"/>
      <w:outlineLvl w:val="1"/>
    </w:pPr>
    <w:rPr>
      <w:rFonts w:ascii="Times New Roman" w:eastAsia="Times New Roman" w:hAnsi="Times New Roman" w:cs="Times New Roman"/>
      <w:sz w:val="24"/>
      <w:szCs w:val="20"/>
      <w:u w:val="single"/>
    </w:rPr>
  </w:style>
  <w:style w:type="paragraph" w:styleId="Heading6">
    <w:name w:val="heading 6"/>
    <w:basedOn w:val="Normal"/>
    <w:next w:val="Normal"/>
    <w:link w:val="Heading6Char"/>
    <w:uiPriority w:val="9"/>
    <w:semiHidden/>
    <w:unhideWhenUsed/>
    <w:qFormat/>
    <w:rsid w:val="005C63F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C63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1636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11636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9862EF"/>
    <w:rPr>
      <w:rFonts w:ascii="Times New Roman" w:eastAsia="Times New Roman" w:hAnsi="Times New Roman" w:cs="Times New Roman"/>
      <w:sz w:val="24"/>
      <w:szCs w:val="20"/>
      <w:u w:val="single"/>
    </w:rPr>
  </w:style>
  <w:style w:type="table" w:styleId="TableGrid">
    <w:name w:val="Table Grid"/>
    <w:basedOn w:val="TableNormal"/>
    <w:uiPriority w:val="59"/>
    <w:rsid w:val="009862E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85"/>
    <w:rPr>
      <w:rFonts w:ascii="Segoe UI" w:hAnsi="Segoe UI" w:cs="Segoe UI"/>
      <w:sz w:val="18"/>
      <w:szCs w:val="18"/>
    </w:rPr>
  </w:style>
  <w:style w:type="character" w:customStyle="1" w:styleId="Heading6Char">
    <w:name w:val="Heading 6 Char"/>
    <w:basedOn w:val="DefaultParagraphFont"/>
    <w:link w:val="Heading6"/>
    <w:uiPriority w:val="9"/>
    <w:semiHidden/>
    <w:rsid w:val="005C63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C63FE"/>
    <w:rPr>
      <w:rFonts w:asciiTheme="majorHAnsi" w:eastAsiaTheme="majorEastAsia" w:hAnsiTheme="majorHAnsi" w:cstheme="majorBidi"/>
      <w:i/>
      <w:iCs/>
      <w:color w:val="1F4D78" w:themeColor="accent1" w:themeShade="7F"/>
    </w:rPr>
  </w:style>
  <w:style w:type="table" w:customStyle="1" w:styleId="TableGrid1">
    <w:name w:val="Table Grid1"/>
    <w:basedOn w:val="TableNormal"/>
    <w:next w:val="TableGrid"/>
    <w:uiPriority w:val="59"/>
    <w:rsid w:val="005C63F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Scott</dc:creator>
  <cp:lastModifiedBy>Trish Scott</cp:lastModifiedBy>
  <cp:revision>6</cp:revision>
  <cp:lastPrinted>2016-05-11T10:59:00Z</cp:lastPrinted>
  <dcterms:created xsi:type="dcterms:W3CDTF">2016-04-06T02:27:00Z</dcterms:created>
  <dcterms:modified xsi:type="dcterms:W3CDTF">2016-05-11T11:08:00Z</dcterms:modified>
</cp:coreProperties>
</file>