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A5" w:rsidRPr="00A832A5" w:rsidRDefault="00A832A5" w:rsidP="00A832A5">
      <w:pPr>
        <w:pStyle w:val="NormalWeb"/>
        <w:shd w:val="clear" w:color="auto" w:fill="FFFFFF"/>
        <w:spacing w:before="0" w:beforeAutospacing="0" w:after="0" w:afterAutospacing="0"/>
        <w:ind w:left="720"/>
        <w:jc w:val="center"/>
        <w:rPr>
          <w:rFonts w:ascii="Arial" w:hAnsi="Arial" w:cs="Arial"/>
          <w:color w:val="808080" w:themeColor="background1" w:themeShade="80"/>
          <w:sz w:val="22"/>
          <w:szCs w:val="22"/>
        </w:rPr>
      </w:pPr>
      <w:r>
        <w:rPr>
          <w:rFonts w:ascii="Tahoma" w:hAnsi="Tahoma" w:cs="Tahoma"/>
          <w:color w:val="808080" w:themeColor="background1" w:themeShade="80"/>
          <w:sz w:val="22"/>
          <w:szCs w:val="22"/>
        </w:rPr>
        <w:t xml:space="preserve">Returns, </w:t>
      </w:r>
      <w:r w:rsidRPr="00A832A5">
        <w:rPr>
          <w:rFonts w:ascii="Tahoma" w:hAnsi="Tahoma" w:cs="Tahoma"/>
          <w:color w:val="808080" w:themeColor="background1" w:themeShade="80"/>
          <w:sz w:val="22"/>
          <w:szCs w:val="22"/>
        </w:rPr>
        <w:t>Collections and Rental Policies</w:t>
      </w:r>
    </w:p>
    <w:p w:rsidR="00A832A5" w:rsidRPr="00A832A5" w:rsidRDefault="00A832A5" w:rsidP="00A832A5">
      <w:pPr>
        <w:pStyle w:val="NormalWeb"/>
        <w:shd w:val="clear" w:color="auto" w:fill="FFFFFF"/>
        <w:spacing w:before="0" w:beforeAutospacing="0" w:after="0" w:afterAutospacing="0"/>
        <w:rPr>
          <w:rFonts w:ascii="Arial" w:hAnsi="Arial" w:cs="Arial"/>
          <w:color w:val="808080" w:themeColor="background1" w:themeShade="80"/>
          <w:sz w:val="22"/>
          <w:szCs w:val="22"/>
        </w:rPr>
      </w:pP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Products must be returned or exchanged within 14 days and found to be in original condition/packaging to be eligible for a refund.</w:t>
      </w:r>
    </w:p>
    <w:p w:rsidR="00A832A5" w:rsidRPr="00A832A5" w:rsidRDefault="00A832A5" w:rsidP="00A832A5">
      <w:pPr>
        <w:pStyle w:val="NormalWeb"/>
        <w:shd w:val="clear" w:color="auto" w:fill="FFFFFF"/>
        <w:spacing w:before="0" w:beforeAutospacing="0" w:after="0" w:afterAutospacing="0"/>
        <w:ind w:left="720"/>
        <w:rPr>
          <w:rFonts w:ascii="Arial" w:hAnsi="Arial" w:cs="Arial"/>
          <w:color w:val="808080" w:themeColor="background1" w:themeShade="80"/>
          <w:sz w:val="22"/>
          <w:szCs w:val="22"/>
        </w:rPr>
      </w:pP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Refunds or exchanges will NOT be offered after 14 days.</w:t>
      </w:r>
      <w:r w:rsidRPr="00A832A5">
        <w:rPr>
          <w:rFonts w:ascii="Tahoma" w:hAnsi="Tahoma" w:cs="Tahoma"/>
          <w:color w:val="808080" w:themeColor="background1" w:themeShade="80"/>
          <w:sz w:val="22"/>
          <w:szCs w:val="22"/>
        </w:rPr>
        <w:br/>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Original store receipt and personal identification is required for all returns or exchanges. A credit card receipt will not be accepted as an original receipt.</w:t>
      </w:r>
      <w:r w:rsidRPr="00A832A5">
        <w:rPr>
          <w:rFonts w:ascii="Tahoma" w:hAnsi="Tahoma" w:cs="Tahoma"/>
          <w:color w:val="808080" w:themeColor="background1" w:themeShade="80"/>
          <w:sz w:val="22"/>
          <w:szCs w:val="22"/>
        </w:rPr>
        <w:br/>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Refunds or exchanges can NOT be made on special orders, soft goods, personal care items, or bathroom equipment including, but not limited to shower chairs, bedside commodes, and tub transfer benches.</w:t>
      </w:r>
      <w:r w:rsidRPr="00A832A5">
        <w:rPr>
          <w:rFonts w:ascii="Tahoma" w:hAnsi="Tahoma" w:cs="Tahoma"/>
          <w:color w:val="808080" w:themeColor="background1" w:themeShade="80"/>
          <w:sz w:val="22"/>
          <w:szCs w:val="22"/>
        </w:rPr>
        <w:br/>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Refunds or exchanges will NOT be made on special order items including, but not limited to lift chairs, custom wheelchairs, electronic parts, scooters, and any catalog ordered items.</w:t>
      </w:r>
      <w:r w:rsidRPr="00A832A5">
        <w:rPr>
          <w:rFonts w:ascii="Tahoma" w:hAnsi="Tahoma" w:cs="Tahoma"/>
          <w:color w:val="808080" w:themeColor="background1" w:themeShade="80"/>
          <w:sz w:val="22"/>
          <w:szCs w:val="22"/>
        </w:rPr>
        <w:br/>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Refunds or exchanges will NOT be offered when any third party has been billed (i.e. Medicare, Medicaid, or private insurance).</w:t>
      </w:r>
      <w:r w:rsidRPr="00A832A5">
        <w:rPr>
          <w:rFonts w:ascii="Tahoma" w:hAnsi="Tahoma" w:cs="Tahoma"/>
          <w:color w:val="808080" w:themeColor="background1" w:themeShade="80"/>
          <w:sz w:val="22"/>
          <w:szCs w:val="22"/>
        </w:rPr>
        <w:br/>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Refunds or credits will NOT be issued on the early return of rental items (i.e. rental of wheelchairs, hospital beds, etc.).</w:t>
      </w:r>
      <w:r w:rsidRPr="00A832A5">
        <w:rPr>
          <w:rFonts w:ascii="Tahoma" w:hAnsi="Tahoma" w:cs="Tahoma"/>
          <w:color w:val="808080" w:themeColor="background1" w:themeShade="80"/>
          <w:sz w:val="22"/>
          <w:szCs w:val="22"/>
        </w:rPr>
        <w:br/>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Refunds are issued according to the form of payment used to purchase the items.</w:t>
      </w:r>
      <w:r w:rsidRPr="00A832A5">
        <w:rPr>
          <w:rFonts w:ascii="Tahoma" w:hAnsi="Tahoma" w:cs="Tahoma"/>
          <w:color w:val="808080" w:themeColor="background1" w:themeShade="80"/>
          <w:sz w:val="22"/>
          <w:szCs w:val="22"/>
        </w:rPr>
        <w:br/>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Credit card purchases are refunded to the original credit card used to make the purchase. Original store receipt and original credit card receipt are required.</w:t>
      </w:r>
      <w:r w:rsidRPr="00A832A5">
        <w:rPr>
          <w:rFonts w:ascii="Tahoma" w:hAnsi="Tahoma" w:cs="Tahoma"/>
          <w:color w:val="808080" w:themeColor="background1" w:themeShade="80"/>
          <w:sz w:val="22"/>
          <w:szCs w:val="22"/>
        </w:rPr>
        <w:br/>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Cash can be refunded for cash purchases up to $50. Cash purchases over $50 will be refunded by corporate issued mail-check.</w:t>
      </w:r>
      <w:r w:rsidRPr="00A832A5">
        <w:rPr>
          <w:rFonts w:ascii="Tahoma" w:hAnsi="Tahoma" w:cs="Tahoma"/>
          <w:color w:val="808080" w:themeColor="background1" w:themeShade="80"/>
          <w:sz w:val="22"/>
          <w:szCs w:val="22"/>
        </w:rPr>
        <w:br/>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Purchases made by personal check will be refunded by corporate issued mail check mailed after 28 days from date of purchase listed on original store receipt.</w:t>
      </w:r>
    </w:p>
    <w:p w:rsidR="00A832A5" w:rsidRPr="00A832A5" w:rsidRDefault="00A832A5" w:rsidP="00A832A5">
      <w:pPr>
        <w:pStyle w:val="NormalWeb"/>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w:t>
      </w: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Travis Medical reserves the right to assess the patient a $25.00 fee if the account is turned over to a third party collection service due to non-payment.</w:t>
      </w:r>
    </w:p>
    <w:p w:rsidR="00A832A5" w:rsidRPr="00A832A5" w:rsidRDefault="00A832A5" w:rsidP="00A832A5">
      <w:pPr>
        <w:pStyle w:val="NormalWeb"/>
        <w:shd w:val="clear" w:color="auto" w:fill="FFFFFF"/>
        <w:spacing w:before="0" w:beforeAutospacing="0" w:after="0" w:afterAutospacing="0"/>
        <w:rPr>
          <w:rFonts w:ascii="Arial" w:hAnsi="Arial" w:cs="Arial"/>
          <w:color w:val="808080" w:themeColor="background1" w:themeShade="80"/>
          <w:sz w:val="22"/>
          <w:szCs w:val="22"/>
        </w:rPr>
      </w:pPr>
    </w:p>
    <w:p w:rsidR="00A832A5" w:rsidRPr="00A832A5" w:rsidRDefault="00A832A5" w:rsidP="00A832A5">
      <w:pPr>
        <w:pStyle w:val="NormalWeb"/>
        <w:numPr>
          <w:ilvl w:val="0"/>
          <w:numId w:val="4"/>
        </w:numPr>
        <w:shd w:val="clear" w:color="auto" w:fill="FFFFFF"/>
        <w:spacing w:before="0" w:beforeAutospacing="0" w:after="0" w:afterAutospacing="0"/>
        <w:rPr>
          <w:rFonts w:ascii="Arial" w:hAnsi="Arial" w:cs="Arial"/>
          <w:color w:val="808080" w:themeColor="background1" w:themeShade="80"/>
          <w:sz w:val="22"/>
          <w:szCs w:val="22"/>
        </w:rPr>
      </w:pPr>
      <w:r w:rsidRPr="00A832A5">
        <w:rPr>
          <w:rFonts w:ascii="Tahoma" w:hAnsi="Tahoma" w:cs="Tahoma"/>
          <w:color w:val="808080" w:themeColor="background1" w:themeShade="80"/>
          <w:sz w:val="22"/>
          <w:szCs w:val="22"/>
        </w:rPr>
        <w:t>Travis Medical reserves the right to turn a patient account over to a third party collection service for the retail cost of the equipment plus the remaining balance if the rental equipment is not returned.</w:t>
      </w:r>
    </w:p>
    <w:p w:rsidR="00A832A5" w:rsidRPr="00A832A5" w:rsidRDefault="00A832A5" w:rsidP="00A832A5">
      <w:pPr>
        <w:pStyle w:val="NormalWeb"/>
        <w:shd w:val="clear" w:color="auto" w:fill="FFFFFF"/>
        <w:spacing w:before="0" w:beforeAutospacing="0" w:after="0" w:afterAutospacing="0"/>
        <w:rPr>
          <w:rFonts w:ascii="Arial" w:hAnsi="Arial" w:cs="Arial"/>
          <w:color w:val="808080" w:themeColor="background1" w:themeShade="80"/>
          <w:sz w:val="22"/>
          <w:szCs w:val="22"/>
        </w:rPr>
      </w:pPr>
    </w:p>
    <w:p w:rsidR="00B81758" w:rsidRPr="00A832A5" w:rsidRDefault="00B81758" w:rsidP="00563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themeColor="background1" w:themeShade="80"/>
          <w:sz w:val="22"/>
          <w:szCs w:val="22"/>
        </w:rPr>
      </w:pPr>
    </w:p>
    <w:p w:rsidR="00B81758" w:rsidRPr="00A832A5" w:rsidRDefault="00B81758" w:rsidP="00563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themeColor="background1" w:themeShade="80"/>
          <w:sz w:val="22"/>
          <w:szCs w:val="22"/>
        </w:rPr>
      </w:pPr>
    </w:p>
    <w:p w:rsidR="008F2642" w:rsidRPr="00A832A5" w:rsidRDefault="008F2642" w:rsidP="00563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320"/>
        <w:rPr>
          <w:color w:val="808080" w:themeColor="background1" w:themeShade="80"/>
          <w:sz w:val="22"/>
          <w:szCs w:val="22"/>
        </w:rPr>
      </w:pPr>
    </w:p>
    <w:sectPr w:rsidR="008F2642" w:rsidRPr="00A832A5" w:rsidSect="00B81758">
      <w:headerReference w:type="default" r:id="rId8"/>
      <w:footerReference w:type="default" r:id="rId9"/>
      <w:pgSz w:w="12240" w:h="15840" w:code="1"/>
      <w:pgMar w:top="2067" w:right="1350" w:bottom="1080" w:left="1530" w:header="180" w:footer="24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9D0" w:rsidRDefault="005E29D0">
      <w:r>
        <w:separator/>
      </w:r>
    </w:p>
  </w:endnote>
  <w:endnote w:type="continuationSeparator" w:id="0">
    <w:p w:rsidR="005E29D0" w:rsidRDefault="005E29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58" w:rsidRDefault="00B81758">
    <w:pPr>
      <w:pStyle w:val="Footer"/>
      <w:jc w:val="center"/>
      <w:rPr>
        <w:rFonts w:ascii="Arial" w:hAnsi="Arial" w:cs="Arial"/>
        <w:sz w:val="20"/>
      </w:rPr>
    </w:pPr>
    <w:r>
      <w:rPr>
        <w:rFonts w:ascii="Arial" w:hAnsi="Arial" w:cs="Arial"/>
        <w:noProof/>
        <w:sz w:val="20"/>
      </w:rPr>
      <w:pict>
        <v:line id="_x0000_s2050" style="position:absolute;left:0;text-align:left;z-index:251657216" from="-41.2pt,-15.7pt" to="498.8pt,-15.7pt"/>
      </w:pict>
    </w:r>
    <w:r>
      <w:rPr>
        <w:rFonts w:ascii="Arial" w:hAnsi="Arial" w:cs="Arial"/>
        <w:sz w:val="20"/>
      </w:rPr>
      <w:t>1104 West 34</w:t>
    </w:r>
    <w:r>
      <w:rPr>
        <w:rFonts w:ascii="Arial" w:hAnsi="Arial" w:cs="Arial"/>
        <w:sz w:val="20"/>
        <w:vertAlign w:val="superscript"/>
      </w:rPr>
      <w:t>th</w:t>
    </w:r>
    <w:r>
      <w:rPr>
        <w:rFonts w:ascii="Arial" w:hAnsi="Arial" w:cs="Arial"/>
        <w:sz w:val="20"/>
      </w:rPr>
      <w:t xml:space="preserve"> Street </w:t>
    </w:r>
    <w:r>
      <w:rPr>
        <w:rFonts w:ascii="Arial" w:hAnsi="Arial" w:cs="Arial"/>
        <w:sz w:val="20"/>
      </w:rPr>
      <w:sym w:font="Symbol" w:char="F0B7"/>
    </w:r>
    <w:r>
      <w:rPr>
        <w:rFonts w:ascii="Arial" w:hAnsi="Arial" w:cs="Arial"/>
        <w:sz w:val="20"/>
      </w:rPr>
      <w:t xml:space="preserve"> Austin, TX 78705 </w:t>
    </w:r>
    <w:r>
      <w:rPr>
        <w:rFonts w:ascii="Arial" w:hAnsi="Arial" w:cs="Arial"/>
        <w:sz w:val="20"/>
      </w:rPr>
      <w:sym w:font="Symbol" w:char="F0B7"/>
    </w:r>
    <w:r>
      <w:rPr>
        <w:rFonts w:ascii="Arial" w:hAnsi="Arial" w:cs="Arial"/>
        <w:sz w:val="20"/>
      </w:rPr>
      <w:t xml:space="preserve"> Phone: (512) 458-4589 </w:t>
    </w:r>
    <w:r>
      <w:rPr>
        <w:rFonts w:ascii="Arial" w:hAnsi="Arial" w:cs="Arial"/>
        <w:sz w:val="20"/>
      </w:rPr>
      <w:sym w:font="Symbol" w:char="F0B7"/>
    </w:r>
    <w:r>
      <w:rPr>
        <w:rFonts w:ascii="Arial" w:hAnsi="Arial" w:cs="Arial"/>
        <w:sz w:val="20"/>
      </w:rPr>
      <w:t xml:space="preserve"> Fax: (512) 454- 9521</w:t>
    </w:r>
  </w:p>
  <w:p w:rsidR="00B81758" w:rsidRDefault="00B81758">
    <w:pPr>
      <w:pStyle w:val="Footer"/>
      <w:jc w:val="center"/>
      <w:rPr>
        <w:rFonts w:ascii="Arial" w:hAnsi="Arial" w:cs="Arial"/>
        <w:sz w:val="20"/>
      </w:rPr>
    </w:pPr>
    <w:r>
      <w:rPr>
        <w:rFonts w:ascii="Arial" w:hAnsi="Arial" w:cs="Arial"/>
        <w:sz w:val="20"/>
      </w:rPr>
      <w:t>www.travismedical.com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9D0" w:rsidRDefault="005E29D0">
      <w:r>
        <w:separator/>
      </w:r>
    </w:p>
  </w:footnote>
  <w:footnote w:type="continuationSeparator" w:id="0">
    <w:p w:rsidR="005E29D0" w:rsidRDefault="005E2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58" w:rsidRDefault="00B81758">
    <w:pPr>
      <w:pStyle w:val="Header"/>
      <w:ind w:left="-1260"/>
    </w:pPr>
  </w:p>
  <w:p w:rsidR="00B81758" w:rsidRDefault="00B81758">
    <w:pPr>
      <w:pStyle w:val="Header"/>
      <w:ind w:left="-1260"/>
    </w:pPr>
    <w:r>
      <w:tab/>
    </w:r>
  </w:p>
  <w:p w:rsidR="00B81758" w:rsidRDefault="00A832A5">
    <w:pPr>
      <w:pStyle w:val="Header"/>
      <w:ind w:left="-1260"/>
    </w:pPr>
    <w:r>
      <w:rPr>
        <w:noProof/>
      </w:rPr>
      <w:drawing>
        <wp:anchor distT="0" distB="0" distL="114300" distR="114300" simplePos="0" relativeHeight="251658240" behindDoc="0" locked="0" layoutInCell="1" allowOverlap="1">
          <wp:simplePos x="0" y="0"/>
          <wp:positionH relativeFrom="column">
            <wp:posOffset>1257300</wp:posOffset>
          </wp:positionH>
          <wp:positionV relativeFrom="paragraph">
            <wp:posOffset>47625</wp:posOffset>
          </wp:positionV>
          <wp:extent cx="2971800" cy="537210"/>
          <wp:effectExtent l="19050" t="0" r="0" b="0"/>
          <wp:wrapNone/>
          <wp:docPr id="4" name="Picture 4" descr="tmsc-logo-pixel-per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msc-logo-pixel-perfect"/>
                  <pic:cNvPicPr>
                    <a:picLocks noChangeAspect="1" noChangeArrowheads="1"/>
                  </pic:cNvPicPr>
                </pic:nvPicPr>
                <pic:blipFill>
                  <a:blip r:embed="rId1"/>
                  <a:srcRect/>
                  <a:stretch>
                    <a:fillRect/>
                  </a:stretch>
                </pic:blipFill>
                <pic:spPr bwMode="auto">
                  <a:xfrm>
                    <a:off x="0" y="0"/>
                    <a:ext cx="2971800" cy="537210"/>
                  </a:xfrm>
                  <a:prstGeom prst="rect">
                    <a:avLst/>
                  </a:prstGeom>
                  <a:noFill/>
                  <a:ln w="9525">
                    <a:noFill/>
                    <a:miter lim="800000"/>
                    <a:headEnd/>
                    <a:tailEnd/>
                  </a:ln>
                </pic:spPr>
              </pic:pic>
            </a:graphicData>
          </a:graphic>
        </wp:anchor>
      </w:drawing>
    </w:r>
  </w:p>
  <w:p w:rsidR="00B81758" w:rsidRDefault="00B81758">
    <w:pPr>
      <w:pStyle w:val="Header"/>
      <w:ind w:left="-1260"/>
    </w:pPr>
  </w:p>
  <w:p w:rsidR="00B81758" w:rsidRDefault="00B81758">
    <w:pPr>
      <w:pStyle w:val="Header"/>
      <w:ind w:left="-1260"/>
    </w:pPr>
  </w:p>
  <w:p w:rsidR="00B81758" w:rsidRDefault="00B81758">
    <w:pPr>
      <w:pStyle w:val="Header"/>
      <w:ind w:left="-12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5B492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002B11"/>
    <w:multiLevelType w:val="hybridMultilevel"/>
    <w:tmpl w:val="62AE20BA"/>
    <w:lvl w:ilvl="0" w:tplc="0576FD7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461141F"/>
    <w:multiLevelType w:val="hybridMultilevel"/>
    <w:tmpl w:val="1EF2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90224"/>
    <w:multiLevelType w:val="hybridMultilevel"/>
    <w:tmpl w:val="AC1C2CEE"/>
    <w:lvl w:ilvl="0" w:tplc="02F84990">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90D45"/>
    <w:rsid w:val="000F2B3F"/>
    <w:rsid w:val="001A2DFB"/>
    <w:rsid w:val="002C23CE"/>
    <w:rsid w:val="00307130"/>
    <w:rsid w:val="0036345D"/>
    <w:rsid w:val="004131B2"/>
    <w:rsid w:val="00490D45"/>
    <w:rsid w:val="00515977"/>
    <w:rsid w:val="00563141"/>
    <w:rsid w:val="005E29D0"/>
    <w:rsid w:val="005F1FB7"/>
    <w:rsid w:val="0089211E"/>
    <w:rsid w:val="008F2642"/>
    <w:rsid w:val="00907E3D"/>
    <w:rsid w:val="00A832A5"/>
    <w:rsid w:val="00AE76CD"/>
    <w:rsid w:val="00B81758"/>
    <w:rsid w:val="00B839EA"/>
    <w:rsid w:val="00C25DE5"/>
    <w:rsid w:val="00C92FFA"/>
    <w:rsid w:val="00C9468A"/>
    <w:rsid w:val="00D511D3"/>
    <w:rsid w:val="00E83CF9"/>
    <w:rsid w:val="00F27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cs="Arial"/>
    </w:rPr>
  </w:style>
  <w:style w:type="paragraph" w:customStyle="1" w:styleId="HPContact">
    <w:name w:val="HPContact"/>
    <w:basedOn w:val="Normal"/>
    <w:autoRedefine/>
    <w:rPr>
      <w:b/>
      <w:bCs/>
      <w:noProof/>
    </w:rPr>
  </w:style>
  <w:style w:type="character" w:styleId="Strong">
    <w:name w:val="Strong"/>
    <w:qFormat/>
    <w:rPr>
      <w:b/>
      <w:bCs/>
    </w:rPr>
  </w:style>
  <w:style w:type="paragraph" w:styleId="BodyText2">
    <w:name w:val="Body Text 2"/>
    <w:basedOn w:val="Normal"/>
    <w:semiHidden/>
    <w:rPr>
      <w:rFonts w:ascii="Arial" w:hAnsi="Arial" w:cs="Arial"/>
      <w:sz w:val="18"/>
      <w:szCs w:val="20"/>
    </w:rPr>
  </w:style>
  <w:style w:type="paragraph" w:styleId="BalloonText">
    <w:name w:val="Balloon Text"/>
    <w:basedOn w:val="Normal"/>
    <w:link w:val="BalloonTextChar"/>
    <w:uiPriority w:val="99"/>
    <w:semiHidden/>
    <w:unhideWhenUsed/>
    <w:rsid w:val="00C92FFA"/>
    <w:rPr>
      <w:rFonts w:ascii="Tahoma" w:hAnsi="Tahoma" w:cs="Tahoma"/>
      <w:sz w:val="16"/>
      <w:szCs w:val="16"/>
    </w:rPr>
  </w:style>
  <w:style w:type="character" w:customStyle="1" w:styleId="BalloonTextChar">
    <w:name w:val="Balloon Text Char"/>
    <w:link w:val="BalloonText"/>
    <w:uiPriority w:val="99"/>
    <w:semiHidden/>
    <w:rsid w:val="00C92FFA"/>
    <w:rPr>
      <w:rFonts w:ascii="Tahoma" w:hAnsi="Tahoma" w:cs="Tahoma"/>
      <w:sz w:val="16"/>
      <w:szCs w:val="16"/>
    </w:rPr>
  </w:style>
  <w:style w:type="paragraph" w:styleId="NormalWeb">
    <w:name w:val="Normal (Web)"/>
    <w:basedOn w:val="Normal"/>
    <w:uiPriority w:val="99"/>
    <w:semiHidden/>
    <w:unhideWhenUsed/>
    <w:rsid w:val="00A832A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5916509">
      <w:bodyDiv w:val="1"/>
      <w:marLeft w:val="0"/>
      <w:marRight w:val="0"/>
      <w:marTop w:val="0"/>
      <w:marBottom w:val="0"/>
      <w:divBdr>
        <w:top w:val="none" w:sz="0" w:space="0" w:color="auto"/>
        <w:left w:val="none" w:sz="0" w:space="0" w:color="auto"/>
        <w:bottom w:val="none" w:sz="0" w:space="0" w:color="auto"/>
        <w:right w:val="none" w:sz="0" w:space="0" w:color="auto"/>
      </w:divBdr>
    </w:div>
    <w:div w:id="3994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B3B2-B7D0-43AD-9CA3-22D4C80E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June 13, 2011</vt:lpstr>
    </vt:vector>
  </TitlesOfParts>
  <Company>Travis Medical</Company>
  <LinksUpToDate>false</LinksUpToDate>
  <CharactersWithSpaces>1921</CharactersWithSpaces>
  <SharedDoc>false</SharedDoc>
  <HLinks>
    <vt:vector size="6" baseType="variant">
      <vt:variant>
        <vt:i4>6881373</vt:i4>
      </vt:variant>
      <vt:variant>
        <vt:i4>-1</vt:i4>
      </vt:variant>
      <vt:variant>
        <vt:i4>2052</vt:i4>
      </vt:variant>
      <vt:variant>
        <vt:i4>1</vt:i4>
      </vt:variant>
      <vt:variant>
        <vt:lpwstr>tmsc-logo-pixel-perfect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13, 2011</dc:title>
  <dc:creator>noah</dc:creator>
  <cp:lastModifiedBy>nicole.cruse</cp:lastModifiedBy>
  <cp:revision>2</cp:revision>
  <cp:lastPrinted>2015-07-29T17:17:00Z</cp:lastPrinted>
  <dcterms:created xsi:type="dcterms:W3CDTF">2015-11-09T18:47:00Z</dcterms:created>
  <dcterms:modified xsi:type="dcterms:W3CDTF">2015-11-09T18:47:00Z</dcterms:modified>
</cp:coreProperties>
</file>