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0D1BC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Minutes from July 10, 2018 regular meeting of the Le Sueur County SWCD Board of Supervisors.  SWCD building, Le Center, MN.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was called to order by Vice-Chairman Entinger at 9:00 a.m.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present:</w:t>
      </w:r>
      <w:r>
        <w:rPr>
          <w:rFonts w:asciiTheme="minorHAnsi" w:hAnsiTheme="minorHAnsi"/>
          <w:sz w:val="24"/>
          <w:szCs w:val="24"/>
        </w:rPr>
        <w:tab/>
        <w:t>Vice-Chairman, Greg Entinger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/>
          <w:sz w:val="24"/>
          <w:szCs w:val="24"/>
        </w:rPr>
        <w:t>Glendon</w:t>
      </w:r>
      <w:proofErr w:type="spellEnd"/>
      <w:r>
        <w:rPr>
          <w:rFonts w:asciiTheme="minorHAnsi" w:hAnsiTheme="minorHAnsi"/>
          <w:sz w:val="24"/>
          <w:szCs w:val="24"/>
        </w:rPr>
        <w:t xml:space="preserve"> Braun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absent:</w:t>
      </w:r>
      <w:r>
        <w:rPr>
          <w:rFonts w:asciiTheme="minorHAnsi" w:hAnsiTheme="minorHAnsi"/>
          <w:sz w:val="24"/>
          <w:szCs w:val="24"/>
        </w:rPr>
        <w:tab/>
        <w:t>Chairman, Jim Struck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Others present:</w:t>
      </w:r>
      <w:r>
        <w:rPr>
          <w:rFonts w:asciiTheme="minorHAnsi" w:hAnsiTheme="minorHAnsi"/>
          <w:sz w:val="24"/>
          <w:szCs w:val="24"/>
        </w:rPr>
        <w:tab/>
        <w:t>District Manager, Mike Schultz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Technician, Joe Jirik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Ditch Specialist, Nik Kadel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Conservation Corps, Karl Schmidtke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Program Specialist, Sue Prchal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Conservationist, Steve Breaker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Cannon River Watershed, Alan Kraus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Pledge of Allegiance was recited.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Secretary’s report from June 12, 2018 was read and approved.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June 2018 treasurer’s report was read. 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approve as read and to pay bills.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CRWP, Alan Kraus, handed out their annual report.  Discussed membership information, current programs, habitat complex and governance change.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Joel Hansen cover crop cost-share contract #CAP-2018-1 was approved to encumber $7200.00 with a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Mike </w:t>
      </w:r>
      <w:proofErr w:type="spellStart"/>
      <w:r>
        <w:rPr>
          <w:rFonts w:asciiTheme="minorHAnsi" w:hAnsiTheme="minorHAnsi"/>
          <w:sz w:val="24"/>
          <w:szCs w:val="24"/>
        </w:rPr>
        <w:t>Schloesser</w:t>
      </w:r>
      <w:proofErr w:type="spellEnd"/>
      <w:r>
        <w:rPr>
          <w:rFonts w:asciiTheme="minorHAnsi" w:hAnsiTheme="minorHAnsi"/>
          <w:sz w:val="24"/>
          <w:szCs w:val="24"/>
        </w:rPr>
        <w:t xml:space="preserve"> cover crop cost-share contract #CAP-2018-4 was approved to encumber $4050.00 with a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Braun.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Kevin Connolly cover crop cost-share contract #CAP-2018-3 was approved to encumber $900.00 with a motion by Braun, second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220303" w:rsidRDefault="00220303" w:rsidP="00220303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220303" w:rsidRDefault="00220303" w:rsidP="00A8049D">
      <w:pPr>
        <w:ind w:left="0"/>
        <w:rPr>
          <w:rFonts w:asciiTheme="minorHAnsi" w:hAnsiTheme="minorHAnsi"/>
          <w:sz w:val="24"/>
          <w:szCs w:val="24"/>
        </w:rPr>
      </w:pP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encumber $33,028.10 for Donovan </w:t>
      </w:r>
      <w:proofErr w:type="spellStart"/>
      <w:r>
        <w:rPr>
          <w:rFonts w:asciiTheme="minorHAnsi" w:hAnsiTheme="minorHAnsi"/>
          <w:sz w:val="24"/>
          <w:szCs w:val="24"/>
        </w:rPr>
        <w:t>Schwichtenberg</w:t>
      </w:r>
      <w:proofErr w:type="spellEnd"/>
      <w:r>
        <w:rPr>
          <w:rFonts w:asciiTheme="minorHAnsi" w:hAnsiTheme="minorHAnsi"/>
          <w:sz w:val="24"/>
          <w:szCs w:val="24"/>
        </w:rPr>
        <w:t xml:space="preserve"> WASCOB flood relief cost-share.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Cover crop program cost-share was discussed.  The SWCD board set aside $30,000.00 in capacity dollars for cover crops for all of Le Sueur County and will pay $30.00/acre cost-share.  The Sand Creek Watershed has a cover crop program that pays $40.00/acre and the German/Jefferson Watershed has a cover crop program that pays $30.00/acre.</w:t>
      </w: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pay the SC TSA $3319.00 yearly fee for engineering. 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B77DCE" w:rsidRDefault="00B77DCE" w:rsidP="00B77DCE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B77DCE" w:rsidRDefault="00B77DCE" w:rsidP="00A8049D">
      <w:pPr>
        <w:ind w:left="0"/>
        <w:rPr>
          <w:rFonts w:asciiTheme="minorHAnsi" w:hAnsiTheme="minorHAnsi"/>
          <w:sz w:val="24"/>
          <w:szCs w:val="24"/>
        </w:rPr>
      </w:pPr>
    </w:p>
    <w:p w:rsidR="00B77DCE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Farmfest</w:t>
      </w:r>
      <w:proofErr w:type="spellEnd"/>
      <w:r>
        <w:rPr>
          <w:rFonts w:asciiTheme="minorHAnsi" w:hAnsiTheme="minorHAnsi"/>
          <w:sz w:val="24"/>
          <w:szCs w:val="24"/>
        </w:rPr>
        <w:t xml:space="preserve"> booth volunteers were discussed.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Cletus to approve the FY18 Non Structural Land Management Practices policy.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staff is putting together a newsletter and would like to spot light a supervisor.  Entinger will be interviewed.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Braun to purchase water monitoring equipment for nitrate sampling on wells.  The cost is $7500.00.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B71DDD" w:rsidRDefault="00B71DDD" w:rsidP="00A8049D">
      <w:pPr>
        <w:ind w:left="0"/>
        <w:rPr>
          <w:rFonts w:asciiTheme="minorHAnsi" w:hAnsiTheme="minorHAnsi"/>
          <w:sz w:val="24"/>
          <w:szCs w:val="24"/>
        </w:rPr>
      </w:pPr>
    </w:p>
    <w:p w:rsidR="00B71DDD" w:rsidRDefault="00B71DDD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Motion by Entinger, second by Braun to pay the entry fee for a team for the SWCD golf tournament.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2360B" w:rsidRDefault="0072360B" w:rsidP="0072360B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Woelfel</w:t>
      </w:r>
      <w:proofErr w:type="spellEnd"/>
      <w:r>
        <w:rPr>
          <w:rFonts w:asciiTheme="minorHAnsi" w:hAnsiTheme="minorHAnsi"/>
          <w:sz w:val="24"/>
          <w:szCs w:val="24"/>
        </w:rPr>
        <w:t xml:space="preserve"> Construction should </w:t>
      </w:r>
      <w:r w:rsidR="00B71DDD">
        <w:rPr>
          <w:rFonts w:asciiTheme="minorHAnsi" w:hAnsiTheme="minorHAnsi"/>
          <w:sz w:val="24"/>
          <w:szCs w:val="24"/>
        </w:rPr>
        <w:t>start</w:t>
      </w:r>
      <w:r w:rsidR="007075E2">
        <w:rPr>
          <w:rFonts w:asciiTheme="minorHAnsi" w:hAnsiTheme="minorHAnsi"/>
          <w:sz w:val="24"/>
          <w:szCs w:val="24"/>
        </w:rPr>
        <w:t xml:space="preserve"> tearing down the </w:t>
      </w:r>
      <w:proofErr w:type="spellStart"/>
      <w:r w:rsidR="007075E2">
        <w:rPr>
          <w:rFonts w:asciiTheme="minorHAnsi" w:hAnsiTheme="minorHAnsi"/>
          <w:sz w:val="24"/>
          <w:szCs w:val="24"/>
        </w:rPr>
        <w:t>Mager</w:t>
      </w:r>
      <w:proofErr w:type="spellEnd"/>
      <w:r>
        <w:rPr>
          <w:rFonts w:asciiTheme="minorHAnsi" w:hAnsiTheme="minorHAnsi"/>
          <w:sz w:val="24"/>
          <w:szCs w:val="24"/>
        </w:rPr>
        <w:t xml:space="preserve"> building the first week of August.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1W1P was d</w:t>
      </w:r>
      <w:r w:rsidR="00F812E5">
        <w:rPr>
          <w:rFonts w:asciiTheme="minorHAnsi" w:hAnsiTheme="minorHAnsi"/>
          <w:sz w:val="24"/>
          <w:szCs w:val="24"/>
        </w:rPr>
        <w:t>iscussed.  A joint powers board</w:t>
      </w:r>
      <w:r>
        <w:rPr>
          <w:rFonts w:asciiTheme="minorHAnsi" w:hAnsiTheme="minorHAnsi"/>
          <w:sz w:val="24"/>
          <w:szCs w:val="24"/>
        </w:rPr>
        <w:t xml:space="preserve"> was created to identify and approve projects.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Steve gave the NRCS report.  CRP sign up is open but has limited acres for </w:t>
      </w:r>
      <w:proofErr w:type="spellStart"/>
      <w:r>
        <w:rPr>
          <w:rFonts w:asciiTheme="minorHAnsi" w:hAnsiTheme="minorHAnsi"/>
          <w:sz w:val="24"/>
          <w:szCs w:val="24"/>
        </w:rPr>
        <w:t>filterstrips</w:t>
      </w:r>
      <w:proofErr w:type="spellEnd"/>
      <w:r>
        <w:rPr>
          <w:rFonts w:asciiTheme="minorHAnsi" w:hAnsiTheme="minorHAnsi"/>
          <w:sz w:val="24"/>
          <w:szCs w:val="24"/>
        </w:rPr>
        <w:t xml:space="preserve"> and wetland restoration</w:t>
      </w:r>
      <w:r w:rsidR="00F812E5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.  They are working on expired CRP contracts.  Steve will be on shared management with Blue Earth County NRCS 2 days a week.  Gary Hahn </w:t>
      </w:r>
      <w:r w:rsidR="00F812E5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>busy with field designs and construction.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2019 budget was reviewed by the board.  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approve</w:t>
      </w:r>
      <w:r w:rsidR="00B71DDD">
        <w:rPr>
          <w:rFonts w:asciiTheme="minorHAnsi" w:hAnsiTheme="minorHAnsi"/>
          <w:sz w:val="24"/>
          <w:szCs w:val="24"/>
        </w:rPr>
        <w:t>.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 would like the janitor position to </w:t>
      </w:r>
      <w:r w:rsidR="00F812E5">
        <w:rPr>
          <w:rFonts w:asciiTheme="minorHAnsi" w:hAnsiTheme="minorHAnsi"/>
          <w:sz w:val="24"/>
          <w:szCs w:val="24"/>
        </w:rPr>
        <w:t xml:space="preserve">be </w:t>
      </w:r>
      <w:r>
        <w:rPr>
          <w:rFonts w:asciiTheme="minorHAnsi" w:hAnsiTheme="minorHAnsi"/>
          <w:sz w:val="24"/>
          <w:szCs w:val="24"/>
        </w:rPr>
        <w:t xml:space="preserve">advertised for bids.  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>, second by Braun to advertise for the janitor position.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Entinger,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approve the staff reviews and approve the 2019 raises.</w:t>
      </w:r>
      <w:r w:rsidR="000E0B6D">
        <w:rPr>
          <w:rFonts w:asciiTheme="minorHAnsi" w:hAnsiTheme="minorHAnsi"/>
          <w:sz w:val="24"/>
          <w:szCs w:val="24"/>
        </w:rPr>
        <w:t xml:space="preserve">  Salaries for staff will begin January 1, 2019.  Michael Schultz $40.10/hour; Sue Prchal $37.64/hour; Joe Jirik $27.65/hour; Nik Kadel $22.61/hour.</w:t>
      </w:r>
      <w:bookmarkStart w:id="0" w:name="_GoBack"/>
      <w:bookmarkEnd w:id="0"/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hire a </w:t>
      </w:r>
      <w:proofErr w:type="spellStart"/>
      <w:r>
        <w:rPr>
          <w:rFonts w:asciiTheme="minorHAnsi" w:hAnsiTheme="minorHAnsi"/>
          <w:sz w:val="24"/>
          <w:szCs w:val="24"/>
        </w:rPr>
        <w:t>Farmbill</w:t>
      </w:r>
      <w:proofErr w:type="spellEnd"/>
      <w:r>
        <w:rPr>
          <w:rFonts w:asciiTheme="minorHAnsi" w:hAnsiTheme="minorHAnsi"/>
          <w:sz w:val="24"/>
          <w:szCs w:val="24"/>
        </w:rPr>
        <w:t xml:space="preserve"> Technician after the top 2 candidates are interviewed.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Staff and board members interested in placing a SWCD clothing order are Entinger,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Joe Jirik, Mike Schultz, Nik Kadel, Sue Prchal and the new </w:t>
      </w:r>
      <w:proofErr w:type="spellStart"/>
      <w:r>
        <w:rPr>
          <w:rFonts w:asciiTheme="minorHAnsi" w:hAnsiTheme="minorHAnsi"/>
          <w:sz w:val="24"/>
          <w:szCs w:val="24"/>
        </w:rPr>
        <w:t>Farmbill</w:t>
      </w:r>
      <w:proofErr w:type="spellEnd"/>
      <w:r>
        <w:rPr>
          <w:rFonts w:asciiTheme="minorHAnsi" w:hAnsiTheme="minorHAnsi"/>
          <w:sz w:val="24"/>
          <w:szCs w:val="24"/>
        </w:rPr>
        <w:t xml:space="preserve"> Technician.</w:t>
      </w:r>
    </w:p>
    <w:p w:rsidR="0072360B" w:rsidRDefault="0072360B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Vouchers were reviewed and filled out.</w:t>
      </w: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 xml:space="preserve"> to adjourn at 10:55 a.m.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Affirmative:  Entinger, </w:t>
      </w:r>
      <w:proofErr w:type="spellStart"/>
      <w:r>
        <w:rPr>
          <w:rFonts w:asciiTheme="minorHAnsi" w:hAnsiTheme="minorHAnsi"/>
          <w:sz w:val="24"/>
          <w:szCs w:val="24"/>
        </w:rPr>
        <w:t>Traxler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Gregor</w:t>
      </w:r>
      <w:proofErr w:type="spellEnd"/>
      <w:r>
        <w:rPr>
          <w:rFonts w:asciiTheme="minorHAnsi" w:hAnsiTheme="minorHAnsi"/>
          <w:sz w:val="24"/>
          <w:szCs w:val="24"/>
        </w:rPr>
        <w:t>, Braun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 None</w:t>
      </w:r>
    </w:p>
    <w:p w:rsidR="007075E2" w:rsidRDefault="007075E2" w:rsidP="007075E2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 carried</w:t>
      </w:r>
    </w:p>
    <w:p w:rsidR="00B71DDD" w:rsidRDefault="00B71DDD" w:rsidP="00A8049D">
      <w:pPr>
        <w:ind w:left="0"/>
        <w:rPr>
          <w:rFonts w:asciiTheme="minorHAnsi" w:hAnsiTheme="minorHAnsi"/>
          <w:sz w:val="24"/>
          <w:szCs w:val="24"/>
        </w:rPr>
      </w:pPr>
    </w:p>
    <w:p w:rsidR="007075E2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                                     ___________________________________</w:t>
      </w:r>
    </w:p>
    <w:p w:rsidR="0072360B" w:rsidRPr="00220303" w:rsidRDefault="007075E2" w:rsidP="00A8049D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District Secretary</w:t>
      </w:r>
    </w:p>
    <w:sectPr w:rsidR="0072360B" w:rsidRPr="00220303" w:rsidSect="00057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577A2"/>
    <w:rsid w:val="00061B05"/>
    <w:rsid w:val="000A1DDC"/>
    <w:rsid w:val="000C5BAF"/>
    <w:rsid w:val="000D5CA0"/>
    <w:rsid w:val="000E0B6D"/>
    <w:rsid w:val="001477CB"/>
    <w:rsid w:val="00151AA1"/>
    <w:rsid w:val="00156182"/>
    <w:rsid w:val="001807EB"/>
    <w:rsid w:val="00193B44"/>
    <w:rsid w:val="00220303"/>
    <w:rsid w:val="0022772D"/>
    <w:rsid w:val="002A35CC"/>
    <w:rsid w:val="00331730"/>
    <w:rsid w:val="00344668"/>
    <w:rsid w:val="00392A26"/>
    <w:rsid w:val="003A1DB3"/>
    <w:rsid w:val="003A5C8A"/>
    <w:rsid w:val="004100E4"/>
    <w:rsid w:val="004130AF"/>
    <w:rsid w:val="0041549F"/>
    <w:rsid w:val="00451D0C"/>
    <w:rsid w:val="00452286"/>
    <w:rsid w:val="00480FC7"/>
    <w:rsid w:val="00497893"/>
    <w:rsid w:val="004B7238"/>
    <w:rsid w:val="005104CC"/>
    <w:rsid w:val="00595708"/>
    <w:rsid w:val="005F4D95"/>
    <w:rsid w:val="005F658F"/>
    <w:rsid w:val="00622098"/>
    <w:rsid w:val="006A1056"/>
    <w:rsid w:val="006B25BD"/>
    <w:rsid w:val="006C71A8"/>
    <w:rsid w:val="007075E2"/>
    <w:rsid w:val="0072360B"/>
    <w:rsid w:val="00793886"/>
    <w:rsid w:val="007D57EC"/>
    <w:rsid w:val="0081051E"/>
    <w:rsid w:val="00822B50"/>
    <w:rsid w:val="008324D7"/>
    <w:rsid w:val="008508F1"/>
    <w:rsid w:val="00865869"/>
    <w:rsid w:val="008E178F"/>
    <w:rsid w:val="008E374E"/>
    <w:rsid w:val="008E74EA"/>
    <w:rsid w:val="00956A21"/>
    <w:rsid w:val="00966FDA"/>
    <w:rsid w:val="009A405E"/>
    <w:rsid w:val="009D68DE"/>
    <w:rsid w:val="00A8049D"/>
    <w:rsid w:val="00A94CF9"/>
    <w:rsid w:val="00AA6A4D"/>
    <w:rsid w:val="00AD4909"/>
    <w:rsid w:val="00AE1EA5"/>
    <w:rsid w:val="00B013CF"/>
    <w:rsid w:val="00B2144C"/>
    <w:rsid w:val="00B24D1F"/>
    <w:rsid w:val="00B52817"/>
    <w:rsid w:val="00B71DDD"/>
    <w:rsid w:val="00B77DCE"/>
    <w:rsid w:val="00BA2573"/>
    <w:rsid w:val="00BB36BB"/>
    <w:rsid w:val="00BF0D31"/>
    <w:rsid w:val="00BF2C78"/>
    <w:rsid w:val="00C56C9A"/>
    <w:rsid w:val="00CF2DC1"/>
    <w:rsid w:val="00D50705"/>
    <w:rsid w:val="00D80588"/>
    <w:rsid w:val="00D84D34"/>
    <w:rsid w:val="00DA4D84"/>
    <w:rsid w:val="00E0750F"/>
    <w:rsid w:val="00E207EE"/>
    <w:rsid w:val="00E67E47"/>
    <w:rsid w:val="00E76393"/>
    <w:rsid w:val="00EC6067"/>
    <w:rsid w:val="00EE3F8D"/>
    <w:rsid w:val="00F7390B"/>
    <w:rsid w:val="00F812E5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3D87A5B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1E53-D90F-4BC4-86BA-ED2BD9DF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7</cp:revision>
  <cp:lastPrinted>2018-08-01T16:53:00Z</cp:lastPrinted>
  <dcterms:created xsi:type="dcterms:W3CDTF">2018-07-26T13:16:00Z</dcterms:created>
  <dcterms:modified xsi:type="dcterms:W3CDTF">2018-12-06T19:20:00Z</dcterms:modified>
</cp:coreProperties>
</file>