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b/>
          <w:bCs/>
          <w:sz w:val="22"/>
          <w:szCs w:val="22"/>
        </w:rPr>
      </w:pPr>
      <w:r>
        <w:rPr>
          <w:b/>
          <w:bCs/>
          <w:sz w:val="22"/>
          <w:szCs w:val="22"/>
        </w:rPr>
        <w:t>PATIENT INSTRUCTIONS FOR SKIN TESTING</w:t>
      </w:r>
    </w:p>
    <w:p>
      <w:pPr>
        <w:pStyle w:val="4"/>
        <w:jc w:val="center"/>
        <w:rPr>
          <w:sz w:val="22"/>
          <w:szCs w:val="22"/>
        </w:rPr>
      </w:pPr>
    </w:p>
    <w:p>
      <w:pPr>
        <w:pStyle w:val="4"/>
        <w:rPr>
          <w:sz w:val="18"/>
          <w:szCs w:val="18"/>
        </w:rPr>
      </w:pPr>
      <w:r>
        <w:rPr>
          <w:sz w:val="18"/>
          <w:szCs w:val="18"/>
        </w:rPr>
        <w:t xml:space="preserve">Allergy Skin Testing is done to assist your Allergist in determining what may be causing symptoms of an allergic reaction. </w:t>
      </w:r>
    </w:p>
    <w:p>
      <w:pPr>
        <w:pStyle w:val="4"/>
        <w:rPr>
          <w:sz w:val="18"/>
          <w:szCs w:val="18"/>
        </w:rPr>
      </w:pPr>
      <w:r>
        <w:rPr>
          <w:rFonts w:ascii="Wingdings" w:hAnsi="Wingdings" w:cs="Wingdings"/>
          <w:sz w:val="18"/>
          <w:szCs w:val="18"/>
        </w:rPr>
        <w:t></w:t>
      </w:r>
      <w:r>
        <w:rPr>
          <w:sz w:val="18"/>
          <w:szCs w:val="18"/>
        </w:rPr>
        <w:t xml:space="preserve">You may eat as usual prior to the test. </w:t>
      </w:r>
    </w:p>
    <w:p>
      <w:pPr>
        <w:pStyle w:val="4"/>
        <w:rPr>
          <w:sz w:val="18"/>
          <w:szCs w:val="18"/>
        </w:rPr>
      </w:pPr>
      <w:r>
        <w:rPr>
          <w:rFonts w:ascii="Wingdings" w:hAnsi="Wingdings" w:cs="Wingdings"/>
          <w:sz w:val="18"/>
          <w:szCs w:val="18"/>
        </w:rPr>
        <w:t></w:t>
      </w:r>
      <w:r>
        <w:rPr>
          <w:sz w:val="18"/>
          <w:szCs w:val="18"/>
        </w:rPr>
        <w:t xml:space="preserve">You will have the opportunity to discuss questions and concerns prior to the test with your provider. Your provider will review your test results with you after the test has been completed. </w:t>
      </w:r>
    </w:p>
    <w:p>
      <w:pPr>
        <w:pStyle w:val="4"/>
        <w:rPr>
          <w:sz w:val="18"/>
          <w:szCs w:val="18"/>
        </w:rPr>
      </w:pPr>
      <w:r>
        <w:rPr>
          <w:rFonts w:ascii="Wingdings" w:hAnsi="Wingdings" w:cs="Wingdings"/>
          <w:sz w:val="18"/>
          <w:szCs w:val="18"/>
        </w:rPr>
        <w:t></w:t>
      </w:r>
      <w:r>
        <w:rPr>
          <w:i/>
          <w:iCs/>
          <w:sz w:val="18"/>
          <w:szCs w:val="18"/>
        </w:rPr>
        <w:t>If you have questions before your visit, call us at (972) 521-3366</w:t>
      </w:r>
    </w:p>
    <w:p>
      <w:pPr>
        <w:pStyle w:val="4"/>
        <w:rPr>
          <w:sz w:val="18"/>
          <w:szCs w:val="18"/>
        </w:rPr>
      </w:pPr>
    </w:p>
    <w:p>
      <w:pPr>
        <w:pStyle w:val="4"/>
        <w:rPr>
          <w:b/>
          <w:sz w:val="18"/>
          <w:szCs w:val="18"/>
        </w:rPr>
      </w:pPr>
      <w:r>
        <w:rPr>
          <w:b/>
          <w:bCs/>
          <w:sz w:val="18"/>
          <w:szCs w:val="18"/>
        </w:rPr>
        <w:t>Most Over-the-counter Allergy, Cold, and Sleep medications contain ANTI-HISTAMINE which can interfere with Allergy testing. Please avoid those medications for one week prior to coming for Allergy testing. This list contains common antihistamines but give us a call if you don’t find it on this list and our staff will be able to answer if it can interfere with allergy testing or not.</w:t>
      </w:r>
    </w:p>
    <w:p>
      <w:pPr>
        <w:rPr>
          <w:rFonts w:ascii="Times New Roman" w:hAnsi="Times New Roman" w:cs="Times New Roman"/>
          <w:sz w:val="20"/>
          <w:szCs w:val="20"/>
        </w:rPr>
      </w:pPr>
    </w:p>
    <w:p>
      <w:pPr>
        <w:rPr>
          <w:rFonts w:ascii="Times New Roman" w:hAnsi="Times New Roman" w:cs="Times New Roman"/>
          <w:sz w:val="20"/>
          <w:szCs w:val="20"/>
        </w:rPr>
        <w:sectPr>
          <w:pgSz w:w="12240" w:h="15840"/>
          <w:pgMar w:top="1440" w:right="1440" w:bottom="1440" w:left="1440" w:header="720" w:footer="720" w:gutter="0"/>
          <w:cols w:space="720" w:num="1"/>
          <w:docGrid w:linePitch="360" w:charSpace="0"/>
        </w:sectPr>
      </w:pPr>
      <w:r>
        <w:rPr>
          <w:rFonts w:ascii="Times New Roman" w:hAnsi="Times New Roman" w:cs="Times New Roman"/>
          <w:sz w:val="20"/>
          <w:szCs w:val="20"/>
          <w:lang w:val="en-US"/>
        </w:rPr>
        <w:t>**</w:t>
      </w:r>
      <w:r>
        <w:rPr>
          <w:rFonts w:ascii="Times New Roman" w:hAnsi="Times New Roman" w:cs="Times New Roman"/>
          <w:sz w:val="20"/>
          <w:szCs w:val="20"/>
        </w:rPr>
        <w:t>Please do not stop any other medications such as heart, blood pressure, asthma,</w:t>
      </w:r>
      <w:r>
        <w:rPr>
          <w:rFonts w:ascii="Times New Roman" w:hAnsi="Times New Roman" w:cs="Times New Roman"/>
          <w:sz w:val="20"/>
          <w:szCs w:val="20"/>
          <w:lang w:val="en-US"/>
        </w:rPr>
        <w:t xml:space="preserve"> anti-anxiety,</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anti-depressants </w:t>
      </w:r>
      <w:r>
        <w:rPr>
          <w:rFonts w:ascii="Times New Roman" w:hAnsi="Times New Roman" w:cs="Times New Roman"/>
          <w:sz w:val="20"/>
          <w:szCs w:val="20"/>
        </w:rPr>
        <w:t>or cholesterol medications. Please contact our office</w:t>
      </w:r>
      <w:r>
        <w:rPr>
          <w:rFonts w:ascii="Times New Roman" w:hAnsi="Times New Roman" w:cs="Times New Roman"/>
          <w:sz w:val="20"/>
          <w:szCs w:val="20"/>
          <w:lang w:val="en-US"/>
        </w:rPr>
        <w:t xml:space="preserve"> first before stopping these medications or for</w:t>
      </w:r>
      <w:r>
        <w:rPr>
          <w:rFonts w:ascii="Times New Roman" w:hAnsi="Times New Roman" w:cs="Times New Roman"/>
          <w:sz w:val="20"/>
          <w:szCs w:val="20"/>
        </w:rPr>
        <w:t xml:space="preserve"> any questions. </w:t>
      </w:r>
    </w:p>
    <w:p>
      <w:pPr>
        <w:rPr>
          <w:sz w:val="20"/>
          <w:szCs w:val="20"/>
        </w:rPr>
      </w:pPr>
    </w:p>
    <w:p>
      <w:pPr>
        <w:rPr>
          <w:sz w:val="20"/>
          <w:szCs w:val="20"/>
        </w:rPr>
        <w:sectPr>
          <w:type w:val="continuous"/>
          <w:pgSz w:w="12240" w:h="15840"/>
          <w:pgMar w:top="1440" w:right="1440" w:bottom="1440" w:left="1440" w:header="720" w:footer="720" w:gutter="0"/>
          <w:cols w:space="720" w:num="1"/>
          <w:docGrid w:linePitch="360" w:charSpace="0"/>
        </w:sectPr>
      </w:pPr>
      <w:bookmarkStart w:id="0" w:name="_GoBack"/>
      <w:bookmarkEnd w:id="0"/>
    </w:p>
    <w:p>
      <w:pPr>
        <w:pStyle w:val="4"/>
        <w:rPr>
          <w:sz w:val="20"/>
          <w:szCs w:val="20"/>
        </w:rPr>
      </w:pPr>
      <w:r>
        <w:rPr>
          <w:b/>
          <w:bCs/>
          <w:sz w:val="20"/>
          <w:szCs w:val="20"/>
          <w:u w:val="single"/>
        </w:rPr>
        <w:t xml:space="preserve">Medications to be avoided </w:t>
      </w:r>
      <w:r>
        <w:rPr>
          <w:b/>
          <w:bCs/>
          <w:sz w:val="24"/>
          <w:szCs w:val="24"/>
          <w:u w:val="single"/>
        </w:rPr>
        <w:t xml:space="preserve">7 days </w:t>
      </w:r>
      <w:r>
        <w:rPr>
          <w:b/>
          <w:bCs/>
          <w:sz w:val="20"/>
          <w:szCs w:val="20"/>
          <w:u w:val="single"/>
        </w:rPr>
        <w:t xml:space="preserve">prior: </w:t>
      </w:r>
    </w:p>
    <w:p>
      <w:pPr>
        <w:pStyle w:val="4"/>
        <w:rPr>
          <w:sz w:val="20"/>
          <w:szCs w:val="20"/>
        </w:rPr>
      </w:pPr>
    </w:p>
    <w:p>
      <w:pPr>
        <w:pStyle w:val="4"/>
        <w:rPr>
          <w:b/>
          <w:sz w:val="20"/>
          <w:szCs w:val="20"/>
        </w:rPr>
        <w:sectPr>
          <w:type w:val="continuous"/>
          <w:pgSz w:w="12240" w:h="15840"/>
          <w:pgMar w:top="1440" w:right="1440" w:bottom="1440" w:left="1440" w:header="720" w:footer="720" w:gutter="0"/>
          <w:cols w:space="720" w:num="1"/>
          <w:docGrid w:linePitch="360" w:charSpace="0"/>
        </w:sectPr>
      </w:pPr>
    </w:p>
    <w:p>
      <w:pPr>
        <w:pStyle w:val="4"/>
        <w:rPr>
          <w:sz w:val="20"/>
          <w:szCs w:val="20"/>
        </w:rPr>
      </w:pPr>
      <w:r>
        <w:rPr>
          <w:b/>
          <w:sz w:val="20"/>
          <w:szCs w:val="20"/>
        </w:rPr>
        <w:t>Loratadine</w:t>
      </w:r>
      <w:r>
        <w:rPr>
          <w:sz w:val="20"/>
          <w:szCs w:val="20"/>
        </w:rPr>
        <w:t xml:space="preserve"> (Claritin, Alavert, OTC generics) </w:t>
      </w:r>
    </w:p>
    <w:p>
      <w:pPr>
        <w:pStyle w:val="4"/>
        <w:rPr>
          <w:sz w:val="20"/>
          <w:szCs w:val="20"/>
        </w:rPr>
      </w:pPr>
      <w:r>
        <w:rPr>
          <w:sz w:val="20"/>
          <w:szCs w:val="20"/>
        </w:rPr>
        <w:t>Bromphed</w:t>
      </w:r>
    </w:p>
    <w:p>
      <w:pPr>
        <w:pStyle w:val="4"/>
        <w:rPr>
          <w:sz w:val="20"/>
          <w:szCs w:val="20"/>
        </w:rPr>
      </w:pPr>
      <w:r>
        <w:rPr>
          <w:b/>
          <w:sz w:val="20"/>
          <w:szCs w:val="20"/>
        </w:rPr>
        <w:t>Fexofenadine</w:t>
      </w:r>
      <w:r>
        <w:rPr>
          <w:sz w:val="20"/>
          <w:szCs w:val="20"/>
        </w:rPr>
        <w:t xml:space="preserve"> (Allegra) </w:t>
      </w:r>
    </w:p>
    <w:p>
      <w:pPr>
        <w:pStyle w:val="4"/>
        <w:rPr>
          <w:sz w:val="20"/>
          <w:szCs w:val="20"/>
        </w:rPr>
      </w:pPr>
      <w:r>
        <w:rPr>
          <w:b/>
          <w:sz w:val="20"/>
          <w:szCs w:val="20"/>
        </w:rPr>
        <w:t>Cetirizine</w:t>
      </w:r>
      <w:r>
        <w:rPr>
          <w:sz w:val="20"/>
          <w:szCs w:val="20"/>
        </w:rPr>
        <w:t xml:space="preserve"> (Zyrtec and OTC generics) </w:t>
      </w:r>
    </w:p>
    <w:p>
      <w:pPr>
        <w:pStyle w:val="4"/>
        <w:rPr>
          <w:sz w:val="20"/>
          <w:szCs w:val="20"/>
        </w:rPr>
      </w:pPr>
      <w:r>
        <w:rPr>
          <w:b/>
          <w:sz w:val="20"/>
          <w:szCs w:val="20"/>
        </w:rPr>
        <w:t>Levocetirizine</w:t>
      </w:r>
      <w:r>
        <w:rPr>
          <w:sz w:val="20"/>
          <w:szCs w:val="20"/>
        </w:rPr>
        <w:t xml:space="preserve"> (Xyzal) </w:t>
      </w:r>
    </w:p>
    <w:p>
      <w:pPr>
        <w:pStyle w:val="4"/>
        <w:rPr>
          <w:bCs/>
          <w:sz w:val="20"/>
          <w:szCs w:val="20"/>
        </w:rPr>
      </w:pPr>
      <w:r>
        <w:rPr>
          <w:bCs/>
          <w:sz w:val="20"/>
          <w:szCs w:val="20"/>
        </w:rPr>
        <w:t xml:space="preserve">Doxylamine </w:t>
      </w:r>
    </w:p>
    <w:p>
      <w:pPr>
        <w:pStyle w:val="4"/>
        <w:rPr>
          <w:sz w:val="20"/>
          <w:szCs w:val="20"/>
        </w:rPr>
      </w:pPr>
      <w:r>
        <w:rPr>
          <w:sz w:val="20"/>
          <w:szCs w:val="20"/>
        </w:rPr>
        <w:t xml:space="preserve">Meclizine (Bonine) </w:t>
      </w:r>
    </w:p>
    <w:p>
      <w:pPr>
        <w:pStyle w:val="4"/>
        <w:rPr>
          <w:sz w:val="20"/>
          <w:szCs w:val="20"/>
        </w:rPr>
      </w:pPr>
      <w:r>
        <w:rPr>
          <w:bCs/>
          <w:sz w:val="20"/>
          <w:szCs w:val="20"/>
        </w:rPr>
        <w:t xml:space="preserve">Pheniramine </w:t>
      </w:r>
    </w:p>
    <w:p>
      <w:pPr>
        <w:pStyle w:val="4"/>
        <w:rPr>
          <w:sz w:val="20"/>
          <w:szCs w:val="20"/>
        </w:rPr>
      </w:pPr>
      <w:r>
        <w:rPr>
          <w:sz w:val="20"/>
          <w:szCs w:val="20"/>
        </w:rPr>
        <w:t xml:space="preserve">Promethazine (Phenergan) </w:t>
      </w:r>
    </w:p>
    <w:p>
      <w:pPr>
        <w:pStyle w:val="4"/>
        <w:rPr>
          <w:sz w:val="20"/>
          <w:szCs w:val="20"/>
        </w:rPr>
      </w:pPr>
      <w:r>
        <w:rPr>
          <w:sz w:val="20"/>
          <w:szCs w:val="20"/>
        </w:rPr>
        <w:t xml:space="preserve">Actifed </w:t>
      </w:r>
      <w:r>
        <w:rPr>
          <w:sz w:val="20"/>
          <w:szCs w:val="20"/>
        </w:rPr>
        <w:tab/>
      </w:r>
    </w:p>
    <w:p>
      <w:pPr>
        <w:pStyle w:val="4"/>
        <w:rPr>
          <w:b/>
          <w:sz w:val="20"/>
          <w:szCs w:val="20"/>
        </w:rPr>
      </w:pPr>
      <w:r>
        <w:rPr>
          <w:b/>
          <w:sz w:val="20"/>
          <w:szCs w:val="20"/>
        </w:rPr>
        <w:t>Nasal Sprays</w:t>
      </w:r>
    </w:p>
    <w:p>
      <w:pPr>
        <w:pStyle w:val="4"/>
        <w:rPr>
          <w:sz w:val="20"/>
          <w:szCs w:val="20"/>
        </w:rPr>
      </w:pPr>
      <w:r>
        <w:rPr>
          <w:sz w:val="20"/>
          <w:szCs w:val="20"/>
        </w:rPr>
        <w:t>Dymista</w:t>
      </w:r>
    </w:p>
    <w:p>
      <w:pPr>
        <w:pStyle w:val="4"/>
        <w:rPr>
          <w:sz w:val="20"/>
          <w:szCs w:val="20"/>
        </w:rPr>
      </w:pPr>
      <w:r>
        <w:rPr>
          <w:sz w:val="20"/>
          <w:szCs w:val="20"/>
        </w:rPr>
        <w:t xml:space="preserve">Patanol </w:t>
      </w:r>
    </w:p>
    <w:p>
      <w:pPr>
        <w:pStyle w:val="4"/>
        <w:rPr>
          <w:sz w:val="20"/>
          <w:szCs w:val="20"/>
        </w:rPr>
      </w:pPr>
      <w:r>
        <w:rPr>
          <w:sz w:val="20"/>
          <w:szCs w:val="20"/>
        </w:rPr>
        <w:t xml:space="preserve">Olopatadine nasal spray (Patanase) </w:t>
      </w:r>
    </w:p>
    <w:p>
      <w:pPr>
        <w:pStyle w:val="4"/>
        <w:rPr>
          <w:sz w:val="20"/>
          <w:szCs w:val="20"/>
        </w:rPr>
      </w:pPr>
      <w:r>
        <w:rPr>
          <w:sz w:val="20"/>
          <w:szCs w:val="20"/>
        </w:rPr>
        <w:t>Azelastine nasal spray (Astelin)</w:t>
      </w:r>
    </w:p>
    <w:p>
      <w:pPr>
        <w:pStyle w:val="4"/>
        <w:rPr>
          <w:sz w:val="20"/>
          <w:szCs w:val="20"/>
        </w:rPr>
      </w:pPr>
    </w:p>
    <w:p>
      <w:pPr>
        <w:pStyle w:val="4"/>
        <w:rPr>
          <w:sz w:val="20"/>
          <w:szCs w:val="20"/>
        </w:rPr>
      </w:pPr>
    </w:p>
    <w:p>
      <w:pPr>
        <w:pStyle w:val="4"/>
        <w:rPr>
          <w:b/>
          <w:sz w:val="20"/>
          <w:szCs w:val="20"/>
        </w:rPr>
      </w:pPr>
      <w:r>
        <w:rPr>
          <w:b/>
          <w:sz w:val="20"/>
          <w:szCs w:val="20"/>
        </w:rPr>
        <w:t>Eye drops</w:t>
      </w:r>
    </w:p>
    <w:p>
      <w:pPr>
        <w:pStyle w:val="4"/>
        <w:rPr>
          <w:sz w:val="20"/>
          <w:szCs w:val="20"/>
        </w:rPr>
      </w:pPr>
      <w:r>
        <w:rPr>
          <w:sz w:val="20"/>
          <w:szCs w:val="20"/>
        </w:rPr>
        <w:t>Optivar</w:t>
      </w:r>
    </w:p>
    <w:p>
      <w:pPr>
        <w:pStyle w:val="4"/>
        <w:rPr>
          <w:sz w:val="20"/>
          <w:szCs w:val="20"/>
        </w:rPr>
      </w:pPr>
      <w:r>
        <w:rPr>
          <w:sz w:val="20"/>
          <w:szCs w:val="20"/>
        </w:rPr>
        <w:t>Pataday</w:t>
      </w:r>
    </w:p>
    <w:p>
      <w:pPr>
        <w:pStyle w:val="4"/>
        <w:rPr>
          <w:sz w:val="20"/>
          <w:szCs w:val="20"/>
        </w:rPr>
      </w:pPr>
      <w:r>
        <w:rPr>
          <w:sz w:val="20"/>
          <w:szCs w:val="20"/>
        </w:rPr>
        <w:tab/>
      </w:r>
      <w:r>
        <w:rPr>
          <w:sz w:val="20"/>
          <w:szCs w:val="20"/>
        </w:rPr>
        <w:tab/>
      </w:r>
    </w:p>
    <w:p>
      <w:pPr>
        <w:pStyle w:val="4"/>
        <w:rPr>
          <w:sz w:val="20"/>
          <w:szCs w:val="20"/>
        </w:rPr>
      </w:pPr>
    </w:p>
    <w:p>
      <w:pPr>
        <w:pStyle w:val="4"/>
        <w:rPr>
          <w:sz w:val="20"/>
          <w:szCs w:val="20"/>
        </w:rPr>
      </w:pPr>
      <w:r>
        <w:rPr>
          <w:sz w:val="20"/>
          <w:szCs w:val="20"/>
        </w:rPr>
        <w:t xml:space="preserve">Zicam Cold &amp; Flu </w:t>
      </w:r>
    </w:p>
    <w:p>
      <w:pPr>
        <w:pStyle w:val="4"/>
        <w:rPr>
          <w:sz w:val="20"/>
          <w:szCs w:val="20"/>
        </w:rPr>
      </w:pPr>
      <w:r>
        <w:rPr>
          <w:sz w:val="20"/>
          <w:szCs w:val="20"/>
        </w:rPr>
        <w:t xml:space="preserve">Dimetapp </w:t>
      </w:r>
    </w:p>
    <w:p>
      <w:pPr>
        <w:pStyle w:val="4"/>
        <w:rPr>
          <w:sz w:val="20"/>
          <w:szCs w:val="20"/>
        </w:rPr>
      </w:pPr>
    </w:p>
    <w:p>
      <w:pPr>
        <w:pStyle w:val="4"/>
        <w:rPr>
          <w:sz w:val="20"/>
          <w:szCs w:val="20"/>
        </w:rPr>
      </w:pPr>
      <w:r>
        <w:rPr>
          <w:sz w:val="20"/>
          <w:szCs w:val="20"/>
        </w:rPr>
        <w:t xml:space="preserve">Advil PM, Allergy or Multi-symptom cold </w:t>
      </w:r>
    </w:p>
    <w:p>
      <w:pPr>
        <w:pStyle w:val="4"/>
        <w:rPr>
          <w:sz w:val="20"/>
          <w:szCs w:val="20"/>
        </w:rPr>
      </w:pPr>
    </w:p>
    <w:p>
      <w:pPr>
        <w:pStyle w:val="4"/>
        <w:rPr>
          <w:sz w:val="20"/>
          <w:szCs w:val="20"/>
        </w:rPr>
      </w:pPr>
    </w:p>
    <w:p>
      <w:pPr>
        <w:pStyle w:val="4"/>
        <w:rPr>
          <w:sz w:val="20"/>
          <w:szCs w:val="20"/>
        </w:rPr>
      </w:pPr>
      <w:r>
        <w:rPr>
          <w:sz w:val="20"/>
          <w:szCs w:val="20"/>
        </w:rPr>
        <w:t xml:space="preserve">Sudafed Allergy, Severe Cold, Nighttime </w:t>
      </w:r>
    </w:p>
    <w:p>
      <w:pPr>
        <w:pStyle w:val="4"/>
        <w:rPr>
          <w:sz w:val="20"/>
          <w:szCs w:val="20"/>
        </w:rPr>
      </w:pPr>
    </w:p>
    <w:p>
      <w:pPr>
        <w:pStyle w:val="4"/>
        <w:rPr>
          <w:sz w:val="20"/>
          <w:szCs w:val="20"/>
        </w:rPr>
        <w:sectPr>
          <w:type w:val="continuous"/>
          <w:pgSz w:w="12240" w:h="15840"/>
          <w:pgMar w:top="1440" w:right="1440" w:bottom="1440" w:left="1440" w:header="720" w:footer="720" w:gutter="0"/>
          <w:cols w:space="720" w:num="3"/>
          <w:docGrid w:linePitch="360" w:charSpace="0"/>
        </w:sectPr>
      </w:pPr>
    </w:p>
    <w:p>
      <w:pPr>
        <w:pStyle w:val="4"/>
        <w:rPr>
          <w:sz w:val="20"/>
          <w:szCs w:val="20"/>
        </w:rPr>
      </w:pPr>
      <w:r>
        <w:rPr>
          <w:sz w:val="20"/>
          <w:szCs w:val="20"/>
        </w:rPr>
        <w:t>Desloratadine (Clarinex)</w:t>
      </w:r>
    </w:p>
    <w:p>
      <w:pPr>
        <w:pStyle w:val="4"/>
        <w:rPr>
          <w:sz w:val="20"/>
          <w:szCs w:val="20"/>
        </w:rPr>
      </w:pPr>
      <w:r>
        <w:rPr>
          <w:sz w:val="20"/>
          <w:szCs w:val="20"/>
        </w:rPr>
        <w:t xml:space="preserve">Chlorpheniramine (Chlor-Trimeton, Atrohist, Deconamine, Rondec, Rynatan) </w:t>
      </w:r>
    </w:p>
    <w:p>
      <w:pPr>
        <w:pStyle w:val="4"/>
        <w:rPr>
          <w:sz w:val="20"/>
          <w:szCs w:val="20"/>
        </w:rPr>
      </w:pPr>
      <w:r>
        <w:rPr>
          <w:b/>
          <w:sz w:val="20"/>
          <w:szCs w:val="20"/>
        </w:rPr>
        <w:t>Hydroxyzine</w:t>
      </w:r>
      <w:r>
        <w:rPr>
          <w:sz w:val="20"/>
          <w:szCs w:val="20"/>
        </w:rPr>
        <w:t xml:space="preserve"> (Atarax, Vistaril)</w:t>
      </w:r>
    </w:p>
    <w:p>
      <w:pPr>
        <w:pStyle w:val="4"/>
        <w:rPr>
          <w:sz w:val="20"/>
          <w:szCs w:val="20"/>
        </w:rPr>
      </w:pPr>
      <w:r>
        <w:rPr>
          <w:sz w:val="20"/>
          <w:szCs w:val="20"/>
        </w:rPr>
        <w:t xml:space="preserve">Azatadine (Trinalin) </w:t>
      </w:r>
    </w:p>
    <w:p>
      <w:pPr>
        <w:pStyle w:val="4"/>
        <w:rPr>
          <w:sz w:val="20"/>
          <w:szCs w:val="20"/>
        </w:rPr>
      </w:pPr>
      <w:r>
        <w:rPr>
          <w:b/>
          <w:bCs/>
          <w:sz w:val="20"/>
          <w:szCs w:val="20"/>
        </w:rPr>
        <w:t xml:space="preserve">Brompheniramine </w:t>
      </w:r>
      <w:r>
        <w:rPr>
          <w:sz w:val="20"/>
          <w:szCs w:val="20"/>
        </w:rPr>
        <w:t xml:space="preserve">(Dimetane) </w:t>
      </w:r>
    </w:p>
    <w:p>
      <w:pPr>
        <w:pStyle w:val="4"/>
        <w:rPr>
          <w:sz w:val="20"/>
          <w:szCs w:val="20"/>
        </w:rPr>
      </w:pPr>
      <w:r>
        <w:rPr>
          <w:sz w:val="20"/>
          <w:szCs w:val="20"/>
        </w:rPr>
        <w:t xml:space="preserve">Carbinoxamine (Palgic) </w:t>
      </w:r>
    </w:p>
    <w:p>
      <w:pPr>
        <w:pStyle w:val="4"/>
        <w:rPr>
          <w:sz w:val="20"/>
          <w:szCs w:val="20"/>
        </w:rPr>
      </w:pPr>
      <w:r>
        <w:rPr>
          <w:bCs/>
          <w:sz w:val="20"/>
          <w:szCs w:val="20"/>
        </w:rPr>
        <w:t xml:space="preserve">Clemastine </w:t>
      </w:r>
      <w:r>
        <w:rPr>
          <w:sz w:val="20"/>
          <w:szCs w:val="20"/>
        </w:rPr>
        <w:t xml:space="preserve">(Tavist) </w:t>
      </w:r>
    </w:p>
    <w:p>
      <w:pPr>
        <w:pStyle w:val="4"/>
        <w:rPr>
          <w:sz w:val="20"/>
          <w:szCs w:val="20"/>
        </w:rPr>
      </w:pPr>
      <w:r>
        <w:rPr>
          <w:b/>
          <w:bCs/>
          <w:sz w:val="20"/>
          <w:szCs w:val="20"/>
        </w:rPr>
        <w:t xml:space="preserve">Cyproheptadine </w:t>
      </w:r>
      <w:r>
        <w:rPr>
          <w:sz w:val="20"/>
          <w:szCs w:val="20"/>
        </w:rPr>
        <w:t xml:space="preserve">(Periactin) </w:t>
      </w:r>
    </w:p>
    <w:p>
      <w:pPr>
        <w:pStyle w:val="4"/>
        <w:rPr>
          <w:sz w:val="20"/>
          <w:szCs w:val="20"/>
        </w:rPr>
      </w:pPr>
      <w:r>
        <w:rPr>
          <w:sz w:val="20"/>
          <w:szCs w:val="20"/>
        </w:rPr>
        <w:t xml:space="preserve">Dexchlorpheniramine (Polaramine)                </w:t>
      </w:r>
    </w:p>
    <w:p>
      <w:pPr>
        <w:pStyle w:val="4"/>
        <w:rPr>
          <w:sz w:val="20"/>
          <w:szCs w:val="20"/>
        </w:rPr>
      </w:pPr>
      <w:r>
        <w:rPr>
          <w:sz w:val="20"/>
          <w:szCs w:val="20"/>
        </w:rPr>
        <w:t xml:space="preserve">Dimenhydrinate (Dramamine) </w:t>
      </w:r>
    </w:p>
    <w:p>
      <w:pPr>
        <w:pStyle w:val="4"/>
        <w:rPr>
          <w:sz w:val="20"/>
          <w:szCs w:val="20"/>
        </w:rPr>
      </w:pPr>
      <w:r>
        <w:rPr>
          <w:b/>
          <w:bCs/>
          <w:sz w:val="20"/>
          <w:szCs w:val="20"/>
        </w:rPr>
        <w:t xml:space="preserve">Diphenhydramine </w:t>
      </w:r>
      <w:r>
        <w:rPr>
          <w:sz w:val="20"/>
          <w:szCs w:val="20"/>
        </w:rPr>
        <w:t>(Benadryl)</w:t>
      </w:r>
    </w:p>
    <w:p>
      <w:pPr>
        <w:pStyle w:val="4"/>
        <w:rPr>
          <w:sz w:val="20"/>
          <w:szCs w:val="20"/>
        </w:rPr>
      </w:pPr>
    </w:p>
    <w:p>
      <w:pPr>
        <w:pStyle w:val="4"/>
        <w:rPr>
          <w:sz w:val="20"/>
          <w:szCs w:val="20"/>
        </w:rPr>
      </w:pPr>
      <w:r>
        <w:rPr>
          <w:sz w:val="20"/>
          <w:szCs w:val="20"/>
        </w:rPr>
        <w:t xml:space="preserve">Tylenol Plus, Cold, Allergy, PM or Nighttime products </w:t>
      </w:r>
    </w:p>
    <w:p>
      <w:pPr>
        <w:pStyle w:val="4"/>
        <w:rPr>
          <w:sz w:val="20"/>
          <w:szCs w:val="20"/>
        </w:rPr>
      </w:pPr>
    </w:p>
    <w:p>
      <w:pPr>
        <w:pStyle w:val="4"/>
        <w:rPr>
          <w:sz w:val="20"/>
          <w:szCs w:val="20"/>
        </w:rPr>
      </w:pPr>
    </w:p>
    <w:p>
      <w:pPr>
        <w:pStyle w:val="4"/>
        <w:rPr>
          <w:b/>
          <w:bCs/>
          <w:i/>
          <w:iCs/>
          <w:sz w:val="20"/>
          <w:szCs w:val="20"/>
        </w:rPr>
      </w:pPr>
      <w:r>
        <w:rPr>
          <w:b/>
          <w:bCs/>
          <w:i/>
          <w:iCs/>
          <w:sz w:val="20"/>
          <w:szCs w:val="20"/>
        </w:rPr>
        <w:t xml:space="preserve">H2 inhibitors (commonly used for reflux/ gastritis): </w:t>
      </w:r>
    </w:p>
    <w:p>
      <w:pPr>
        <w:pStyle w:val="4"/>
        <w:rPr>
          <w:b/>
          <w:sz w:val="20"/>
          <w:szCs w:val="20"/>
        </w:rPr>
      </w:pPr>
      <w:r>
        <w:rPr>
          <w:sz w:val="20"/>
          <w:szCs w:val="20"/>
        </w:rPr>
        <w:t>Pepcid (famotodine), Tagamet (cimetidine) and</w:t>
      </w:r>
      <w:r>
        <w:rPr>
          <w:b/>
          <w:sz w:val="20"/>
          <w:szCs w:val="20"/>
        </w:rPr>
        <w:t xml:space="preserve"> Zantac (ranitidine)</w:t>
      </w:r>
    </w:p>
    <w:p>
      <w:pPr>
        <w:pStyle w:val="4"/>
        <w:rPr>
          <w:sz w:val="20"/>
          <w:szCs w:val="20"/>
        </w:rPr>
        <w:sectPr>
          <w:type w:val="continuous"/>
          <w:pgSz w:w="12240" w:h="15840"/>
          <w:pgMar w:top="1440" w:right="1440" w:bottom="1440" w:left="1440" w:header="720" w:footer="720" w:gutter="0"/>
          <w:cols w:space="720" w:num="3"/>
          <w:docGrid w:linePitch="360" w:charSpace="0"/>
        </w:sectPr>
      </w:pPr>
    </w:p>
    <w:p>
      <w:pPr>
        <w:pStyle w:val="4"/>
        <w:rPr>
          <w:sz w:val="20"/>
          <w:szCs w:val="20"/>
        </w:rPr>
      </w:pPr>
    </w:p>
    <w:p>
      <w:pPr>
        <w:pStyle w:val="4"/>
        <w:rPr>
          <w:sz w:val="18"/>
          <w:szCs w:val="18"/>
        </w:rPr>
      </w:pPr>
    </w:p>
    <w:p/>
    <w:p>
      <w:pPr>
        <w:pStyle w:val="4"/>
        <w:rPr>
          <w:sz w:val="18"/>
          <w:szCs w:val="18"/>
        </w:rPr>
      </w:pPr>
      <w:r>
        <w:rPr>
          <w:b/>
          <w:bCs/>
          <w:sz w:val="18"/>
          <w:szCs w:val="18"/>
          <w:u w:val="single"/>
        </w:rPr>
        <w:t>Other medications to avoid 2 weeks prior to testing</w:t>
      </w:r>
    </w:p>
    <w:p>
      <w:pPr>
        <w:pStyle w:val="4"/>
        <w:rPr>
          <w:sz w:val="18"/>
          <w:szCs w:val="18"/>
        </w:rPr>
      </w:pPr>
      <w:r>
        <w:rPr>
          <w:b/>
          <w:bCs/>
          <w:i/>
          <w:iCs/>
          <w:sz w:val="18"/>
          <w:szCs w:val="18"/>
        </w:rPr>
        <w:t xml:space="preserve">Tricyclic antidepressants: </w:t>
      </w:r>
      <w:r>
        <w:rPr>
          <w:sz w:val="18"/>
          <w:szCs w:val="18"/>
        </w:rPr>
        <w:t>Elavil (amitriptyline), Sinequan(doxepin), Norpramin (desipramine), Tofranil imipramine), Anafranil (clomipramine) and Pamelor (nortriptyline), amoxampine, protriptyline, Zyprexa, mirtazepine</w:t>
      </w:r>
    </w:p>
    <w:p>
      <w:pPr>
        <w:pStyle w:val="4"/>
        <w:rPr>
          <w:sz w:val="18"/>
          <w:szCs w:val="18"/>
        </w:rPr>
      </w:pPr>
    </w:p>
    <w:p>
      <w:pPr>
        <w:pStyle w:val="4"/>
        <w:rPr>
          <w:sz w:val="18"/>
          <w:szCs w:val="18"/>
        </w:rPr>
      </w:pPr>
    </w:p>
    <w:p>
      <w:pPr>
        <w:pStyle w:val="4"/>
        <w:rPr>
          <w:b/>
          <w:bCs/>
          <w:sz w:val="18"/>
          <w:szCs w:val="18"/>
          <w:u w:val="single"/>
        </w:rPr>
        <w:sectPr>
          <w:type w:val="continuous"/>
          <w:pgSz w:w="12240" w:h="15840"/>
          <w:pgMar w:top="1440" w:right="1440" w:bottom="1440" w:left="1440" w:header="720" w:footer="720" w:gutter="0"/>
          <w:cols w:space="720" w:num="1"/>
          <w:docGrid w:linePitch="360" w:charSpace="0"/>
        </w:sectPr>
      </w:pPr>
    </w:p>
    <w:p>
      <w:pPr>
        <w:pStyle w:val="4"/>
        <w:rPr>
          <w:sz w:val="18"/>
          <w:szCs w:val="18"/>
        </w:rPr>
      </w:pPr>
      <w:r>
        <w:rPr>
          <w:sz w:val="18"/>
          <w:szCs w:val="18"/>
        </w:rPr>
        <w:t>Benzodiazepines: Valium, Xanax, Librium, Tranxene</w:t>
      </w:r>
    </w:p>
    <w:p>
      <w:pPr>
        <w:pStyle w:val="4"/>
        <w:rPr>
          <w:sz w:val="18"/>
          <w:szCs w:val="18"/>
        </w:rPr>
      </w:pPr>
      <w:r>
        <w:rPr>
          <w:sz w:val="18"/>
          <w:szCs w:val="18"/>
        </w:rPr>
        <w:t>SSRIs: fluoxetine, citalopram, escitalopram, fluvoxamine, paroxetine, sertraline</w:t>
      </w:r>
    </w:p>
    <w:p>
      <w:pPr>
        <w:rPr>
          <w:lang w:val="en-US"/>
        </w:rPr>
        <w:sectPr>
          <w:type w:val="continuous"/>
          <w:pgSz w:w="12240" w:h="15840"/>
          <w:pgMar w:top="1440" w:right="1440" w:bottom="1440" w:left="1440" w:header="720" w:footer="720" w:gutter="0"/>
          <w:cols w:space="720" w:num="1"/>
          <w:docGrid w:linePitch="360" w:charSpace="0"/>
        </w:sectPr>
      </w:pPr>
    </w:p>
    <w:p/>
    <w:p>
      <w:pPr>
        <w:rPr>
          <w:rFonts w:hint="default" w:ascii="Times New Roman" w:hAnsi="Times New Roman" w:cs="Times New Roman"/>
          <w:b/>
          <w:bCs/>
          <w:sz w:val="18"/>
          <w:szCs w:val="18"/>
          <w:lang w:val="en-US"/>
        </w:rPr>
      </w:pPr>
      <w:r>
        <w:rPr>
          <w:rFonts w:hint="default" w:ascii="Times New Roman" w:hAnsi="Times New Roman" w:cs="Times New Roman"/>
          <w:b/>
          <w:bCs/>
          <w:sz w:val="18"/>
          <w:szCs w:val="18"/>
          <w:lang w:val="en-US"/>
        </w:rPr>
        <w:t>**Please do NOT stop the medications listed above under “other medications” without speaking to our office first. For any questions about medications, please call 972-521-3366</w:t>
      </w:r>
    </w:p>
    <w:sectPr>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E2"/>
    <w:rsid w:val="00011BF5"/>
    <w:rsid w:val="000A20E2"/>
    <w:rsid w:val="00650F59"/>
    <w:rsid w:val="00790E29"/>
    <w:rsid w:val="399B5E07"/>
    <w:rsid w:val="4DF04C62"/>
    <w:rsid w:val="6CF33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369</Words>
  <Characters>2108</Characters>
  <Lines>17</Lines>
  <Paragraphs>4</Paragraphs>
  <ScaleCrop>false</ScaleCrop>
  <LinksUpToDate>false</LinksUpToDate>
  <CharactersWithSpaces>2473</CharactersWithSpaces>
  <Application>WPS Office_10.2.0.5934_F1E327BC-269C-435d-A152-05C5408002CA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2015-09-16T19:06:00Z</dcterms:created>
  <dc:creator>bharad Indaram</dc:creator>
  <cp:lastModifiedBy>Checkin2</cp:lastModifiedBy>
  <dcterms:modified xsi:type="dcterms:W3CDTF">2017-09-21T16:49:31Z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