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7D4" w:rsidRDefault="006277D4" w:rsidP="006277D4">
      <w:pPr>
        <w:spacing w:line="240" w:lineRule="auto"/>
        <w:jc w:val="center"/>
        <w:rPr>
          <w:b/>
          <w:sz w:val="36"/>
          <w:szCs w:val="36"/>
        </w:rPr>
      </w:pPr>
      <w:bookmarkStart w:id="0" w:name="_GoBack"/>
      <w:bookmarkEnd w:id="0"/>
    </w:p>
    <w:p w:rsidR="006277D4" w:rsidRDefault="006277D4" w:rsidP="006277D4">
      <w:pPr>
        <w:spacing w:line="240" w:lineRule="auto"/>
        <w:jc w:val="center"/>
        <w:rPr>
          <w:b/>
          <w:sz w:val="36"/>
          <w:szCs w:val="36"/>
        </w:rPr>
      </w:pPr>
    </w:p>
    <w:p w:rsidR="006277D4" w:rsidRDefault="006277D4" w:rsidP="006277D4">
      <w:pPr>
        <w:spacing w:line="240" w:lineRule="auto"/>
        <w:jc w:val="center"/>
        <w:rPr>
          <w:b/>
          <w:sz w:val="36"/>
          <w:szCs w:val="36"/>
        </w:rPr>
      </w:pPr>
    </w:p>
    <w:p w:rsidR="006277D4" w:rsidRDefault="006277D4" w:rsidP="006277D4">
      <w:pPr>
        <w:spacing w:line="240" w:lineRule="auto"/>
        <w:jc w:val="center"/>
        <w:rPr>
          <w:b/>
          <w:sz w:val="36"/>
          <w:szCs w:val="36"/>
        </w:rPr>
      </w:pPr>
    </w:p>
    <w:p w:rsidR="006277D4" w:rsidRPr="006277D4" w:rsidRDefault="006277D4" w:rsidP="006277D4">
      <w:pPr>
        <w:spacing w:line="240" w:lineRule="auto"/>
        <w:jc w:val="center"/>
        <w:rPr>
          <w:b/>
          <w:sz w:val="52"/>
          <w:szCs w:val="52"/>
        </w:rPr>
      </w:pPr>
      <w:r w:rsidRPr="006277D4">
        <w:rPr>
          <w:b/>
          <w:sz w:val="52"/>
          <w:szCs w:val="52"/>
        </w:rPr>
        <w:t>BACKGROUND INFORMATION PACKAGE</w:t>
      </w:r>
    </w:p>
    <w:p w:rsidR="006277D4" w:rsidRPr="006277D4" w:rsidRDefault="006277D4" w:rsidP="006277D4">
      <w:pPr>
        <w:spacing w:line="240" w:lineRule="auto"/>
        <w:jc w:val="center"/>
        <w:rPr>
          <w:b/>
          <w:sz w:val="52"/>
          <w:szCs w:val="52"/>
        </w:rPr>
      </w:pPr>
      <w:r w:rsidRPr="006277D4">
        <w:rPr>
          <w:b/>
          <w:sz w:val="52"/>
          <w:szCs w:val="52"/>
        </w:rPr>
        <w:t xml:space="preserve">FOR THE </w:t>
      </w:r>
    </w:p>
    <w:p w:rsidR="006277D4" w:rsidRPr="006277D4" w:rsidRDefault="006277D4" w:rsidP="006277D4">
      <w:pPr>
        <w:spacing w:line="240" w:lineRule="auto"/>
        <w:jc w:val="center"/>
        <w:rPr>
          <w:b/>
          <w:sz w:val="52"/>
          <w:szCs w:val="52"/>
        </w:rPr>
      </w:pPr>
      <w:r w:rsidRPr="006277D4">
        <w:rPr>
          <w:b/>
          <w:sz w:val="52"/>
          <w:szCs w:val="52"/>
        </w:rPr>
        <w:t xml:space="preserve">TRI-TOWN BOARDS OF HEALTH </w:t>
      </w:r>
    </w:p>
    <w:p w:rsidR="006277D4" w:rsidRDefault="006277D4" w:rsidP="006277D4">
      <w:pPr>
        <w:spacing w:line="240" w:lineRule="auto"/>
        <w:jc w:val="center"/>
        <w:rPr>
          <w:b/>
          <w:sz w:val="36"/>
          <w:szCs w:val="36"/>
        </w:rPr>
      </w:pPr>
      <w:r>
        <w:rPr>
          <w:b/>
          <w:noProof/>
          <w:sz w:val="36"/>
          <w:szCs w:val="36"/>
        </w:rPr>
        <mc:AlternateContent>
          <mc:Choice Requires="wps">
            <w:drawing>
              <wp:anchor distT="0" distB="0" distL="114300" distR="114300" simplePos="0" relativeHeight="251669504" behindDoc="0" locked="0" layoutInCell="1" allowOverlap="1">
                <wp:simplePos x="0" y="0"/>
                <wp:positionH relativeFrom="column">
                  <wp:posOffset>2773680</wp:posOffset>
                </wp:positionH>
                <wp:positionV relativeFrom="paragraph">
                  <wp:posOffset>130175</wp:posOffset>
                </wp:positionV>
                <wp:extent cx="1280160" cy="0"/>
                <wp:effectExtent l="38100" t="38100" r="53340" b="95250"/>
                <wp:wrapNone/>
                <wp:docPr id="11" name="Straight Connector 11"/>
                <wp:cNvGraphicFramePr/>
                <a:graphic xmlns:a="http://schemas.openxmlformats.org/drawingml/2006/main">
                  <a:graphicData uri="http://schemas.microsoft.com/office/word/2010/wordprocessingShape">
                    <wps:wsp>
                      <wps:cNvCnPr/>
                      <wps:spPr>
                        <a:xfrm>
                          <a:off x="0" y="0"/>
                          <a:ext cx="12801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4272BB1"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8.4pt,10.25pt" to="319.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" strokecolor="black [3200]" strokeweight="2pt">
                <v:shadow on="t" color="black" opacity="24903f" origin=",.5" offset="0,.55556mm"/>
              </v:line>
            </w:pict>
          </mc:Fallback>
        </mc:AlternateContent>
      </w:r>
    </w:p>
    <w:p w:rsidR="006277D4" w:rsidRPr="006277D4" w:rsidRDefault="006277D4" w:rsidP="006277D4">
      <w:pPr>
        <w:spacing w:line="240" w:lineRule="auto"/>
        <w:jc w:val="center"/>
        <w:rPr>
          <w:b/>
          <w:sz w:val="40"/>
          <w:szCs w:val="40"/>
        </w:rPr>
      </w:pPr>
      <w:r w:rsidRPr="006277D4">
        <w:rPr>
          <w:b/>
          <w:sz w:val="40"/>
          <w:szCs w:val="40"/>
        </w:rPr>
        <w:t>POLYSTYRENE DRINK AND FOOD CONTAINERS</w:t>
      </w:r>
    </w:p>
    <w:p w:rsidR="006277D4" w:rsidRPr="006277D4" w:rsidRDefault="006277D4" w:rsidP="006277D4">
      <w:pPr>
        <w:spacing w:line="240" w:lineRule="auto"/>
        <w:jc w:val="center"/>
        <w:rPr>
          <w:b/>
          <w:sz w:val="40"/>
          <w:szCs w:val="40"/>
        </w:rPr>
      </w:pPr>
      <w:r w:rsidRPr="006277D4">
        <w:rPr>
          <w:b/>
          <w:sz w:val="40"/>
          <w:szCs w:val="40"/>
        </w:rPr>
        <w:t xml:space="preserve"> AND </w:t>
      </w:r>
    </w:p>
    <w:p w:rsidR="006277D4" w:rsidRPr="006277D4" w:rsidRDefault="006277D4" w:rsidP="006277D4">
      <w:pPr>
        <w:spacing w:line="240" w:lineRule="auto"/>
        <w:jc w:val="center"/>
        <w:rPr>
          <w:b/>
          <w:sz w:val="40"/>
          <w:szCs w:val="40"/>
        </w:rPr>
      </w:pPr>
      <w:r w:rsidRPr="006277D4">
        <w:rPr>
          <w:b/>
          <w:sz w:val="40"/>
          <w:szCs w:val="40"/>
        </w:rPr>
        <w:t>SINGLE-USE PLASTIC SHOPPING BAGS</w:t>
      </w:r>
    </w:p>
    <w:p w:rsidR="006277D4" w:rsidRDefault="006277D4" w:rsidP="006277D4">
      <w:pPr>
        <w:spacing w:line="240" w:lineRule="auto"/>
        <w:jc w:val="center"/>
        <w:rPr>
          <w:b/>
          <w:sz w:val="28"/>
          <w:szCs w:val="28"/>
        </w:rPr>
      </w:pPr>
    </w:p>
    <w:p w:rsidR="006277D4" w:rsidRDefault="006277D4" w:rsidP="006277D4">
      <w:pPr>
        <w:spacing w:line="240" w:lineRule="auto"/>
        <w:jc w:val="center"/>
        <w:rPr>
          <w:b/>
          <w:sz w:val="28"/>
          <w:szCs w:val="28"/>
        </w:rPr>
      </w:pPr>
    </w:p>
    <w:p w:rsidR="006277D4" w:rsidRDefault="006277D4" w:rsidP="006277D4">
      <w:pPr>
        <w:spacing w:line="240" w:lineRule="auto"/>
        <w:jc w:val="center"/>
        <w:rPr>
          <w:b/>
          <w:sz w:val="28"/>
          <w:szCs w:val="28"/>
        </w:rPr>
      </w:pPr>
      <w:r>
        <w:rPr>
          <w:b/>
          <w:sz w:val="28"/>
          <w:szCs w:val="28"/>
        </w:rPr>
        <w:t>December 8, 2015</w:t>
      </w:r>
    </w:p>
    <w:p w:rsidR="006277D4" w:rsidRDefault="006277D4" w:rsidP="006277D4">
      <w:pPr>
        <w:spacing w:line="240" w:lineRule="auto"/>
        <w:jc w:val="center"/>
        <w:rPr>
          <w:b/>
          <w:sz w:val="28"/>
          <w:szCs w:val="28"/>
        </w:rPr>
      </w:pPr>
      <w:r>
        <w:rPr>
          <w:b/>
          <w:sz w:val="28"/>
          <w:szCs w:val="28"/>
        </w:rPr>
        <w:t>Tri-Town Health Department</w:t>
      </w:r>
    </w:p>
    <w:p w:rsidR="006277D4" w:rsidRDefault="006277D4" w:rsidP="006277D4">
      <w:pPr>
        <w:spacing w:line="240" w:lineRule="auto"/>
        <w:jc w:val="center"/>
        <w:rPr>
          <w:b/>
          <w:sz w:val="28"/>
          <w:szCs w:val="28"/>
        </w:rPr>
      </w:pPr>
      <w:r>
        <w:rPr>
          <w:b/>
          <w:sz w:val="28"/>
          <w:szCs w:val="28"/>
        </w:rPr>
        <w:t xml:space="preserve">By: </w:t>
      </w:r>
    </w:p>
    <w:p w:rsidR="006277D4" w:rsidRDefault="006277D4" w:rsidP="006277D4">
      <w:pPr>
        <w:spacing w:line="240" w:lineRule="auto"/>
        <w:jc w:val="center"/>
        <w:rPr>
          <w:b/>
          <w:sz w:val="28"/>
          <w:szCs w:val="28"/>
        </w:rPr>
      </w:pPr>
      <w:r>
        <w:rPr>
          <w:b/>
          <w:sz w:val="28"/>
          <w:szCs w:val="28"/>
        </w:rPr>
        <w:t>Peter Hofman, Chair – Lee Recycling Committee</w:t>
      </w:r>
    </w:p>
    <w:p w:rsidR="006277D4" w:rsidRDefault="006277D4" w:rsidP="006277D4">
      <w:pPr>
        <w:spacing w:line="240" w:lineRule="auto"/>
        <w:jc w:val="center"/>
        <w:rPr>
          <w:b/>
          <w:sz w:val="28"/>
          <w:szCs w:val="28"/>
        </w:rPr>
      </w:pPr>
      <w:r>
        <w:rPr>
          <w:b/>
          <w:sz w:val="28"/>
          <w:szCs w:val="28"/>
        </w:rPr>
        <w:t>Eric Federer, Chair – Lenox Environmental Committee</w:t>
      </w:r>
    </w:p>
    <w:p w:rsidR="006277D4" w:rsidRDefault="006277D4">
      <w:pPr>
        <w:rPr>
          <w:b/>
          <w:sz w:val="28"/>
          <w:szCs w:val="28"/>
        </w:rPr>
      </w:pPr>
      <w:r>
        <w:rPr>
          <w:b/>
          <w:sz w:val="28"/>
          <w:szCs w:val="28"/>
        </w:rPr>
        <w:br w:type="page"/>
      </w:r>
    </w:p>
    <w:p w:rsidR="006277D4" w:rsidRDefault="006277D4" w:rsidP="006277D4">
      <w:pPr>
        <w:spacing w:line="240" w:lineRule="auto"/>
        <w:jc w:val="center"/>
        <w:rPr>
          <w:b/>
          <w:sz w:val="28"/>
          <w:szCs w:val="28"/>
        </w:rPr>
      </w:pPr>
      <w:r>
        <w:rPr>
          <w:b/>
          <w:sz w:val="28"/>
          <w:szCs w:val="28"/>
        </w:rPr>
        <w:lastRenderedPageBreak/>
        <w:t>TABLE OF CONTENTS</w:t>
      </w:r>
    </w:p>
    <w:p w:rsidR="00320A0C" w:rsidRDefault="00320A0C" w:rsidP="006277D4">
      <w:pPr>
        <w:spacing w:line="240" w:lineRule="auto"/>
        <w:jc w:val="center"/>
        <w:rPr>
          <w:b/>
          <w:sz w:val="28"/>
          <w:szCs w:val="28"/>
        </w:rPr>
      </w:pPr>
    </w:p>
    <w:p w:rsidR="006277D4" w:rsidRDefault="006277D4" w:rsidP="006277D4">
      <w:pPr>
        <w:spacing w:line="240" w:lineRule="auto"/>
      </w:pPr>
      <w:r>
        <w:t>Executive Summary</w:t>
      </w:r>
      <w:r>
        <w:tab/>
      </w:r>
      <w:r>
        <w:tab/>
      </w:r>
      <w:r>
        <w:tab/>
      </w:r>
      <w:r>
        <w:tab/>
      </w:r>
      <w:r>
        <w:tab/>
      </w:r>
      <w:r>
        <w:tab/>
      </w:r>
      <w:r>
        <w:tab/>
      </w:r>
      <w:r>
        <w:tab/>
      </w:r>
      <w:r>
        <w:tab/>
      </w:r>
      <w:r>
        <w:tab/>
      </w:r>
      <w:r>
        <w:tab/>
      </w:r>
      <w:r>
        <w:tab/>
        <w:t>1</w:t>
      </w:r>
    </w:p>
    <w:p w:rsidR="006277D4" w:rsidRDefault="006277D4" w:rsidP="006277D4">
      <w:pPr>
        <w:spacing w:line="240" w:lineRule="auto"/>
      </w:pPr>
      <w:r>
        <w:t>Discussion</w:t>
      </w:r>
      <w:r w:rsidR="002C3117">
        <w:tab/>
      </w:r>
      <w:r w:rsidR="002C3117">
        <w:tab/>
      </w:r>
      <w:r w:rsidR="002C3117">
        <w:tab/>
      </w:r>
      <w:r w:rsidR="002C3117">
        <w:tab/>
      </w:r>
      <w:r w:rsidR="002C3117">
        <w:tab/>
      </w:r>
      <w:r w:rsidR="002C3117">
        <w:tab/>
      </w:r>
      <w:r w:rsidR="002C3117">
        <w:tab/>
      </w:r>
      <w:r w:rsidR="002C3117">
        <w:tab/>
      </w:r>
      <w:r w:rsidR="002C3117">
        <w:tab/>
      </w:r>
      <w:r w:rsidR="002C3117">
        <w:tab/>
      </w:r>
      <w:r w:rsidR="002C3117">
        <w:tab/>
      </w:r>
      <w:r w:rsidR="002C3117">
        <w:tab/>
      </w:r>
      <w:r w:rsidR="002C3117">
        <w:tab/>
        <w:t>3</w:t>
      </w:r>
    </w:p>
    <w:p w:rsidR="006277D4" w:rsidRDefault="006277D4" w:rsidP="006277D4">
      <w:pPr>
        <w:spacing w:line="240" w:lineRule="auto"/>
        <w:ind w:left="720"/>
      </w:pPr>
      <w:r>
        <w:t>Polystyrene Drink and Food Containers</w:t>
      </w:r>
      <w:r>
        <w:tab/>
      </w:r>
      <w:r>
        <w:tab/>
      </w:r>
      <w:r>
        <w:tab/>
      </w:r>
      <w:r>
        <w:tab/>
      </w:r>
      <w:r>
        <w:tab/>
      </w:r>
      <w:r>
        <w:tab/>
      </w:r>
      <w:r>
        <w:tab/>
      </w:r>
      <w:r>
        <w:tab/>
      </w:r>
      <w:r>
        <w:tab/>
      </w:r>
      <w:r w:rsidR="002C3117">
        <w:t>3</w:t>
      </w:r>
    </w:p>
    <w:p w:rsidR="009E4A05" w:rsidRDefault="009E4A05" w:rsidP="006277D4">
      <w:pPr>
        <w:spacing w:line="240" w:lineRule="auto"/>
        <w:ind w:left="720"/>
      </w:pPr>
      <w:r>
        <w:tab/>
        <w:t>Rationale</w:t>
      </w:r>
      <w:r w:rsidR="002C3117">
        <w:tab/>
      </w:r>
      <w:r>
        <w:tab/>
      </w:r>
      <w:r>
        <w:tab/>
      </w:r>
      <w:r>
        <w:tab/>
      </w:r>
      <w:r>
        <w:tab/>
      </w:r>
      <w:r>
        <w:tab/>
      </w:r>
      <w:r>
        <w:tab/>
      </w:r>
      <w:r>
        <w:tab/>
      </w:r>
      <w:r>
        <w:tab/>
      </w:r>
      <w:r>
        <w:tab/>
      </w:r>
      <w:r>
        <w:tab/>
      </w:r>
      <w:r w:rsidR="002C3117">
        <w:t>3</w:t>
      </w:r>
    </w:p>
    <w:p w:rsidR="009E4A05" w:rsidRDefault="009E4A05" w:rsidP="002C3117">
      <w:pPr>
        <w:spacing w:line="240" w:lineRule="auto"/>
        <w:ind w:left="720" w:firstLine="720"/>
      </w:pPr>
      <w:r>
        <w:t>Polystyrene in our communities</w:t>
      </w:r>
      <w:r w:rsidR="007362F1">
        <w:tab/>
      </w:r>
      <w:r w:rsidR="007362F1">
        <w:tab/>
      </w:r>
      <w:r w:rsidR="007362F1">
        <w:tab/>
      </w:r>
      <w:r w:rsidR="007362F1">
        <w:tab/>
      </w:r>
      <w:r w:rsidR="002C3117">
        <w:tab/>
      </w:r>
      <w:r w:rsidR="007362F1">
        <w:tab/>
      </w:r>
      <w:r w:rsidR="007362F1">
        <w:tab/>
      </w:r>
      <w:r w:rsidR="007362F1">
        <w:tab/>
      </w:r>
      <w:r w:rsidR="007362F1">
        <w:tab/>
      </w:r>
      <w:r w:rsidR="002C3117">
        <w:t>5</w:t>
      </w:r>
    </w:p>
    <w:p w:rsidR="002C3117" w:rsidRDefault="002C3117" w:rsidP="007362F1">
      <w:pPr>
        <w:spacing w:line="240" w:lineRule="auto"/>
        <w:ind w:left="720" w:firstLine="720"/>
      </w:pPr>
      <w:r w:rsidRPr="002C3117">
        <w:t>Polystyrene alternatives considerations, availability, and cost comparison</w:t>
      </w:r>
      <w:r>
        <w:tab/>
      </w:r>
      <w:r>
        <w:tab/>
      </w:r>
      <w:r>
        <w:tab/>
        <w:t>6</w:t>
      </w:r>
    </w:p>
    <w:p w:rsidR="007362F1" w:rsidRDefault="007362F1" w:rsidP="007362F1">
      <w:pPr>
        <w:spacing w:line="240" w:lineRule="auto"/>
        <w:ind w:left="720" w:firstLine="720"/>
      </w:pPr>
      <w:r>
        <w:t xml:space="preserve">What </w:t>
      </w:r>
      <w:r w:rsidR="002C3117">
        <w:t>others have and haven’t done</w:t>
      </w:r>
      <w:r w:rsidR="002C3117">
        <w:tab/>
      </w:r>
      <w:r w:rsidR="002C3117">
        <w:tab/>
      </w:r>
      <w:r w:rsidR="002C3117">
        <w:tab/>
      </w:r>
      <w:r w:rsidR="002C3117">
        <w:tab/>
      </w:r>
      <w:r w:rsidR="002C3117">
        <w:tab/>
      </w:r>
      <w:r w:rsidR="002C3117">
        <w:tab/>
      </w:r>
      <w:r w:rsidR="002C3117">
        <w:tab/>
      </w:r>
      <w:r w:rsidR="002C3117">
        <w:tab/>
        <w:t>6</w:t>
      </w:r>
    </w:p>
    <w:p w:rsidR="007362F1" w:rsidRDefault="007362F1" w:rsidP="007362F1">
      <w:pPr>
        <w:spacing w:line="240" w:lineRule="auto"/>
        <w:ind w:firstLine="720"/>
      </w:pPr>
      <w:r>
        <w:t>Single-Use Plastic Shopping Bags</w:t>
      </w:r>
      <w:r>
        <w:tab/>
      </w:r>
      <w:r>
        <w:tab/>
      </w:r>
      <w:r>
        <w:tab/>
      </w:r>
      <w:r>
        <w:tab/>
      </w:r>
      <w:r>
        <w:tab/>
      </w:r>
      <w:r>
        <w:tab/>
      </w:r>
      <w:r>
        <w:tab/>
      </w:r>
      <w:r>
        <w:tab/>
      </w:r>
      <w:r>
        <w:tab/>
        <w:t>6</w:t>
      </w:r>
    </w:p>
    <w:p w:rsidR="007362F1" w:rsidRDefault="007362F1" w:rsidP="007362F1">
      <w:pPr>
        <w:spacing w:line="240" w:lineRule="auto"/>
        <w:ind w:firstLine="720"/>
      </w:pPr>
      <w:r>
        <w:tab/>
        <w:t>Rationale</w:t>
      </w:r>
      <w:r>
        <w:tab/>
      </w:r>
      <w:r w:rsidR="002C3117">
        <w:tab/>
      </w:r>
      <w:r>
        <w:tab/>
      </w:r>
      <w:r>
        <w:tab/>
      </w:r>
      <w:r>
        <w:tab/>
      </w:r>
      <w:r>
        <w:tab/>
      </w:r>
      <w:r>
        <w:tab/>
      </w:r>
      <w:r>
        <w:tab/>
      </w:r>
      <w:r>
        <w:tab/>
      </w:r>
      <w:r>
        <w:tab/>
      </w:r>
      <w:r>
        <w:tab/>
        <w:t>6</w:t>
      </w:r>
    </w:p>
    <w:p w:rsidR="007362F1" w:rsidRDefault="007362F1" w:rsidP="007362F1">
      <w:pPr>
        <w:spacing w:line="240" w:lineRule="auto"/>
        <w:ind w:firstLine="720"/>
      </w:pPr>
      <w:r>
        <w:tab/>
        <w:t>Plastic Bags in Our Communities</w:t>
      </w:r>
      <w:r>
        <w:tab/>
      </w:r>
      <w:r>
        <w:tab/>
      </w:r>
      <w:r>
        <w:tab/>
      </w:r>
      <w:r>
        <w:tab/>
      </w:r>
      <w:r>
        <w:tab/>
      </w:r>
      <w:r>
        <w:tab/>
      </w:r>
      <w:r>
        <w:tab/>
      </w:r>
      <w:r w:rsidR="002C3117">
        <w:tab/>
      </w:r>
      <w:r>
        <w:tab/>
        <w:t>1</w:t>
      </w:r>
      <w:r w:rsidR="002C3117">
        <w:t>2</w:t>
      </w:r>
    </w:p>
    <w:p w:rsidR="002C3117" w:rsidRPr="002C3117" w:rsidRDefault="002C3117" w:rsidP="007362F1">
      <w:pPr>
        <w:spacing w:line="240" w:lineRule="auto"/>
        <w:ind w:left="720" w:firstLine="720"/>
      </w:pPr>
      <w:r w:rsidRPr="002C3117">
        <w:t>Bag alternatives considerations, availability, and cost comparison</w:t>
      </w:r>
      <w:r>
        <w:tab/>
      </w:r>
      <w:r>
        <w:tab/>
      </w:r>
      <w:r>
        <w:tab/>
      </w:r>
      <w:r>
        <w:tab/>
        <w:t>12</w:t>
      </w:r>
    </w:p>
    <w:p w:rsidR="007362F1" w:rsidRDefault="002C3117" w:rsidP="007362F1">
      <w:pPr>
        <w:spacing w:line="240" w:lineRule="auto"/>
        <w:ind w:left="720" w:firstLine="720"/>
      </w:pPr>
      <w:r>
        <w:t xml:space="preserve">What others have and haven’t done </w:t>
      </w:r>
      <w:r w:rsidR="007362F1">
        <w:tab/>
      </w:r>
      <w:r w:rsidR="007362F1">
        <w:tab/>
      </w:r>
      <w:r w:rsidR="007362F1">
        <w:tab/>
      </w:r>
      <w:r w:rsidR="007362F1">
        <w:tab/>
      </w:r>
      <w:r w:rsidR="007362F1">
        <w:tab/>
      </w:r>
      <w:r w:rsidR="007362F1">
        <w:tab/>
      </w:r>
      <w:r w:rsidR="007362F1">
        <w:tab/>
      </w:r>
      <w:r w:rsidR="007362F1">
        <w:tab/>
        <w:t>12</w:t>
      </w:r>
    </w:p>
    <w:p w:rsidR="007362F1" w:rsidRDefault="007362F1" w:rsidP="007362F1">
      <w:pPr>
        <w:spacing w:line="240" w:lineRule="auto"/>
        <w:ind w:left="720"/>
        <w:rPr>
          <w:sz w:val="28"/>
          <w:szCs w:val="28"/>
        </w:rPr>
      </w:pPr>
      <w:r w:rsidRPr="007362F1">
        <w:t>Board of Health Regulation versus Town Meeting-Approved By-law Changes</w:t>
      </w:r>
      <w:r w:rsidRPr="007362F1">
        <w:rPr>
          <w:sz w:val="28"/>
          <w:szCs w:val="28"/>
        </w:rPr>
        <w:tab/>
      </w:r>
      <w:r w:rsidRPr="007362F1">
        <w:rPr>
          <w:sz w:val="28"/>
          <w:szCs w:val="28"/>
        </w:rPr>
        <w:tab/>
      </w:r>
      <w:r w:rsidRPr="007362F1">
        <w:rPr>
          <w:sz w:val="28"/>
          <w:szCs w:val="28"/>
        </w:rPr>
        <w:tab/>
      </w:r>
      <w:r w:rsidRPr="007362F1">
        <w:rPr>
          <w:sz w:val="28"/>
          <w:szCs w:val="28"/>
        </w:rPr>
        <w:tab/>
      </w:r>
      <w:r w:rsidRPr="00A204A1">
        <w:t>13</w:t>
      </w:r>
      <w:r w:rsidRPr="007362F1">
        <w:rPr>
          <w:sz w:val="28"/>
          <w:szCs w:val="28"/>
        </w:rPr>
        <w:tab/>
      </w:r>
    </w:p>
    <w:p w:rsidR="00A204A1" w:rsidRDefault="007362F1" w:rsidP="007362F1">
      <w:pPr>
        <w:spacing w:line="240" w:lineRule="auto"/>
        <w:ind w:left="720"/>
      </w:pPr>
      <w:r w:rsidRPr="007362F1">
        <w:t>LEC/LRC support</w:t>
      </w:r>
      <w:r w:rsidR="00A204A1">
        <w:tab/>
      </w:r>
      <w:r w:rsidR="00A204A1">
        <w:tab/>
      </w:r>
      <w:r w:rsidR="00A204A1">
        <w:tab/>
      </w:r>
      <w:r w:rsidR="00A204A1">
        <w:tab/>
      </w:r>
      <w:r w:rsidR="00A204A1">
        <w:tab/>
      </w:r>
      <w:r w:rsidR="00A204A1">
        <w:tab/>
      </w:r>
      <w:r w:rsidR="00A204A1">
        <w:tab/>
      </w:r>
      <w:r w:rsidR="00A204A1">
        <w:tab/>
      </w:r>
      <w:r w:rsidR="00A204A1">
        <w:tab/>
      </w:r>
      <w:r w:rsidR="00A204A1">
        <w:tab/>
      </w:r>
      <w:r w:rsidR="00A204A1">
        <w:tab/>
        <w:t>1</w:t>
      </w:r>
      <w:r w:rsidR="002C3117">
        <w:t>4</w:t>
      </w:r>
    </w:p>
    <w:p w:rsidR="00A204A1" w:rsidRDefault="00A204A1" w:rsidP="00A204A1">
      <w:pPr>
        <w:spacing w:line="240" w:lineRule="auto"/>
      </w:pPr>
      <w:r>
        <w:t>Attachments</w:t>
      </w:r>
    </w:p>
    <w:p w:rsidR="00A204A1" w:rsidRDefault="00A204A1" w:rsidP="00A204A1">
      <w:pPr>
        <w:spacing w:line="240" w:lineRule="auto"/>
        <w:ind w:firstLine="720"/>
      </w:pPr>
      <w:r>
        <w:t xml:space="preserve">1 – </w:t>
      </w:r>
      <w:r w:rsidRPr="00A204A1">
        <w:t>S</w:t>
      </w:r>
      <w:r>
        <w:t>ummary of Polystyrene and Single-Use Plastic Shopping Bag Bans in Massachusetts</w:t>
      </w:r>
      <w:r>
        <w:tab/>
      </w:r>
      <w:r>
        <w:tab/>
      </w:r>
      <w:r>
        <w:tab/>
        <w:t>15</w:t>
      </w:r>
    </w:p>
    <w:p w:rsidR="00A204A1" w:rsidRDefault="00A204A1" w:rsidP="00A204A1">
      <w:pPr>
        <w:spacing w:line="240" w:lineRule="auto"/>
        <w:ind w:firstLine="720"/>
        <w:rPr>
          <w:rFonts w:ascii="Calibri" w:eastAsia="Times New Roman" w:hAnsi="Calibri" w:cs="Times New Roman"/>
          <w:bCs/>
          <w:color w:val="000000"/>
        </w:rPr>
      </w:pPr>
      <w:r>
        <w:t xml:space="preserve">2 – </w:t>
      </w:r>
      <w:r w:rsidRPr="00A204A1">
        <w:rPr>
          <w:rFonts w:ascii="Calibri" w:eastAsia="Times New Roman" w:hAnsi="Calibri" w:cs="Times New Roman"/>
          <w:bCs/>
          <w:color w:val="000000"/>
        </w:rPr>
        <w:t>Sample Products and Pricing: Environmentally Friendly Products</w:t>
      </w:r>
      <w:r>
        <w:rPr>
          <w:rFonts w:ascii="Calibri" w:eastAsia="Times New Roman" w:hAnsi="Calibri" w:cs="Times New Roman"/>
          <w:bCs/>
          <w:color w:val="000000"/>
        </w:rPr>
        <w:tab/>
      </w:r>
      <w:r>
        <w:rPr>
          <w:rFonts w:ascii="Calibri" w:eastAsia="Times New Roman" w:hAnsi="Calibri" w:cs="Times New Roman"/>
          <w:bCs/>
          <w:color w:val="000000"/>
        </w:rPr>
        <w:tab/>
      </w:r>
      <w:r>
        <w:rPr>
          <w:rFonts w:ascii="Calibri" w:eastAsia="Times New Roman" w:hAnsi="Calibri" w:cs="Times New Roman"/>
          <w:bCs/>
          <w:color w:val="000000"/>
        </w:rPr>
        <w:tab/>
      </w:r>
      <w:r>
        <w:rPr>
          <w:rFonts w:ascii="Calibri" w:eastAsia="Times New Roman" w:hAnsi="Calibri" w:cs="Times New Roman"/>
          <w:bCs/>
          <w:color w:val="000000"/>
        </w:rPr>
        <w:tab/>
      </w:r>
      <w:r>
        <w:rPr>
          <w:rFonts w:ascii="Calibri" w:eastAsia="Times New Roman" w:hAnsi="Calibri" w:cs="Times New Roman"/>
          <w:bCs/>
          <w:color w:val="000000"/>
        </w:rPr>
        <w:tab/>
        <w:t>16</w:t>
      </w:r>
    </w:p>
    <w:p w:rsidR="00A204A1" w:rsidRDefault="00A204A1" w:rsidP="00A204A1">
      <w:pPr>
        <w:spacing w:line="240" w:lineRule="auto"/>
        <w:ind w:firstLine="720"/>
      </w:pPr>
      <w:r>
        <w:rPr>
          <w:rFonts w:ascii="Calibri" w:eastAsia="Times New Roman" w:hAnsi="Calibri" w:cs="Times New Roman"/>
          <w:bCs/>
          <w:color w:val="000000"/>
        </w:rPr>
        <w:t xml:space="preserve">3 – </w:t>
      </w:r>
      <w:r w:rsidRPr="00A204A1">
        <w:t>P</w:t>
      </w:r>
      <w:r>
        <w:t>olystyrene Waste Reduction:</w:t>
      </w:r>
      <w:r w:rsidRPr="00A204A1">
        <w:t xml:space="preserve"> K</w:t>
      </w:r>
      <w:r>
        <w:t>ey Parameters and Associated Range of Options</w:t>
      </w:r>
      <w:r>
        <w:tab/>
      </w:r>
      <w:r>
        <w:tab/>
      </w:r>
      <w:r>
        <w:tab/>
        <w:t>20</w:t>
      </w:r>
    </w:p>
    <w:p w:rsidR="00A204A1" w:rsidRDefault="00A204A1" w:rsidP="00A204A1">
      <w:pPr>
        <w:spacing w:line="240" w:lineRule="auto"/>
        <w:ind w:firstLine="720"/>
      </w:pPr>
      <w:r w:rsidRPr="00A204A1">
        <w:t>4 – New Mini Trays</w:t>
      </w:r>
      <w:r>
        <w:tab/>
      </w:r>
      <w:r>
        <w:tab/>
      </w:r>
      <w:r>
        <w:tab/>
      </w:r>
      <w:r>
        <w:tab/>
      </w:r>
      <w:r>
        <w:tab/>
      </w:r>
      <w:r>
        <w:tab/>
      </w:r>
      <w:r>
        <w:tab/>
      </w:r>
      <w:r>
        <w:tab/>
      </w:r>
      <w:r>
        <w:tab/>
      </w:r>
      <w:r>
        <w:tab/>
      </w:r>
      <w:r>
        <w:tab/>
        <w:t>22</w:t>
      </w:r>
    </w:p>
    <w:p w:rsidR="00A204A1" w:rsidRDefault="00A204A1" w:rsidP="00A204A1">
      <w:pPr>
        <w:spacing w:after="0" w:line="240" w:lineRule="auto"/>
        <w:ind w:firstLine="720"/>
      </w:pPr>
      <w:r>
        <w:t xml:space="preserve">5 – </w:t>
      </w:r>
      <w:r w:rsidRPr="00A204A1">
        <w:t>S</w:t>
      </w:r>
      <w:r>
        <w:t xml:space="preserve">ingle-Use Plastic Shopping Bag Waste Reduction: Key Parameters and </w:t>
      </w:r>
    </w:p>
    <w:p w:rsidR="00A204A1" w:rsidRPr="00A204A1" w:rsidRDefault="00A204A1" w:rsidP="00A204A1">
      <w:pPr>
        <w:spacing w:after="0" w:line="240" w:lineRule="auto"/>
        <w:ind w:left="720" w:firstLine="720"/>
      </w:pPr>
      <w:r>
        <w:t>Associated Range of Options</w:t>
      </w:r>
      <w:r>
        <w:tab/>
      </w:r>
      <w:r>
        <w:tab/>
      </w:r>
      <w:r>
        <w:tab/>
      </w:r>
      <w:r>
        <w:tab/>
      </w:r>
      <w:r>
        <w:tab/>
      </w:r>
      <w:r>
        <w:tab/>
      </w:r>
      <w:r>
        <w:tab/>
      </w:r>
      <w:r>
        <w:tab/>
      </w:r>
      <w:r>
        <w:tab/>
        <w:t>23</w:t>
      </w:r>
    </w:p>
    <w:p w:rsidR="00052F8B" w:rsidRDefault="00052F8B" w:rsidP="00A204A1">
      <w:pPr>
        <w:spacing w:line="240" w:lineRule="auto"/>
        <w:ind w:firstLine="720"/>
        <w:sectPr w:rsidR="00052F8B" w:rsidSect="009E4A05">
          <w:footerReference w:type="default" r:id="rId8"/>
          <w:footerReference w:type="first" r:id="rId9"/>
          <w:pgSz w:w="12240" w:h="15840"/>
          <w:pgMar w:top="720" w:right="720" w:bottom="720" w:left="720" w:header="720" w:footer="720" w:gutter="0"/>
          <w:pgNumType w:start="1"/>
          <w:cols w:space="720"/>
          <w:titlePg/>
          <w:docGrid w:linePitch="360"/>
        </w:sectPr>
      </w:pPr>
    </w:p>
    <w:p w:rsidR="006277D4" w:rsidRPr="006277D4" w:rsidRDefault="006277D4" w:rsidP="006277D4">
      <w:pPr>
        <w:spacing w:after="0" w:line="240" w:lineRule="auto"/>
        <w:jc w:val="center"/>
        <w:rPr>
          <w:b/>
          <w:sz w:val="32"/>
          <w:szCs w:val="32"/>
        </w:rPr>
      </w:pPr>
      <w:r w:rsidRPr="006277D4">
        <w:rPr>
          <w:b/>
          <w:sz w:val="32"/>
          <w:szCs w:val="32"/>
        </w:rPr>
        <w:lastRenderedPageBreak/>
        <w:t>POLYSTYRENE DRINK AND FOOD CONTAINERS</w:t>
      </w:r>
    </w:p>
    <w:p w:rsidR="006277D4" w:rsidRPr="006277D4" w:rsidRDefault="006277D4" w:rsidP="006277D4">
      <w:pPr>
        <w:spacing w:after="0" w:line="240" w:lineRule="auto"/>
        <w:jc w:val="center"/>
        <w:rPr>
          <w:b/>
          <w:sz w:val="32"/>
          <w:szCs w:val="32"/>
        </w:rPr>
      </w:pPr>
      <w:r w:rsidRPr="006277D4">
        <w:rPr>
          <w:b/>
          <w:sz w:val="32"/>
          <w:szCs w:val="32"/>
        </w:rPr>
        <w:t xml:space="preserve"> AND </w:t>
      </w:r>
    </w:p>
    <w:p w:rsidR="006277D4" w:rsidRPr="006277D4" w:rsidRDefault="006277D4" w:rsidP="0005174E">
      <w:pPr>
        <w:spacing w:line="240" w:lineRule="auto"/>
        <w:jc w:val="center"/>
        <w:rPr>
          <w:b/>
          <w:sz w:val="32"/>
          <w:szCs w:val="32"/>
        </w:rPr>
      </w:pPr>
      <w:r w:rsidRPr="006277D4">
        <w:rPr>
          <w:b/>
          <w:sz w:val="32"/>
          <w:szCs w:val="32"/>
        </w:rPr>
        <w:t>SINGLE-USE PLASTIC SHOPPING BAGS</w:t>
      </w:r>
    </w:p>
    <w:p w:rsidR="00B31D1E" w:rsidRPr="00B31D1E" w:rsidRDefault="00B31D1E" w:rsidP="0042468C">
      <w:pPr>
        <w:spacing w:line="240" w:lineRule="auto"/>
        <w:ind w:left="360"/>
        <w:rPr>
          <w:i/>
        </w:rPr>
      </w:pPr>
      <w:r w:rsidRPr="00B31D1E">
        <w:rPr>
          <w:i/>
        </w:rPr>
        <w:t xml:space="preserve">The use of </w:t>
      </w:r>
      <w:r w:rsidR="00307425">
        <w:rPr>
          <w:i/>
        </w:rPr>
        <w:t>p</w:t>
      </w:r>
      <w:r w:rsidR="00307425" w:rsidRPr="00B31D1E">
        <w:rPr>
          <w:i/>
        </w:rPr>
        <w:t xml:space="preserve">olystyrene drink and food containers </w:t>
      </w:r>
      <w:r w:rsidR="00307425">
        <w:rPr>
          <w:i/>
        </w:rPr>
        <w:t xml:space="preserve">and </w:t>
      </w:r>
      <w:r w:rsidRPr="00B31D1E">
        <w:rPr>
          <w:i/>
        </w:rPr>
        <w:t>single-use plastic shopping bags presents health and environmental problems that have prompted 21 Massachusetts municipalities – a</w:t>
      </w:r>
      <w:r w:rsidR="00F33107">
        <w:rPr>
          <w:i/>
        </w:rPr>
        <w:t>nd</w:t>
      </w:r>
      <w:r w:rsidRPr="00B31D1E">
        <w:rPr>
          <w:i/>
        </w:rPr>
        <w:t xml:space="preserve"> municipalities and states elsewhere in the </w:t>
      </w:r>
      <w:r w:rsidR="00F33107">
        <w:rPr>
          <w:i/>
        </w:rPr>
        <w:t xml:space="preserve">US as well as </w:t>
      </w:r>
      <w:r w:rsidRPr="00B31D1E">
        <w:rPr>
          <w:i/>
        </w:rPr>
        <w:t>other nations – to ban either or both products. It is time for our three towns to act.</w:t>
      </w:r>
    </w:p>
    <w:p w:rsidR="002A5E30" w:rsidRPr="00326602" w:rsidRDefault="00331607" w:rsidP="0042468C">
      <w:pPr>
        <w:spacing w:line="240" w:lineRule="auto"/>
        <w:ind w:left="360"/>
        <w:rPr>
          <w:b/>
          <w:sz w:val="28"/>
          <w:szCs w:val="28"/>
        </w:rPr>
      </w:pPr>
      <w:r w:rsidRPr="00326602">
        <w:rPr>
          <w:b/>
          <w:sz w:val="28"/>
          <w:szCs w:val="28"/>
        </w:rPr>
        <w:t>Executive Summary</w:t>
      </w:r>
    </w:p>
    <w:p w:rsidR="00307425" w:rsidRDefault="00307425" w:rsidP="0042468C">
      <w:pPr>
        <w:pStyle w:val="ListParagraph"/>
        <w:numPr>
          <w:ilvl w:val="0"/>
          <w:numId w:val="1"/>
        </w:numPr>
        <w:spacing w:line="240" w:lineRule="auto"/>
      </w:pPr>
      <w:r w:rsidRPr="00307425">
        <w:rPr>
          <w:b/>
        </w:rPr>
        <w:t>Public health and environmental concerns</w:t>
      </w:r>
      <w:r>
        <w:t xml:space="preserve">: </w:t>
      </w:r>
    </w:p>
    <w:p w:rsidR="00307425" w:rsidRDefault="00307425" w:rsidP="00307425">
      <w:pPr>
        <w:pStyle w:val="ListParagraph"/>
        <w:numPr>
          <w:ilvl w:val="1"/>
          <w:numId w:val="1"/>
        </w:numPr>
        <w:spacing w:line="240" w:lineRule="auto"/>
      </w:pPr>
      <w:r w:rsidRPr="00307425">
        <w:rPr>
          <w:highlight w:val="yellow"/>
        </w:rPr>
        <w:t>Polystyrene drink and food containers and single-use plastic shopping bags</w:t>
      </w:r>
      <w:r w:rsidRPr="00307425">
        <w:rPr>
          <w:i/>
          <w:highlight w:val="yellow"/>
        </w:rPr>
        <w:t xml:space="preserve"> </w:t>
      </w:r>
      <w:r w:rsidRPr="00307425">
        <w:rPr>
          <w:highlight w:val="yellow"/>
        </w:rPr>
        <w:t>pose potentially serious direct and indirect health effects</w:t>
      </w:r>
      <w:r>
        <w:t>:</w:t>
      </w:r>
    </w:p>
    <w:p w:rsidR="00307425" w:rsidRDefault="00307425" w:rsidP="00307425">
      <w:pPr>
        <w:pStyle w:val="ListParagraph"/>
        <w:numPr>
          <w:ilvl w:val="2"/>
          <w:numId w:val="1"/>
        </w:numPr>
        <w:spacing w:line="240" w:lineRule="auto"/>
      </w:pPr>
      <w:r>
        <w:t>styrene is a suspected carcinogen that</w:t>
      </w:r>
      <w:r w:rsidR="009A0E23">
        <w:t xml:space="preserve"> in </w:t>
      </w:r>
      <w:r>
        <w:t xml:space="preserve">our bodies is causally related to </w:t>
      </w:r>
      <w:r w:rsidRPr="0099747D">
        <w:t>tumorigenesis</w:t>
      </w:r>
      <w:r>
        <w:t xml:space="preserve">; and </w:t>
      </w:r>
    </w:p>
    <w:p w:rsidR="00307425" w:rsidRDefault="00307425" w:rsidP="00307425">
      <w:pPr>
        <w:pStyle w:val="ListParagraph"/>
        <w:numPr>
          <w:ilvl w:val="2"/>
          <w:numId w:val="1"/>
        </w:numPr>
        <w:spacing w:after="0" w:line="240" w:lineRule="auto"/>
      </w:pPr>
      <w:r>
        <w:t>the bags, made of polyethylene, release endocrine disruptors and directly and/or through the food chain introduce other toxic chemicals to our bodies.</w:t>
      </w:r>
    </w:p>
    <w:p w:rsidR="00307425" w:rsidRDefault="00307425" w:rsidP="00307425">
      <w:pPr>
        <w:spacing w:after="0" w:line="240" w:lineRule="auto"/>
        <w:ind w:left="1440"/>
      </w:pPr>
      <w:r>
        <w:t xml:space="preserve">Based upon our research to date, </w:t>
      </w:r>
      <w:r w:rsidRPr="00307425">
        <w:rPr>
          <w:rFonts w:ascii="Calibri" w:hAnsi="Calibri"/>
        </w:rPr>
        <w:t>there is both sufficient clarity and ambiguity to justify doing all we can to reduce the exposure of our residents and visitors to these products.</w:t>
      </w:r>
    </w:p>
    <w:p w:rsidR="009A0E23" w:rsidRDefault="00307425" w:rsidP="0005174E">
      <w:pPr>
        <w:pStyle w:val="ListParagraph"/>
        <w:numPr>
          <w:ilvl w:val="1"/>
          <w:numId w:val="1"/>
        </w:numPr>
        <w:spacing w:line="240" w:lineRule="auto"/>
      </w:pPr>
      <w:r w:rsidRPr="0005174E">
        <w:rPr>
          <w:highlight w:val="yellow"/>
        </w:rPr>
        <w:t>These products also cause significant environmental problems, from solid waste disposal and clogged sewers to litter and harm to wildlife</w:t>
      </w:r>
      <w:r w:rsidR="0005174E">
        <w:t>.</w:t>
      </w:r>
      <w:r w:rsidRPr="0005174E">
        <w:t xml:space="preserve"> </w:t>
      </w:r>
    </w:p>
    <w:p w:rsidR="00307425" w:rsidRPr="00D24532" w:rsidRDefault="00D24532" w:rsidP="0005174E">
      <w:pPr>
        <w:pStyle w:val="ListParagraph"/>
        <w:numPr>
          <w:ilvl w:val="1"/>
          <w:numId w:val="1"/>
        </w:numPr>
        <w:spacing w:line="240" w:lineRule="auto"/>
      </w:pPr>
      <w:r>
        <w:rPr>
          <w:highlight w:val="yellow"/>
        </w:rPr>
        <w:t>Th</w:t>
      </w:r>
      <w:r w:rsidR="009A0E23" w:rsidRPr="00D24532">
        <w:rPr>
          <w:highlight w:val="yellow"/>
        </w:rPr>
        <w:t>e severity of the problems these products cause stems from their toxic make-up, ubiquity, long life, extremely low rates of recycling and reuse, and the challenges they pose for disp</w:t>
      </w:r>
      <w:r>
        <w:rPr>
          <w:highlight w:val="yellow"/>
        </w:rPr>
        <w:t>osal.</w:t>
      </w:r>
    </w:p>
    <w:p w:rsidR="002A5E30" w:rsidRDefault="00307425" w:rsidP="0042468C">
      <w:pPr>
        <w:pStyle w:val="ListParagraph"/>
        <w:numPr>
          <w:ilvl w:val="0"/>
          <w:numId w:val="1"/>
        </w:numPr>
        <w:spacing w:line="240" w:lineRule="auto"/>
      </w:pPr>
      <w:r w:rsidRPr="00307425">
        <w:rPr>
          <w:b/>
        </w:rPr>
        <w:t xml:space="preserve">Significant local use of these products: </w:t>
      </w:r>
      <w:r w:rsidR="002A5E30">
        <w:t xml:space="preserve">Based upon resident population, we estimate that </w:t>
      </w:r>
      <w:r w:rsidR="002A5E30" w:rsidRPr="00307425">
        <w:rPr>
          <w:highlight w:val="yellow"/>
        </w:rPr>
        <w:t>each year</w:t>
      </w:r>
      <w:r w:rsidR="00E235F2" w:rsidRPr="00307425">
        <w:rPr>
          <w:highlight w:val="yellow"/>
        </w:rPr>
        <w:t xml:space="preserve"> </w:t>
      </w:r>
      <w:r w:rsidR="002A5E30" w:rsidRPr="00307425">
        <w:rPr>
          <w:highlight w:val="yellow"/>
        </w:rPr>
        <w:t xml:space="preserve">the three towns use more than </w:t>
      </w:r>
      <w:r w:rsidR="000553B6" w:rsidRPr="00307425">
        <w:rPr>
          <w:highlight w:val="yellow"/>
        </w:rPr>
        <w:t>7 million</w:t>
      </w:r>
      <w:r w:rsidR="002A5E30" w:rsidRPr="00307425">
        <w:rPr>
          <w:highlight w:val="yellow"/>
        </w:rPr>
        <w:t xml:space="preserve"> single use plastic bags</w:t>
      </w:r>
      <w:r w:rsidR="00E235F2" w:rsidRPr="00307425">
        <w:rPr>
          <w:highlight w:val="yellow"/>
        </w:rPr>
        <w:t xml:space="preserve">, </w:t>
      </w:r>
      <w:r w:rsidR="000553B6" w:rsidRPr="00307425">
        <w:rPr>
          <w:highlight w:val="yellow"/>
        </w:rPr>
        <w:t>over a million</w:t>
      </w:r>
      <w:r w:rsidR="002A5E30" w:rsidRPr="00307425">
        <w:rPr>
          <w:highlight w:val="yellow"/>
        </w:rPr>
        <w:t xml:space="preserve"> polystyrene-based cups</w:t>
      </w:r>
      <w:r w:rsidR="00E235F2" w:rsidRPr="00307425">
        <w:rPr>
          <w:highlight w:val="yellow"/>
        </w:rPr>
        <w:t>,</w:t>
      </w:r>
      <w:r w:rsidR="002A5E30" w:rsidRPr="00307425">
        <w:rPr>
          <w:highlight w:val="yellow"/>
        </w:rPr>
        <w:t xml:space="preserve"> and an unknown number of polystyrene-based food containers.</w:t>
      </w:r>
      <w:r w:rsidR="002A5E30">
        <w:t xml:space="preserve"> The actual figures are probably far greater because the three towns are popular tourist destinations.</w:t>
      </w:r>
    </w:p>
    <w:p w:rsidR="00307425" w:rsidRDefault="00307425" w:rsidP="0042468C">
      <w:pPr>
        <w:pStyle w:val="ListParagraph"/>
        <w:numPr>
          <w:ilvl w:val="0"/>
          <w:numId w:val="1"/>
        </w:numPr>
        <w:spacing w:line="240" w:lineRule="auto"/>
      </w:pPr>
      <w:r w:rsidRPr="00307425">
        <w:rPr>
          <w:b/>
        </w:rPr>
        <w:t>Current efforts to address these issues:</w:t>
      </w:r>
      <w:r>
        <w:t xml:space="preserve"> </w:t>
      </w:r>
    </w:p>
    <w:p w:rsidR="002A5E30" w:rsidRDefault="002A5E30" w:rsidP="00307425">
      <w:pPr>
        <w:pStyle w:val="ListParagraph"/>
        <w:numPr>
          <w:ilvl w:val="1"/>
          <w:numId w:val="1"/>
        </w:numPr>
        <w:spacing w:line="240" w:lineRule="auto"/>
      </w:pPr>
      <w:r>
        <w:t xml:space="preserve">The Lee Recycling Committee </w:t>
      </w:r>
      <w:r w:rsidR="00331607">
        <w:t xml:space="preserve">(LRC) </w:t>
      </w:r>
      <w:r>
        <w:t>and Lenox Environmental Committee</w:t>
      </w:r>
      <w:r w:rsidR="00331607">
        <w:t xml:space="preserve"> (LEC)</w:t>
      </w:r>
      <w:r>
        <w:t>, with support from town leadership</w:t>
      </w:r>
      <w:r w:rsidR="0005174E">
        <w:t xml:space="preserve">, </w:t>
      </w:r>
      <w:r>
        <w:t xml:space="preserve">other </w:t>
      </w:r>
      <w:r w:rsidR="00D55610">
        <w:t>town bodies</w:t>
      </w:r>
      <w:r w:rsidR="0005174E">
        <w:t xml:space="preserve">, and </w:t>
      </w:r>
      <w:r w:rsidR="00D55610">
        <w:t>the MA Department of Environmental Protection, are spearheading an initiative to address the use of these products as part of their waste reduction missions.</w:t>
      </w:r>
      <w:r w:rsidR="00F933EE">
        <w:t xml:space="preserve"> </w:t>
      </w:r>
    </w:p>
    <w:p w:rsidR="00F933EE" w:rsidRDefault="00F933EE" w:rsidP="00F933EE">
      <w:pPr>
        <w:pStyle w:val="ListParagraph"/>
        <w:numPr>
          <w:ilvl w:val="1"/>
          <w:numId w:val="1"/>
        </w:numPr>
        <w:spacing w:after="0" w:line="240" w:lineRule="auto"/>
      </w:pPr>
      <w:r w:rsidRPr="00F933EE">
        <w:rPr>
          <w:highlight w:val="yellow"/>
        </w:rPr>
        <w:t>Regardless of the regulatory path, before and after adoption, the LRC and LEC will provide support</w:t>
      </w:r>
      <w:r>
        <w:t xml:space="preserve"> by – </w:t>
      </w:r>
    </w:p>
    <w:p w:rsidR="00F933EE" w:rsidRDefault="00F933EE" w:rsidP="00F933EE">
      <w:pPr>
        <w:pStyle w:val="ListParagraph"/>
        <w:numPr>
          <w:ilvl w:val="1"/>
          <w:numId w:val="21"/>
        </w:numPr>
        <w:spacing w:after="0" w:line="240" w:lineRule="auto"/>
      </w:pPr>
      <w:r>
        <w:t xml:space="preserve">garnering and sustaining community buy-in and compliance, </w:t>
      </w:r>
    </w:p>
    <w:p w:rsidR="00F933EE" w:rsidRDefault="00F933EE" w:rsidP="00F933EE">
      <w:pPr>
        <w:pStyle w:val="ListParagraph"/>
        <w:numPr>
          <w:ilvl w:val="1"/>
          <w:numId w:val="21"/>
        </w:numPr>
        <w:spacing w:after="0" w:line="240" w:lineRule="auto"/>
      </w:pPr>
      <w:r>
        <w:t>bringing representatives from Stockbridge up to speed and involving them in our efforts, and</w:t>
      </w:r>
    </w:p>
    <w:p w:rsidR="00F933EE" w:rsidRDefault="00F933EE" w:rsidP="00F933EE">
      <w:pPr>
        <w:pStyle w:val="ListParagraph"/>
        <w:numPr>
          <w:ilvl w:val="1"/>
          <w:numId w:val="21"/>
        </w:numPr>
        <w:spacing w:after="0" w:line="240" w:lineRule="auto"/>
      </w:pPr>
      <w:r>
        <w:t xml:space="preserve">sharing our research and the insights we have gained from analyzing existing regulations and interviews, including identifying key areas that have yet to be addressed. </w:t>
      </w:r>
    </w:p>
    <w:p w:rsidR="00307425" w:rsidRDefault="00307425" w:rsidP="00307425">
      <w:pPr>
        <w:pStyle w:val="ListParagraph"/>
        <w:numPr>
          <w:ilvl w:val="1"/>
          <w:numId w:val="1"/>
        </w:numPr>
        <w:spacing w:line="240" w:lineRule="auto"/>
      </w:pPr>
      <w:r>
        <w:t xml:space="preserve">By acting now – before pending state legislation is enacted – our towns can tailor solutions that meet our particular needs and desires. </w:t>
      </w:r>
    </w:p>
    <w:p w:rsidR="00B31D1E" w:rsidRDefault="00307425" w:rsidP="0042468C">
      <w:pPr>
        <w:pStyle w:val="ListParagraph"/>
        <w:numPr>
          <w:ilvl w:val="0"/>
          <w:numId w:val="1"/>
        </w:numPr>
        <w:spacing w:line="240" w:lineRule="auto"/>
      </w:pPr>
      <w:r w:rsidRPr="00307425">
        <w:rPr>
          <w:b/>
        </w:rPr>
        <w:t>Two possible regulatory paths:</w:t>
      </w:r>
      <w:r>
        <w:t xml:space="preserve"> </w:t>
      </w:r>
      <w:r w:rsidR="00CB3A06">
        <w:t xml:space="preserve">In light of the </w:t>
      </w:r>
      <w:r w:rsidR="0005174E">
        <w:t xml:space="preserve">public </w:t>
      </w:r>
      <w:r w:rsidR="00B31D1E">
        <w:t xml:space="preserve">health and environmental </w:t>
      </w:r>
      <w:r w:rsidR="0005174E">
        <w:t>need</w:t>
      </w:r>
      <w:r w:rsidR="00CB3A06">
        <w:t xml:space="preserve">, </w:t>
      </w:r>
      <w:r w:rsidR="00CB3A06" w:rsidRPr="00F933EE">
        <w:rPr>
          <w:highlight w:val="yellow"/>
        </w:rPr>
        <w:t xml:space="preserve">we hope </w:t>
      </w:r>
      <w:r w:rsidR="00802463" w:rsidRPr="00F933EE">
        <w:rPr>
          <w:highlight w:val="yellow"/>
        </w:rPr>
        <w:t xml:space="preserve">the </w:t>
      </w:r>
      <w:r w:rsidR="00B31D1E" w:rsidRPr="00F933EE">
        <w:rPr>
          <w:highlight w:val="yellow"/>
        </w:rPr>
        <w:t>Board</w:t>
      </w:r>
      <w:r w:rsidR="00802463" w:rsidRPr="00F933EE">
        <w:rPr>
          <w:highlight w:val="yellow"/>
        </w:rPr>
        <w:t>s</w:t>
      </w:r>
      <w:r w:rsidR="00B31D1E" w:rsidRPr="00F933EE">
        <w:rPr>
          <w:highlight w:val="yellow"/>
        </w:rPr>
        <w:t xml:space="preserve"> of Health </w:t>
      </w:r>
      <w:r w:rsidR="00CB3A06" w:rsidRPr="00F933EE">
        <w:rPr>
          <w:highlight w:val="yellow"/>
        </w:rPr>
        <w:t>will work with us to help develop the best means to limit the use</w:t>
      </w:r>
      <w:r w:rsidR="00D24532">
        <w:rPr>
          <w:highlight w:val="yellow"/>
        </w:rPr>
        <w:t xml:space="preserve"> of these products</w:t>
      </w:r>
      <w:r w:rsidR="00CB3A06" w:rsidRPr="00F933EE">
        <w:rPr>
          <w:highlight w:val="yellow"/>
        </w:rPr>
        <w:t xml:space="preserve">, through regulations either adopted by the Tri-Town District or by Town Meeting votes in each </w:t>
      </w:r>
      <w:r w:rsidR="00CB3A06" w:rsidRPr="00052F8B">
        <w:rPr>
          <w:highlight w:val="yellow"/>
        </w:rPr>
        <w:t>community. Considering the following factors</w:t>
      </w:r>
      <w:r w:rsidR="00A1032B" w:rsidRPr="00052F8B">
        <w:rPr>
          <w:highlight w:val="yellow"/>
        </w:rPr>
        <w:t xml:space="preserve"> </w:t>
      </w:r>
      <w:r w:rsidR="00D24532" w:rsidRPr="00052F8B">
        <w:rPr>
          <w:highlight w:val="yellow"/>
        </w:rPr>
        <w:t xml:space="preserve">in consultation with Town leaders </w:t>
      </w:r>
      <w:r w:rsidR="00A1032B" w:rsidRPr="00052F8B">
        <w:rPr>
          <w:highlight w:val="yellow"/>
        </w:rPr>
        <w:t>should lead to a</w:t>
      </w:r>
      <w:r w:rsidR="00D24532" w:rsidRPr="00052F8B">
        <w:rPr>
          <w:highlight w:val="yellow"/>
        </w:rPr>
        <w:t xml:space="preserve"> successful </w:t>
      </w:r>
      <w:r w:rsidR="00A1032B" w:rsidRPr="00052F8B">
        <w:rPr>
          <w:highlight w:val="yellow"/>
        </w:rPr>
        <w:t xml:space="preserve">path </w:t>
      </w:r>
      <w:r w:rsidR="00D24532" w:rsidRPr="00052F8B">
        <w:rPr>
          <w:highlight w:val="yellow"/>
        </w:rPr>
        <w:t>for each set of products</w:t>
      </w:r>
      <w:r w:rsidR="00A1032B" w:rsidRPr="00052F8B">
        <w:rPr>
          <w:highlight w:val="yellow"/>
        </w:rPr>
        <w:t>.</w:t>
      </w:r>
      <w:r w:rsidR="00A1032B">
        <w:t xml:space="preserve"> </w:t>
      </w:r>
    </w:p>
    <w:p w:rsidR="0005174E" w:rsidRDefault="0005174E" w:rsidP="0042468C">
      <w:pPr>
        <w:pStyle w:val="ListParagraph"/>
        <w:numPr>
          <w:ilvl w:val="1"/>
          <w:numId w:val="1"/>
        </w:numPr>
        <w:spacing w:line="240" w:lineRule="auto"/>
      </w:pPr>
      <w:r>
        <w:t>The Board of Health path place</w:t>
      </w:r>
      <w:r w:rsidR="0060797E">
        <w:t>s</w:t>
      </w:r>
      <w:r>
        <w:t xml:space="preserve"> </w:t>
      </w:r>
      <w:r w:rsidR="0060797E">
        <w:t xml:space="preserve">Tri-Town </w:t>
      </w:r>
      <w:r>
        <w:t xml:space="preserve">in control of regulations </w:t>
      </w:r>
      <w:r w:rsidR="0060797E">
        <w:t xml:space="preserve">it </w:t>
      </w:r>
      <w:r>
        <w:t>would have to enforce.</w:t>
      </w:r>
    </w:p>
    <w:p w:rsidR="00D55610" w:rsidRDefault="00B31D1E" w:rsidP="0042468C">
      <w:pPr>
        <w:pStyle w:val="ListParagraph"/>
        <w:numPr>
          <w:ilvl w:val="1"/>
          <w:numId w:val="1"/>
        </w:numPr>
        <w:spacing w:line="240" w:lineRule="auto"/>
      </w:pPr>
      <w:r>
        <w:t xml:space="preserve">Board of Health procedures provide more </w:t>
      </w:r>
      <w:r w:rsidR="0081139A">
        <w:t xml:space="preserve">timing </w:t>
      </w:r>
      <w:r>
        <w:t>flexibility than the Town Meeting process to ensure a full airing of the issues and the community buy-in that is essential for ease of implementation.</w:t>
      </w:r>
    </w:p>
    <w:p w:rsidR="004756E2" w:rsidRDefault="004756E2" w:rsidP="0042468C">
      <w:pPr>
        <w:pStyle w:val="ListParagraph"/>
        <w:numPr>
          <w:ilvl w:val="1"/>
          <w:numId w:val="1"/>
        </w:numPr>
        <w:spacing w:line="240" w:lineRule="auto"/>
      </w:pPr>
      <w:r>
        <w:t xml:space="preserve">Tri-Town regulation would ensure consistency across </w:t>
      </w:r>
      <w:r w:rsidR="000345AC">
        <w:t>our</w:t>
      </w:r>
      <w:r>
        <w:t xml:space="preserve"> three towns</w:t>
      </w:r>
      <w:r w:rsidR="000345AC">
        <w:t xml:space="preserve">, </w:t>
      </w:r>
      <w:r w:rsidR="0005174E">
        <w:t xml:space="preserve">facilitating enforcement, </w:t>
      </w:r>
      <w:r w:rsidR="000345AC">
        <w:t>putting all affected businesses on a level playing field</w:t>
      </w:r>
      <w:r w:rsidR="0005174E">
        <w:t>,</w:t>
      </w:r>
      <w:r w:rsidR="000345AC">
        <w:t xml:space="preserve"> and simplifying matters for residents.</w:t>
      </w:r>
    </w:p>
    <w:p w:rsidR="00B31D1E" w:rsidRDefault="00B31D1E" w:rsidP="0042468C">
      <w:pPr>
        <w:pStyle w:val="ListParagraph"/>
        <w:numPr>
          <w:ilvl w:val="1"/>
          <w:numId w:val="1"/>
        </w:numPr>
        <w:spacing w:line="240" w:lineRule="auto"/>
      </w:pPr>
      <w:r>
        <w:t xml:space="preserve">Board of Health processes </w:t>
      </w:r>
      <w:r w:rsidR="0060797E">
        <w:t xml:space="preserve">would </w:t>
      </w:r>
      <w:r w:rsidR="0005174E">
        <w:t>greatly facilitate any needed regulatory updates or revisions.</w:t>
      </w:r>
    </w:p>
    <w:p w:rsidR="004756E2" w:rsidRDefault="004756E2" w:rsidP="0042468C">
      <w:pPr>
        <w:pStyle w:val="ListParagraph"/>
        <w:numPr>
          <w:ilvl w:val="1"/>
          <w:numId w:val="1"/>
        </w:numPr>
        <w:spacing w:line="240" w:lineRule="auto"/>
      </w:pPr>
      <w:r>
        <w:t>Town Meeting approval might generate more community support</w:t>
      </w:r>
      <w:r w:rsidR="0080016A">
        <w:t>, particularly in Lenox and Stockbridge (and less so in Lee because of its representative Town Meeting structure)</w:t>
      </w:r>
      <w:r>
        <w:t>.</w:t>
      </w:r>
    </w:p>
    <w:p w:rsidR="0080016A" w:rsidRDefault="0080016A" w:rsidP="0042468C">
      <w:pPr>
        <w:pStyle w:val="ListParagraph"/>
        <w:numPr>
          <w:ilvl w:val="1"/>
          <w:numId w:val="1"/>
        </w:numPr>
        <w:spacing w:after="0" w:line="240" w:lineRule="auto"/>
      </w:pPr>
      <w:r>
        <w:t xml:space="preserve">Town Meeting approval would be more difficult to overturn than Board of Health </w:t>
      </w:r>
      <w:r w:rsidR="004756E2">
        <w:t>action</w:t>
      </w:r>
      <w:r>
        <w:t xml:space="preserve">. </w:t>
      </w:r>
    </w:p>
    <w:p w:rsidR="00F933EE" w:rsidRPr="00F933EE" w:rsidRDefault="00F933EE" w:rsidP="00F933EE">
      <w:pPr>
        <w:pStyle w:val="ListParagraph"/>
        <w:numPr>
          <w:ilvl w:val="0"/>
          <w:numId w:val="24"/>
        </w:numPr>
        <w:spacing w:line="240" w:lineRule="auto"/>
        <w:rPr>
          <w:b/>
        </w:rPr>
      </w:pPr>
      <w:r w:rsidRPr="00F933EE">
        <w:rPr>
          <w:b/>
        </w:rPr>
        <w:lastRenderedPageBreak/>
        <w:t>What the Tri-Town District could do</w:t>
      </w:r>
      <w:r>
        <w:rPr>
          <w:b/>
        </w:rPr>
        <w:t>:</w:t>
      </w:r>
    </w:p>
    <w:p w:rsidR="00AC0F98" w:rsidRPr="00AC0F98" w:rsidRDefault="00F933EE" w:rsidP="00AC0F98">
      <w:pPr>
        <w:pStyle w:val="ListParagraph"/>
        <w:numPr>
          <w:ilvl w:val="1"/>
          <w:numId w:val="24"/>
        </w:numPr>
        <w:spacing w:after="0" w:line="240" w:lineRule="auto"/>
        <w:rPr>
          <w:highlight w:val="yellow"/>
        </w:rPr>
      </w:pPr>
      <w:r w:rsidRPr="00AC0F98">
        <w:rPr>
          <w:b/>
          <w:highlight w:val="yellow"/>
        </w:rPr>
        <w:t>Develop the best, clearest set of regulations to date in Massachusetts</w:t>
      </w:r>
      <w:r>
        <w:t xml:space="preserve">: </w:t>
      </w:r>
      <w:r w:rsidR="0060797E">
        <w:t>measures adopted elsewhere in the state</w:t>
      </w:r>
      <w:r>
        <w:t xml:space="preserve"> vary in clarity and comprehensiveness. We can borrow from the best</w:t>
      </w:r>
      <w:r w:rsidR="00EF731B">
        <w:t xml:space="preserve"> and possibly </w:t>
      </w:r>
      <w:r>
        <w:t>fill gaps and address other shortcomings</w:t>
      </w:r>
      <w:r w:rsidR="0060797E">
        <w:t xml:space="preserve">, thereby </w:t>
      </w:r>
      <w:r>
        <w:t>further reduc</w:t>
      </w:r>
      <w:r w:rsidR="00AC0F98">
        <w:t>ing</w:t>
      </w:r>
      <w:r>
        <w:t xml:space="preserve"> public health risks, increas</w:t>
      </w:r>
      <w:r w:rsidR="0060797E">
        <w:t>ing</w:t>
      </w:r>
      <w:r>
        <w:t xml:space="preserve"> buy-in, and facilitat</w:t>
      </w:r>
      <w:r w:rsidR="0060797E">
        <w:t>ing</w:t>
      </w:r>
      <w:r>
        <w:t xml:space="preserve"> implementation and enforcement.</w:t>
      </w:r>
      <w:r w:rsidR="00EF731B">
        <w:t xml:space="preserve"> When extending coverage beyond what others have done, including the concepts in its public outreach efforts would be useful, to gain a sense of community receptiveness and possible mitigating measures.</w:t>
      </w:r>
      <w:r w:rsidR="00AC0F98">
        <w:t xml:space="preserve"> </w:t>
      </w:r>
      <w:r w:rsidR="00AC0F98" w:rsidRPr="00AC0F98">
        <w:rPr>
          <w:highlight w:val="yellow"/>
        </w:rPr>
        <w:t>This effort could produce the most effective regulations to date in the state, adoption with minimal opposition, and tangible benefits for public health and the environment with few, if any, enforcement issues.</w:t>
      </w:r>
    </w:p>
    <w:p w:rsidR="00F933EE" w:rsidRPr="00770FDA" w:rsidRDefault="00F933EE" w:rsidP="00F933EE">
      <w:pPr>
        <w:pStyle w:val="ListParagraph"/>
        <w:numPr>
          <w:ilvl w:val="1"/>
          <w:numId w:val="24"/>
        </w:numPr>
        <w:spacing w:line="240" w:lineRule="auto"/>
      </w:pPr>
      <w:r w:rsidRPr="00770FDA">
        <w:rPr>
          <w:b/>
        </w:rPr>
        <w:t xml:space="preserve">Tackle polystyrene-related health risks that existing </w:t>
      </w:r>
      <w:r w:rsidR="0060797E" w:rsidRPr="00770FDA">
        <w:rPr>
          <w:b/>
        </w:rPr>
        <w:t xml:space="preserve">measures </w:t>
      </w:r>
      <w:r w:rsidRPr="00770FDA">
        <w:rPr>
          <w:b/>
        </w:rPr>
        <w:t>have generally not addressed</w:t>
      </w:r>
      <w:r w:rsidRPr="00770FDA">
        <w:t xml:space="preserve">: </w:t>
      </w:r>
    </w:p>
    <w:p w:rsidR="00F933EE" w:rsidRDefault="00F933EE" w:rsidP="00F933EE">
      <w:pPr>
        <w:pStyle w:val="ListParagraph"/>
        <w:numPr>
          <w:ilvl w:val="2"/>
          <w:numId w:val="24"/>
        </w:numPr>
        <w:spacing w:line="240" w:lineRule="auto"/>
      </w:pPr>
      <w:r w:rsidRPr="00770FDA">
        <w:rPr>
          <w:highlight w:val="yellow"/>
        </w:rPr>
        <w:t xml:space="preserve">Most glaring </w:t>
      </w:r>
      <w:r w:rsidR="0060797E" w:rsidRPr="00770FDA">
        <w:rPr>
          <w:highlight w:val="yellow"/>
        </w:rPr>
        <w:t xml:space="preserve">is the </w:t>
      </w:r>
      <w:r w:rsidRPr="00770FDA">
        <w:rPr>
          <w:highlight w:val="yellow"/>
        </w:rPr>
        <w:t>exemption</w:t>
      </w:r>
      <w:r w:rsidR="0060797E" w:rsidRPr="00770FDA">
        <w:rPr>
          <w:highlight w:val="yellow"/>
        </w:rPr>
        <w:t xml:space="preserve"> of polystyrene containers for </w:t>
      </w:r>
      <w:r w:rsidRPr="00770FDA">
        <w:rPr>
          <w:highlight w:val="yellow"/>
        </w:rPr>
        <w:t>unprepared food, including raw meat, fish, and eggs, leaving most of the public exposed and at risk.</w:t>
      </w:r>
      <w:r>
        <w:t xml:space="preserve"> Yet, growing market demands</w:t>
      </w:r>
      <w:r w:rsidR="0060797E">
        <w:t xml:space="preserve"> and </w:t>
      </w:r>
      <w:r>
        <w:t xml:space="preserve">advances in materials and product development are driving a growth in acceptable polystyrene alternatives for this use (see Attachment 4 for one example). Exploring options from multiple perspectives should inform a decision </w:t>
      </w:r>
      <w:r w:rsidR="00770FDA">
        <w:t xml:space="preserve">regarding </w:t>
      </w:r>
      <w:r>
        <w:t xml:space="preserve">this use </w:t>
      </w:r>
      <w:r w:rsidR="00770FDA">
        <w:t xml:space="preserve">– from not exempting it (while working with businesses most affected to ensure a smooth transition) to requiring the posting of appropriate health safety warnings and possibly the separation of food from the containers using a non-toxic material. </w:t>
      </w:r>
      <w:r>
        <w:t xml:space="preserve">c health by not doing so,. </w:t>
      </w:r>
    </w:p>
    <w:p w:rsidR="00F933EE" w:rsidRDefault="00F933EE" w:rsidP="00F933EE">
      <w:pPr>
        <w:pStyle w:val="ListParagraph"/>
        <w:numPr>
          <w:ilvl w:val="2"/>
          <w:numId w:val="24"/>
        </w:numPr>
        <w:spacing w:line="240" w:lineRule="auto"/>
      </w:pPr>
      <w:r w:rsidRPr="00770FDA">
        <w:rPr>
          <w:highlight w:val="yellow"/>
        </w:rPr>
        <w:t xml:space="preserve">Despite the health risks they pose, rigid polystyrene food containers are covered in few existing </w:t>
      </w:r>
      <w:r w:rsidR="00770FDA">
        <w:rPr>
          <w:highlight w:val="yellow"/>
        </w:rPr>
        <w:t>measures</w:t>
      </w:r>
      <w:r w:rsidRPr="00770FDA">
        <w:rPr>
          <w:highlight w:val="yellow"/>
        </w:rPr>
        <w:t>.</w:t>
      </w:r>
      <w:r>
        <w:t xml:space="preserve">  </w:t>
      </w:r>
      <w:r w:rsidR="00770FDA">
        <w:t xml:space="preserve">No measure </w:t>
      </w:r>
      <w:r>
        <w:t>require</w:t>
      </w:r>
      <w:r w:rsidR="00770FDA">
        <w:t xml:space="preserve">s the posting of </w:t>
      </w:r>
      <w:r>
        <w:t xml:space="preserve">warnings about the </w:t>
      </w:r>
      <w:r w:rsidR="00770FDA">
        <w:t xml:space="preserve">products </w:t>
      </w:r>
      <w:r>
        <w:t>risks and information on how to minimize them</w:t>
      </w:r>
      <w:r w:rsidR="00770FDA">
        <w:t xml:space="preserve"> (i.e. don’t microwave food in them)</w:t>
      </w:r>
      <w:r>
        <w:t xml:space="preserve">. </w:t>
      </w:r>
      <w:r w:rsidR="00770FDA">
        <w:t xml:space="preserve">Tri-Town </w:t>
      </w:r>
      <w:r>
        <w:t xml:space="preserve">should </w:t>
      </w:r>
      <w:r w:rsidR="00770FDA">
        <w:t xml:space="preserve">at least </w:t>
      </w:r>
      <w:r>
        <w:t xml:space="preserve">address this gap and, if acceptable options exist, </w:t>
      </w:r>
      <w:r w:rsidR="00770FDA">
        <w:t xml:space="preserve">consider regulating </w:t>
      </w:r>
      <w:r>
        <w:t>this product line.</w:t>
      </w:r>
    </w:p>
    <w:p w:rsidR="00F933EE" w:rsidRDefault="00770FDA" w:rsidP="00F933EE">
      <w:pPr>
        <w:pStyle w:val="ListParagraph"/>
        <w:numPr>
          <w:ilvl w:val="2"/>
          <w:numId w:val="24"/>
        </w:numPr>
        <w:spacing w:line="240" w:lineRule="auto"/>
      </w:pPr>
      <w:r w:rsidRPr="00770FDA">
        <w:rPr>
          <w:highlight w:val="yellow"/>
        </w:rPr>
        <w:t>Unlike several sets of regulations aimed at single-use plastic shopping bags, not a single polystyrene measure permits establishments to charge for alternatives</w:t>
      </w:r>
      <w:r>
        <w:t>: P</w:t>
      </w:r>
      <w:r w:rsidR="00F933EE">
        <w:t xml:space="preserve">olystyrene containers are less expensive than alternatives, especially for larger items, such as clamshells. Permitting such </w:t>
      </w:r>
      <w:r w:rsidR="00052F8B">
        <w:t>fees</w:t>
      </w:r>
      <w:r w:rsidR="00F933EE">
        <w:t xml:space="preserve"> seems fair (especially with protections in place) and should increase buy-in.</w:t>
      </w:r>
    </w:p>
    <w:p w:rsidR="00F933EE" w:rsidRPr="00326602" w:rsidRDefault="00F933EE" w:rsidP="00F933EE">
      <w:pPr>
        <w:pStyle w:val="ListParagraph"/>
        <w:numPr>
          <w:ilvl w:val="1"/>
          <w:numId w:val="24"/>
        </w:numPr>
        <w:spacing w:line="240" w:lineRule="auto"/>
        <w:rPr>
          <w:b/>
        </w:rPr>
      </w:pPr>
      <w:r w:rsidRPr="00326602">
        <w:rPr>
          <w:b/>
        </w:rPr>
        <w:t xml:space="preserve">Tackle significant risks posed by single-use plastic bags </w:t>
      </w:r>
      <w:r w:rsidR="0060797E" w:rsidRPr="00326602">
        <w:rPr>
          <w:b/>
        </w:rPr>
        <w:t xml:space="preserve">generally overlooked by other </w:t>
      </w:r>
      <w:r w:rsidRPr="00326602">
        <w:rPr>
          <w:b/>
        </w:rPr>
        <w:t xml:space="preserve">regulations: </w:t>
      </w:r>
    </w:p>
    <w:p w:rsidR="00EF731B" w:rsidRDefault="00326602" w:rsidP="00F933EE">
      <w:pPr>
        <w:pStyle w:val="ListParagraph"/>
        <w:numPr>
          <w:ilvl w:val="2"/>
          <w:numId w:val="24"/>
        </w:numPr>
        <w:spacing w:line="240" w:lineRule="auto"/>
      </w:pPr>
      <w:r w:rsidRPr="00EF731B">
        <w:rPr>
          <w:highlight w:val="yellow"/>
        </w:rPr>
        <w:t xml:space="preserve">Most glaring here is the exemption for </w:t>
      </w:r>
      <w:r w:rsidR="00F933EE" w:rsidRPr="00EF731B">
        <w:rPr>
          <w:highlight w:val="yellow"/>
        </w:rPr>
        <w:t>produce and other bulks items</w:t>
      </w:r>
      <w:r w:rsidR="00F933EE">
        <w:t xml:space="preserve">: </w:t>
      </w:r>
      <w:r>
        <w:t xml:space="preserve">This use poses a </w:t>
      </w:r>
      <w:r w:rsidR="00F933EE">
        <w:t>health risk</w:t>
      </w:r>
      <w:r w:rsidR="00EF731B">
        <w:t>,</w:t>
      </w:r>
      <w:r>
        <w:t xml:space="preserve"> as toxic </w:t>
      </w:r>
      <w:r w:rsidR="00F933EE">
        <w:t xml:space="preserve">chemicals </w:t>
      </w:r>
      <w:r>
        <w:t xml:space="preserve">could </w:t>
      </w:r>
      <w:r w:rsidR="00F933EE">
        <w:t>leach into food</w:t>
      </w:r>
      <w:r>
        <w:t>.</w:t>
      </w:r>
      <w:r w:rsidR="00F933EE">
        <w:t xml:space="preserve"> </w:t>
      </w:r>
      <w:r w:rsidR="00EF731B">
        <w:t>M</w:t>
      </w:r>
      <w:r>
        <w:t>ore research is needed</w:t>
      </w:r>
      <w:r w:rsidR="00EF731B">
        <w:t xml:space="preserve"> to determine whether sufficient safe, available, sustainable, and affordable alternatives exist to permit regulatory coverage. If not, requiring the posting of warnings regarding the risk might be appropriate. </w:t>
      </w:r>
    </w:p>
    <w:p w:rsidR="00C62398" w:rsidRDefault="00F933EE" w:rsidP="00F933EE">
      <w:pPr>
        <w:pStyle w:val="ListParagraph"/>
        <w:numPr>
          <w:ilvl w:val="2"/>
          <w:numId w:val="24"/>
        </w:numPr>
        <w:spacing w:line="240" w:lineRule="auto"/>
      </w:pPr>
      <w:r w:rsidRPr="00C62398">
        <w:rPr>
          <w:highlight w:val="yellow"/>
        </w:rPr>
        <w:t>The use of single-use plastic bags for non-food storage purposes, including for dry cleaning, newspapers, etc.:</w:t>
      </w:r>
      <w:r>
        <w:t xml:space="preserve"> While these bags represent </w:t>
      </w:r>
      <w:r w:rsidR="00EF731B">
        <w:t>l</w:t>
      </w:r>
      <w:r>
        <w:t>ess</w:t>
      </w:r>
      <w:r w:rsidR="00EF731B">
        <w:t xml:space="preserve"> of a</w:t>
      </w:r>
      <w:r>
        <w:t xml:space="preserve"> health risk, they still pose many of the same health and environmental problems as</w:t>
      </w:r>
      <w:r w:rsidR="00EF731B">
        <w:t xml:space="preserve"> other single-use </w:t>
      </w:r>
      <w:r>
        <w:t xml:space="preserve">bags. Again, the widespread exemption of these bags might be due to a perceived lack of alternatives or political concerns. </w:t>
      </w:r>
    </w:p>
    <w:p w:rsidR="00F933EE" w:rsidRDefault="00F933EE" w:rsidP="00F933EE">
      <w:pPr>
        <w:pStyle w:val="ListParagraph"/>
        <w:numPr>
          <w:ilvl w:val="2"/>
          <w:numId w:val="24"/>
        </w:numPr>
        <w:spacing w:line="240" w:lineRule="auto"/>
      </w:pPr>
      <w:r w:rsidRPr="00C62398">
        <w:rPr>
          <w:highlight w:val="yellow"/>
        </w:rPr>
        <w:t>The composition of alternative bags made from paper</w:t>
      </w:r>
      <w:r>
        <w:t xml:space="preserve">: </w:t>
      </w:r>
      <w:r w:rsidR="00317323">
        <w:t>S</w:t>
      </w:r>
      <w:r>
        <w:t>everal bans that identify paper bags as a</w:t>
      </w:r>
      <w:r w:rsidR="00317323">
        <w:t>n</w:t>
      </w:r>
      <w:r>
        <w:t xml:space="preserve"> alternative to </w:t>
      </w:r>
      <w:r w:rsidR="00317323">
        <w:t xml:space="preserve">the </w:t>
      </w:r>
      <w:r>
        <w:t xml:space="preserve">plastic bags require a minimum percentage of recycled fiber content (typically 40%), none prohibits the use of old-growth </w:t>
      </w:r>
      <w:r w:rsidR="00317323">
        <w:t>or virgin</w:t>
      </w:r>
      <w:r>
        <w:t xml:space="preserve"> </w:t>
      </w:r>
      <w:r w:rsidR="00317323">
        <w:t>fiber</w:t>
      </w:r>
      <w:r>
        <w:t xml:space="preserve">. This, too, </w:t>
      </w:r>
      <w:r w:rsidR="00317323">
        <w:t>c</w:t>
      </w:r>
      <w:r>
        <w:t xml:space="preserve">ould be </w:t>
      </w:r>
      <w:r w:rsidR="00317323">
        <w:t>required.</w:t>
      </w:r>
    </w:p>
    <w:p w:rsidR="00F933EE" w:rsidRDefault="00F933EE" w:rsidP="00F933EE">
      <w:pPr>
        <w:pStyle w:val="ListParagraph"/>
        <w:numPr>
          <w:ilvl w:val="2"/>
          <w:numId w:val="24"/>
        </w:numPr>
        <w:spacing w:line="240" w:lineRule="auto"/>
      </w:pPr>
      <w:r w:rsidRPr="00C62398">
        <w:rPr>
          <w:highlight w:val="yellow"/>
        </w:rPr>
        <w:t>Dyes used on bags</w:t>
      </w:r>
      <w:r>
        <w:t xml:space="preserve">: </w:t>
      </w:r>
      <w:r w:rsidR="00C62398">
        <w:t>N</w:t>
      </w:r>
      <w:r>
        <w:t>o ban addresses the potential health and/or environmental effects of the dyes used on bags – regardless of the material(s) from which they are made. Some dyes pose potential health and environmental risks, so the towns should consider addressing this issue</w:t>
      </w:r>
      <w:r w:rsidR="0058170C">
        <w:t>.</w:t>
      </w:r>
    </w:p>
    <w:p w:rsidR="00F933EE" w:rsidRDefault="00F933EE" w:rsidP="00F933EE">
      <w:pPr>
        <w:pStyle w:val="ListParagraph"/>
        <w:numPr>
          <w:ilvl w:val="2"/>
          <w:numId w:val="24"/>
        </w:numPr>
        <w:spacing w:line="240" w:lineRule="auto"/>
      </w:pPr>
      <w:r w:rsidRPr="0058170C">
        <w:rPr>
          <w:highlight w:val="yellow"/>
        </w:rPr>
        <w:t>Acceptable alternatives and the mixed reviews concerning the use of “biodegradable” and “compostable” bags</w:t>
      </w:r>
      <w:r>
        <w:t xml:space="preserve">: </w:t>
      </w:r>
      <w:r w:rsidR="0058170C">
        <w:t>A</w:t>
      </w:r>
      <w:r>
        <w:t xml:space="preserve"> majority of the bans define acceptable alternatives</w:t>
      </w:r>
      <w:r w:rsidR="00317323">
        <w:t xml:space="preserve">, most of which </w:t>
      </w:r>
      <w:r>
        <w:t>include biodegradable and/or compostable bags in addition to paper</w:t>
      </w:r>
      <w:r w:rsidR="00317323">
        <w:t xml:space="preserve"> and reusable bags</w:t>
      </w:r>
      <w:r>
        <w:t xml:space="preserve">, several citing ASTM standards D6400 and 7081. While an improvement over existing plastic bags, </w:t>
      </w:r>
      <w:r w:rsidR="0058170C">
        <w:t>these alternatives raise some concerns</w:t>
      </w:r>
      <w:r>
        <w:t xml:space="preserve"> relate</w:t>
      </w:r>
      <w:r w:rsidR="00317323">
        <w:t>d</w:t>
      </w:r>
      <w:r>
        <w:t xml:space="preserve"> to</w:t>
      </w:r>
      <w:r w:rsidR="0058170C">
        <w:t xml:space="preserve"> (1)</w:t>
      </w:r>
      <w:r>
        <w:t xml:space="preserve"> differences between the conditions assumed in ASTM standards and actual real world conditions</w:t>
      </w:r>
      <w:r w:rsidR="0058170C">
        <w:t>, leading to a continuation of adverse effects; (2) differences between bio-plastics and petroleum-/natural gas-based bags; and (3</w:t>
      </w:r>
      <w:r w:rsidR="00052F8B">
        <w:t>) solid</w:t>
      </w:r>
      <w:r>
        <w:t xml:space="preserve"> waste disposal issues and the continue</w:t>
      </w:r>
      <w:r w:rsidR="0058170C">
        <w:t>d</w:t>
      </w:r>
      <w:r>
        <w:t xml:space="preserve"> potential for the bags or remnants </w:t>
      </w:r>
      <w:r w:rsidR="0058170C">
        <w:t xml:space="preserve">to </w:t>
      </w:r>
      <w:r>
        <w:t>caus</w:t>
      </w:r>
      <w:r w:rsidR="0058170C">
        <w:t>e</w:t>
      </w:r>
      <w:r>
        <w:t xml:space="preserve"> environmental and/or wildlife harm. Th</w:t>
      </w:r>
      <w:r w:rsidR="0058170C">
        <w:t xml:space="preserve">ese concerns might </w:t>
      </w:r>
      <w:r>
        <w:t>be avoided by not permitting the use of these bags or by conducting a further investigation and having the results inform regulatory provisions.</w:t>
      </w:r>
    </w:p>
    <w:p w:rsidR="00F933EE" w:rsidRDefault="00F933EE" w:rsidP="0042468C">
      <w:pPr>
        <w:spacing w:line="240" w:lineRule="auto"/>
        <w:rPr>
          <w:b/>
          <w:sz w:val="24"/>
          <w:szCs w:val="24"/>
        </w:rPr>
      </w:pPr>
    </w:p>
    <w:p w:rsidR="00331607" w:rsidRPr="00326602" w:rsidRDefault="0042468C" w:rsidP="00793381">
      <w:pPr>
        <w:rPr>
          <w:b/>
          <w:sz w:val="28"/>
          <w:szCs w:val="28"/>
        </w:rPr>
      </w:pPr>
      <w:r w:rsidRPr="00326602">
        <w:rPr>
          <w:b/>
          <w:sz w:val="28"/>
          <w:szCs w:val="28"/>
        </w:rPr>
        <w:t>D</w:t>
      </w:r>
      <w:r w:rsidR="00331607" w:rsidRPr="00326602">
        <w:rPr>
          <w:b/>
          <w:sz w:val="28"/>
          <w:szCs w:val="28"/>
        </w:rPr>
        <w:t>iscussion</w:t>
      </w:r>
    </w:p>
    <w:p w:rsidR="002B70F3" w:rsidRPr="000553B6" w:rsidRDefault="00331607" w:rsidP="00D24532">
      <w:pPr>
        <w:pStyle w:val="ListParagraph"/>
        <w:numPr>
          <w:ilvl w:val="0"/>
          <w:numId w:val="2"/>
        </w:numPr>
        <w:contextualSpacing w:val="0"/>
        <w:rPr>
          <w:b/>
        </w:rPr>
      </w:pPr>
      <w:r w:rsidRPr="000553B6">
        <w:rPr>
          <w:b/>
        </w:rPr>
        <w:t>Polystyrene Drink and Food Containers</w:t>
      </w:r>
    </w:p>
    <w:p w:rsidR="00A53636" w:rsidRDefault="002B70F3" w:rsidP="00793381">
      <w:pPr>
        <w:pStyle w:val="ListParagraph"/>
        <w:numPr>
          <w:ilvl w:val="1"/>
          <w:numId w:val="2"/>
        </w:numPr>
        <w:spacing w:after="0"/>
        <w:rPr>
          <w:rFonts w:ascii="Calibri" w:hAnsi="Calibri"/>
        </w:rPr>
      </w:pPr>
      <w:r w:rsidRPr="006745CD">
        <w:rPr>
          <w:b/>
        </w:rPr>
        <w:t>Rationale</w:t>
      </w:r>
      <w:r>
        <w:t xml:space="preserve">: </w:t>
      </w:r>
      <w:r w:rsidR="00A53636" w:rsidRPr="00A53636">
        <w:rPr>
          <w:rFonts w:ascii="Calibri" w:eastAsia="Arial Unicode MS" w:hAnsi="Calibri" w:cs="Arial Unicode MS"/>
        </w:rPr>
        <w:t>Polystyrene is non-sustainable</w:t>
      </w:r>
      <w:r w:rsidR="00A53636" w:rsidRPr="00A53636">
        <w:rPr>
          <w:rFonts w:ascii="Calibri" w:hAnsi="Calibri"/>
        </w:rPr>
        <w:t xml:space="preserve"> and </w:t>
      </w:r>
      <w:r w:rsidR="00A53636" w:rsidRPr="00A53636">
        <w:rPr>
          <w:rFonts w:ascii="Calibri" w:eastAsia="Arial Unicode MS" w:hAnsi="Calibri" w:cs="Arial Unicode MS"/>
        </w:rPr>
        <w:t>non-renewable</w:t>
      </w:r>
      <w:r w:rsidR="00A53636" w:rsidRPr="00A53636">
        <w:rPr>
          <w:rFonts w:ascii="Calibri" w:hAnsi="Calibri"/>
        </w:rPr>
        <w:t>,</w:t>
      </w:r>
      <w:r w:rsidR="00A53636" w:rsidRPr="00A53636">
        <w:rPr>
          <w:rFonts w:ascii="Calibri" w:eastAsia="Arial Unicode MS" w:hAnsi="Calibri" w:cs="Arial Unicode MS"/>
        </w:rPr>
        <w:t xml:space="preserve"> </w:t>
      </w:r>
      <w:r w:rsidR="00A53636" w:rsidRPr="00A53636">
        <w:rPr>
          <w:rFonts w:ascii="Calibri" w:hAnsi="Calibri"/>
        </w:rPr>
        <w:t>poses substantial health risks, and has significant adverse environmental consequences</w:t>
      </w:r>
      <w:r w:rsidR="002A55B4">
        <w:rPr>
          <w:rFonts w:ascii="Calibri" w:hAnsi="Calibri"/>
        </w:rPr>
        <w:t xml:space="preserve"> that warrant action to reduce its use in our three communities (references and notes follow this text)</w:t>
      </w:r>
      <w:r w:rsidR="00A53636" w:rsidRPr="00A53636">
        <w:rPr>
          <w:rFonts w:ascii="Calibri" w:hAnsi="Calibri"/>
        </w:rPr>
        <w:t>.</w:t>
      </w:r>
      <w:r w:rsidR="0049288A">
        <w:rPr>
          <w:rFonts w:ascii="Calibri" w:hAnsi="Calibri"/>
        </w:rPr>
        <w:t xml:space="preserve"> As an overview, the following graphic conceptually depicts the pathways from product to health impacts</w:t>
      </w:r>
      <w:r w:rsidR="00793381">
        <w:rPr>
          <w:rFonts w:ascii="Calibri" w:hAnsi="Calibri"/>
        </w:rPr>
        <w:t>.</w:t>
      </w:r>
    </w:p>
    <w:p w:rsidR="0049288A" w:rsidRDefault="0049288A" w:rsidP="00793381">
      <w:pPr>
        <w:spacing w:after="0"/>
        <w:rPr>
          <w:rFonts w:ascii="Calibri" w:hAnsi="Calibri"/>
        </w:rPr>
      </w:pPr>
    </w:p>
    <w:p w:rsidR="0049288A" w:rsidRPr="007E0EF5" w:rsidRDefault="007E0EF5" w:rsidP="007E0EF5">
      <w:pPr>
        <w:spacing w:after="0"/>
        <w:jc w:val="center"/>
        <w:rPr>
          <w:rFonts w:ascii="Calibri" w:hAnsi="Calibri"/>
          <w:b/>
        </w:rPr>
      </w:pPr>
      <w:r w:rsidRPr="00FA2CE1">
        <w:rPr>
          <w:rFonts w:ascii="Calibri" w:hAnsi="Calibri"/>
          <w:b/>
          <w:highlight w:val="yellow"/>
        </w:rPr>
        <w:t>Polystyrene drink and food containers: pathways to health risks</w:t>
      </w:r>
    </w:p>
    <w:p w:rsidR="0049288A" w:rsidRPr="0049288A" w:rsidRDefault="002A3073" w:rsidP="00793381">
      <w:pPr>
        <w:spacing w:after="0"/>
        <w:rPr>
          <w:rFonts w:ascii="Calibri" w:hAnsi="Calibri"/>
        </w:rPr>
      </w:pPr>
      <w:r w:rsidRPr="0049288A">
        <w:rPr>
          <w:rFonts w:ascii="Calibri" w:hAnsi="Calibri"/>
          <w:noProof/>
        </w:rPr>
        <mc:AlternateContent>
          <mc:Choice Requires="wps">
            <w:drawing>
              <wp:anchor distT="0" distB="0" distL="114300" distR="114300" simplePos="0" relativeHeight="251659264" behindDoc="0" locked="0" layoutInCell="1" allowOverlap="1" wp14:anchorId="16BBA683" wp14:editId="37EFB8B8">
                <wp:simplePos x="0" y="0"/>
                <wp:positionH relativeFrom="margin">
                  <wp:posOffset>1033780</wp:posOffset>
                </wp:positionH>
                <wp:positionV relativeFrom="margin">
                  <wp:posOffset>2388235</wp:posOffset>
                </wp:positionV>
                <wp:extent cx="4691380" cy="2721610"/>
                <wp:effectExtent l="0" t="0" r="13970" b="2159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2721610"/>
                        </a:xfrm>
                        <a:prstGeom prst="rect">
                          <a:avLst/>
                        </a:prstGeom>
                        <a:solidFill>
                          <a:srgbClr val="FFFFFF"/>
                        </a:solidFill>
                        <a:ln w="9525" cmpd="dbl">
                          <a:solidFill>
                            <a:srgbClr val="000000"/>
                          </a:solidFill>
                          <a:miter lim="800000"/>
                          <a:headEnd/>
                          <a:tailEnd/>
                        </a:ln>
                      </wps:spPr>
                      <wps:txbx>
                        <w:txbxContent>
                          <w:p w:rsidR="002A3073" w:rsidRDefault="002A3073" w:rsidP="0049288A">
                            <w:pPr>
                              <w:pStyle w:val="BodyA"/>
                              <w:jc w:val="center"/>
                              <w:rPr>
                                <w:rFonts w:asciiTheme="minorHAnsi" w:hAnsiTheme="minorHAnsi"/>
                              </w:rPr>
                            </w:pPr>
                            <w:r>
                              <w:rPr>
                                <w:rFonts w:asciiTheme="minorHAnsi" w:hAnsiTheme="minorHAnsi"/>
                              </w:rPr>
                              <w:t xml:space="preserve">Ethylene (ethylene oxide is a known carcinogen) </w:t>
                            </w:r>
                          </w:p>
                          <w:p w:rsidR="002A3073" w:rsidRDefault="002A3073" w:rsidP="0049288A">
                            <w:pPr>
                              <w:pStyle w:val="BodyA"/>
                              <w:jc w:val="center"/>
                              <w:rPr>
                                <w:rFonts w:asciiTheme="minorHAnsi" w:hAnsiTheme="minorHAnsi"/>
                              </w:rPr>
                            </w:pPr>
                            <w:r w:rsidRPr="00B37089">
                              <w:rPr>
                                <w:rFonts w:asciiTheme="minorHAnsi" w:hAnsiTheme="minorHAnsi"/>
                                <w:sz w:val="28"/>
                                <w:szCs w:val="28"/>
                              </w:rPr>
                              <w:t xml:space="preserve">+ </w:t>
                            </w:r>
                            <w:r>
                              <w:rPr>
                                <w:rFonts w:asciiTheme="minorHAnsi" w:hAnsiTheme="minorHAnsi"/>
                              </w:rPr>
                              <w:t>benzene (a recognized carcinogen)</w:t>
                            </w:r>
                            <w:r w:rsidRPr="00C73FD5">
                              <w:rPr>
                                <w:rFonts w:asciiTheme="minorHAnsi" w:hAnsiTheme="minorHAnsi"/>
                              </w:rPr>
                              <w:t xml:space="preserve"> </w:t>
                            </w:r>
                          </w:p>
                          <w:p w:rsidR="002A3073" w:rsidRPr="00C73FD5" w:rsidRDefault="002A3073" w:rsidP="0049288A">
                            <w:pPr>
                              <w:pStyle w:val="BodyA"/>
                              <w:jc w:val="center"/>
                              <w:rPr>
                                <w:rFonts w:asciiTheme="minorHAnsi" w:hAnsiTheme="minorHAnsi"/>
                              </w:rPr>
                            </w:pPr>
                            <w:r w:rsidRPr="00B37089">
                              <w:rPr>
                                <w:rFonts w:asciiTheme="minorHAnsi" w:hAnsiTheme="minorHAnsi"/>
                                <w:sz w:val="28"/>
                                <w:szCs w:val="28"/>
                              </w:rPr>
                              <w:t>=</w:t>
                            </w:r>
                            <w:r>
                              <w:rPr>
                                <w:rFonts w:asciiTheme="minorHAnsi" w:hAnsiTheme="minorHAnsi"/>
                              </w:rPr>
                              <w:t xml:space="preserve">  Styrene  </w:t>
                            </w:r>
                            <w:r w:rsidRPr="00C73FD5">
                              <w:rPr>
                                <w:rFonts w:ascii="Cambria Math" w:hAnsi="Cambria Math" w:cs="Cambria Math"/>
                                <w:sz w:val="28"/>
                                <w:szCs w:val="28"/>
                              </w:rPr>
                              <w:t>⇒</w:t>
                            </w:r>
                            <w:r>
                              <w:rPr>
                                <w:rFonts w:ascii="Cambria Math" w:hAnsi="Cambria Math" w:cs="Cambria Math"/>
                                <w:sz w:val="28"/>
                                <w:szCs w:val="28"/>
                              </w:rPr>
                              <w:t xml:space="preserve"> </w:t>
                            </w:r>
                            <w:r w:rsidRPr="004D316F">
                              <w:rPr>
                                <w:rFonts w:asciiTheme="minorHAnsi" w:hAnsiTheme="minorHAnsi" w:cs="Cambria Math"/>
                              </w:rPr>
                              <w:t>Polystyrene</w:t>
                            </w:r>
                          </w:p>
                          <w:p w:rsidR="002A3073" w:rsidRPr="00C73FD5" w:rsidRDefault="002A3073" w:rsidP="0049288A">
                            <w:pPr>
                              <w:pStyle w:val="BodyA"/>
                              <w:jc w:val="center"/>
                              <w:rPr>
                                <w:rFonts w:asciiTheme="minorHAnsi" w:hAnsiTheme="minorHAnsi"/>
                              </w:rPr>
                            </w:pPr>
                          </w:p>
                          <w:p w:rsidR="002A3073" w:rsidRPr="00C73FD5" w:rsidRDefault="002A3073" w:rsidP="0049288A">
                            <w:pPr>
                              <w:pStyle w:val="BodyA"/>
                              <w:jc w:val="center"/>
                              <w:rPr>
                                <w:rFonts w:asciiTheme="minorHAnsi" w:hAnsiTheme="minorHAnsi"/>
                              </w:rPr>
                            </w:pPr>
                          </w:p>
                          <w:p w:rsidR="002A3073" w:rsidRPr="00C73FD5" w:rsidRDefault="002A3073" w:rsidP="0049288A">
                            <w:pPr>
                              <w:pStyle w:val="BodyA"/>
                              <w:ind w:left="720" w:firstLine="720"/>
                              <w:rPr>
                                <w:rFonts w:asciiTheme="minorHAnsi" w:hAnsiTheme="minorHAnsi"/>
                              </w:rPr>
                            </w:pPr>
                            <w:r w:rsidRPr="00C73FD5">
                              <w:rPr>
                                <w:rFonts w:asciiTheme="minorHAnsi" w:hAnsiTheme="minorHAnsi"/>
                              </w:rPr>
                              <w:t xml:space="preserve">Direct </w:t>
                            </w:r>
                            <w:r>
                              <w:rPr>
                                <w:rFonts w:asciiTheme="minorHAnsi" w:hAnsiTheme="minorHAnsi"/>
                              </w:rPr>
                              <w:t>(</w:t>
                            </w:r>
                            <w:r w:rsidRPr="00C73FD5">
                              <w:rPr>
                                <w:rFonts w:asciiTheme="minorHAnsi" w:hAnsiTheme="minorHAnsi"/>
                              </w:rPr>
                              <w:t>contact</w:t>
                            </w:r>
                            <w:r>
                              <w:rPr>
                                <w:rFonts w:asciiTheme="minorHAnsi" w:hAnsiTheme="minorHAnsi"/>
                              </w:rPr>
                              <w:t>)</w:t>
                            </w:r>
                            <w:r w:rsidRPr="00C73FD5">
                              <w:rPr>
                                <w:rFonts w:asciiTheme="minorHAnsi" w:hAnsiTheme="minorHAnsi"/>
                              </w:rPr>
                              <w:tab/>
                            </w:r>
                            <w:r>
                              <w:rPr>
                                <w:rFonts w:asciiTheme="minorHAnsi" w:hAnsiTheme="minorHAnsi"/>
                              </w:rPr>
                              <w:t xml:space="preserve">         </w:t>
                            </w:r>
                            <w:r w:rsidRPr="00C73FD5">
                              <w:rPr>
                                <w:rFonts w:asciiTheme="minorHAnsi" w:hAnsiTheme="minorHAnsi"/>
                              </w:rPr>
                              <w:t>Indirect (food chain)</w:t>
                            </w:r>
                          </w:p>
                          <w:p w:rsidR="002A3073" w:rsidRPr="00C73FD5" w:rsidRDefault="002A3073" w:rsidP="004D316F">
                            <w:pPr>
                              <w:pStyle w:val="BodyA"/>
                              <w:spacing w:before="60"/>
                              <w:rPr>
                                <w:rFonts w:asciiTheme="minorHAnsi" w:hAnsiTheme="minorHAnsi"/>
                              </w:rPr>
                            </w:pPr>
                            <w:r>
                              <w:rPr>
                                <w:rFonts w:asciiTheme="minorHAnsi" w:hAnsiTheme="minorHAnsi"/>
                              </w:rPr>
                              <w:t xml:space="preserve">      Leached into food</w:t>
                            </w:r>
                            <w:r>
                              <w:rPr>
                                <w:rFonts w:asciiTheme="minorHAnsi" w:hAnsiTheme="minorHAnsi"/>
                              </w:rPr>
                              <w:tab/>
                            </w:r>
                            <w:r>
                              <w:rPr>
                                <w:rFonts w:asciiTheme="minorHAnsi" w:hAnsiTheme="minorHAnsi"/>
                              </w:rPr>
                              <w:tab/>
                            </w:r>
                            <w:r>
                              <w:rPr>
                                <w:rFonts w:asciiTheme="minorHAnsi" w:hAnsiTheme="minorHAnsi"/>
                              </w:rPr>
                              <w:tab/>
                              <w:t xml:space="preserve">   </w:t>
                            </w:r>
                            <w:r>
                              <w:rPr>
                                <w:rFonts w:asciiTheme="minorHAnsi" w:hAnsiTheme="minorHAnsi"/>
                              </w:rPr>
                              <w:tab/>
                              <w:t xml:space="preserve">  Particles consumed</w:t>
                            </w:r>
                          </w:p>
                          <w:p w:rsidR="002A3073" w:rsidRPr="0039569C" w:rsidRDefault="002A3073" w:rsidP="004D316F">
                            <w:pPr>
                              <w:pStyle w:val="BodyA"/>
                              <w:ind w:firstLine="720"/>
                              <w:rPr>
                                <w:rFonts w:asciiTheme="minorHAnsi" w:hAnsiTheme="minorHAnsi"/>
                                <w:sz w:val="16"/>
                                <w:szCs w:val="16"/>
                              </w:rPr>
                            </w:pPr>
                          </w:p>
                          <w:p w:rsidR="002A3073" w:rsidRPr="00C73FD5" w:rsidRDefault="002A3073" w:rsidP="004D316F">
                            <w:pPr>
                              <w:pStyle w:val="BodyA"/>
                              <w:jc w:val="center"/>
                              <w:rPr>
                                <w:rFonts w:asciiTheme="minorHAnsi" w:hAnsiTheme="minorHAnsi"/>
                              </w:rPr>
                            </w:pPr>
                            <w:r w:rsidRPr="00C73FD5">
                              <w:rPr>
                                <w:rFonts w:asciiTheme="minorHAnsi" w:hAnsiTheme="minorHAnsi"/>
                              </w:rPr>
                              <w:t xml:space="preserve">Metabolized in humans into styrene oxide (toxic, mutagenic and possibly carcinogenic)  </w:t>
                            </w:r>
                            <w:r w:rsidRPr="00C73FD5">
                              <w:rPr>
                                <w:rFonts w:ascii="Cambria Math" w:hAnsi="Cambria Math" w:cs="Cambria Math"/>
                                <w:sz w:val="28"/>
                                <w:szCs w:val="28"/>
                              </w:rPr>
                              <w:t>⇒</w:t>
                            </w:r>
                            <w:r w:rsidRPr="00C73FD5">
                              <w:rPr>
                                <w:rFonts w:asciiTheme="minorHAnsi" w:hAnsiTheme="minorHAnsi"/>
                              </w:rPr>
                              <w:t xml:space="preserve"> DNA adducts (pieces of DNA covalently bonded to a cancer-causing chemical) found in circulating white blood cells of styrene-exposed workers </w:t>
                            </w:r>
                            <w:r w:rsidRPr="00C73FD5">
                              <w:rPr>
                                <w:rFonts w:ascii="Cambria Math" w:hAnsi="Cambria Math" w:cs="Cambria Math"/>
                                <w:sz w:val="28"/>
                                <w:szCs w:val="28"/>
                              </w:rPr>
                              <w:t>⇒</w:t>
                            </w:r>
                            <w:r w:rsidRPr="00C73FD5">
                              <w:rPr>
                                <w:rFonts w:asciiTheme="minorHAnsi" w:hAnsiTheme="minorHAnsi"/>
                              </w:rPr>
                              <w:t xml:space="preserve"> covalent bonding of carcinogens to DNA is causally related to tumorigenesis</w:t>
                            </w:r>
                          </w:p>
                          <w:p w:rsidR="002A3073" w:rsidRDefault="002A3073" w:rsidP="00B37089">
                            <w:pPr>
                              <w:jc w:val="center"/>
                            </w:pPr>
                            <w:r w:rsidRPr="00B37089">
                              <w:rPr>
                                <w:sz w:val="28"/>
                                <w:szCs w:val="28"/>
                              </w:rPr>
                              <w:t>=</w:t>
                            </w:r>
                            <w:r>
                              <w:t xml:space="preserve"> </w:t>
                            </w:r>
                            <w:r w:rsidRPr="00B37089">
                              <w:rPr>
                                <w:rFonts w:eastAsia="Arial Unicode MS" w:cs="Arial Unicode MS"/>
                                <w:highlight w:val="yellow"/>
                              </w:rPr>
                              <w:t>Styrene is reasonably anticipated to be a human carcinogen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BBA683" id="_x0000_t202" coordsize="21600,21600" o:spt="202" path="m,l,21600r21600,l21600,xe">
                <v:stroke joinstyle="miter"/>
                <v:path gradientshapeok="t" o:connecttype="rect"/>
              </v:shapetype>
              <v:shape id="Text Box 2" o:spid="_x0000_s1026" type="#_x0000_t202" style="position:absolute;margin-left:81.4pt;margin-top:188.05pt;width:369.4pt;height:21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">
                <v:stroke linestyle="thinThin"/>
                <v:textbox>
                  <w:txbxContent>
                    <w:p w:rsidR="002A3073" w:rsidRDefault="002A3073" w:rsidP="0049288A">
                      <w:pPr>
                        <w:pStyle w:val="BodyA"/>
                        <w:jc w:val="center"/>
                        <w:rPr>
                          <w:rFonts w:asciiTheme="minorHAnsi" w:hAnsiTheme="minorHAnsi"/>
                        </w:rPr>
                      </w:pPr>
                      <w:r>
                        <w:rPr>
                          <w:rFonts w:asciiTheme="minorHAnsi" w:hAnsiTheme="minorHAnsi"/>
                        </w:rPr>
                        <w:t xml:space="preserve">Ethylene (ethylene oxide is a known carcinogen) </w:t>
                      </w:r>
                    </w:p>
                    <w:p w:rsidR="002A3073" w:rsidRDefault="002A3073" w:rsidP="0049288A">
                      <w:pPr>
                        <w:pStyle w:val="BodyA"/>
                        <w:jc w:val="center"/>
                        <w:rPr>
                          <w:rFonts w:asciiTheme="minorHAnsi" w:hAnsiTheme="minorHAnsi"/>
                        </w:rPr>
                      </w:pPr>
                      <w:r w:rsidRPr="00B37089">
                        <w:rPr>
                          <w:rFonts w:asciiTheme="minorHAnsi" w:hAnsiTheme="minorHAnsi"/>
                          <w:sz w:val="28"/>
                          <w:szCs w:val="28"/>
                        </w:rPr>
                        <w:t xml:space="preserve">+ </w:t>
                      </w:r>
                      <w:r>
                        <w:rPr>
                          <w:rFonts w:asciiTheme="minorHAnsi" w:hAnsiTheme="minorHAnsi"/>
                        </w:rPr>
                        <w:t>benzene (a recognized carcinogen)</w:t>
                      </w:r>
                      <w:r w:rsidRPr="00C73FD5">
                        <w:rPr>
                          <w:rFonts w:asciiTheme="minorHAnsi" w:hAnsiTheme="minorHAnsi"/>
                        </w:rPr>
                        <w:t xml:space="preserve"> </w:t>
                      </w:r>
                    </w:p>
                    <w:p w:rsidR="002A3073" w:rsidRPr="00C73FD5" w:rsidRDefault="002A3073" w:rsidP="0049288A">
                      <w:pPr>
                        <w:pStyle w:val="BodyA"/>
                        <w:jc w:val="center"/>
                        <w:rPr>
                          <w:rFonts w:asciiTheme="minorHAnsi" w:hAnsiTheme="minorHAnsi"/>
                        </w:rPr>
                      </w:pPr>
                      <w:r w:rsidRPr="00B37089">
                        <w:rPr>
                          <w:rFonts w:asciiTheme="minorHAnsi" w:hAnsiTheme="minorHAnsi"/>
                          <w:sz w:val="28"/>
                          <w:szCs w:val="28"/>
                        </w:rPr>
                        <w:t>=</w:t>
                      </w:r>
                      <w:r>
                        <w:rPr>
                          <w:rFonts w:asciiTheme="minorHAnsi" w:hAnsiTheme="minorHAnsi"/>
                        </w:rPr>
                        <w:t xml:space="preserve">  Styrene  </w:t>
                      </w:r>
                      <w:r w:rsidRPr="00C73FD5">
                        <w:rPr>
                          <w:rFonts w:ascii="Cambria Math" w:hAnsi="Cambria Math" w:cs="Cambria Math"/>
                          <w:sz w:val="28"/>
                          <w:szCs w:val="28"/>
                        </w:rPr>
                        <w:t>⇒</w:t>
                      </w:r>
                      <w:r>
                        <w:rPr>
                          <w:rFonts w:ascii="Cambria Math" w:hAnsi="Cambria Math" w:cs="Cambria Math"/>
                          <w:sz w:val="28"/>
                          <w:szCs w:val="28"/>
                        </w:rPr>
                        <w:t xml:space="preserve"> </w:t>
                      </w:r>
                      <w:r w:rsidRPr="004D316F">
                        <w:rPr>
                          <w:rFonts w:asciiTheme="minorHAnsi" w:hAnsiTheme="minorHAnsi" w:cs="Cambria Math"/>
                        </w:rPr>
                        <w:t>Polystyrene</w:t>
                      </w:r>
                    </w:p>
                    <w:p w:rsidR="002A3073" w:rsidRPr="00C73FD5" w:rsidRDefault="002A3073" w:rsidP="0049288A">
                      <w:pPr>
                        <w:pStyle w:val="BodyA"/>
                        <w:jc w:val="center"/>
                        <w:rPr>
                          <w:rFonts w:asciiTheme="minorHAnsi" w:hAnsiTheme="minorHAnsi"/>
                        </w:rPr>
                      </w:pPr>
                    </w:p>
                    <w:p w:rsidR="002A3073" w:rsidRPr="00C73FD5" w:rsidRDefault="002A3073" w:rsidP="0049288A">
                      <w:pPr>
                        <w:pStyle w:val="BodyA"/>
                        <w:jc w:val="center"/>
                        <w:rPr>
                          <w:rFonts w:asciiTheme="minorHAnsi" w:hAnsiTheme="minorHAnsi"/>
                        </w:rPr>
                      </w:pPr>
                    </w:p>
                    <w:p w:rsidR="002A3073" w:rsidRPr="00C73FD5" w:rsidRDefault="002A3073" w:rsidP="0049288A">
                      <w:pPr>
                        <w:pStyle w:val="BodyA"/>
                        <w:ind w:left="720" w:firstLine="720"/>
                        <w:rPr>
                          <w:rFonts w:asciiTheme="minorHAnsi" w:hAnsiTheme="minorHAnsi"/>
                        </w:rPr>
                      </w:pPr>
                      <w:r w:rsidRPr="00C73FD5">
                        <w:rPr>
                          <w:rFonts w:asciiTheme="minorHAnsi" w:hAnsiTheme="minorHAnsi"/>
                        </w:rPr>
                        <w:t xml:space="preserve">Direct </w:t>
                      </w:r>
                      <w:r>
                        <w:rPr>
                          <w:rFonts w:asciiTheme="minorHAnsi" w:hAnsiTheme="minorHAnsi"/>
                        </w:rPr>
                        <w:t>(</w:t>
                      </w:r>
                      <w:r w:rsidRPr="00C73FD5">
                        <w:rPr>
                          <w:rFonts w:asciiTheme="minorHAnsi" w:hAnsiTheme="minorHAnsi"/>
                        </w:rPr>
                        <w:t>contact</w:t>
                      </w:r>
                      <w:r>
                        <w:rPr>
                          <w:rFonts w:asciiTheme="minorHAnsi" w:hAnsiTheme="minorHAnsi"/>
                        </w:rPr>
                        <w:t>)</w:t>
                      </w:r>
                      <w:r w:rsidRPr="00C73FD5">
                        <w:rPr>
                          <w:rFonts w:asciiTheme="minorHAnsi" w:hAnsiTheme="minorHAnsi"/>
                        </w:rPr>
                        <w:tab/>
                      </w:r>
                      <w:r>
                        <w:rPr>
                          <w:rFonts w:asciiTheme="minorHAnsi" w:hAnsiTheme="minorHAnsi"/>
                        </w:rPr>
                        <w:t xml:space="preserve">         </w:t>
                      </w:r>
                      <w:r w:rsidRPr="00C73FD5">
                        <w:rPr>
                          <w:rFonts w:asciiTheme="minorHAnsi" w:hAnsiTheme="minorHAnsi"/>
                        </w:rPr>
                        <w:t>Indirect (food chain)</w:t>
                      </w:r>
                    </w:p>
                    <w:p w:rsidR="002A3073" w:rsidRPr="00C73FD5" w:rsidRDefault="002A3073" w:rsidP="004D316F">
                      <w:pPr>
                        <w:pStyle w:val="BodyA"/>
                        <w:spacing w:before="60"/>
                        <w:rPr>
                          <w:rFonts w:asciiTheme="minorHAnsi" w:hAnsiTheme="minorHAnsi"/>
                        </w:rPr>
                      </w:pPr>
                      <w:r>
                        <w:rPr>
                          <w:rFonts w:asciiTheme="minorHAnsi" w:hAnsiTheme="minorHAnsi"/>
                        </w:rPr>
                        <w:t xml:space="preserve">      Leached into food</w:t>
                      </w:r>
                      <w:r>
                        <w:rPr>
                          <w:rFonts w:asciiTheme="minorHAnsi" w:hAnsiTheme="minorHAnsi"/>
                        </w:rPr>
                        <w:tab/>
                      </w:r>
                      <w:r>
                        <w:rPr>
                          <w:rFonts w:asciiTheme="minorHAnsi" w:hAnsiTheme="minorHAnsi"/>
                        </w:rPr>
                        <w:tab/>
                      </w:r>
                      <w:r>
                        <w:rPr>
                          <w:rFonts w:asciiTheme="minorHAnsi" w:hAnsiTheme="minorHAnsi"/>
                        </w:rPr>
                        <w:tab/>
                        <w:t xml:space="preserve">   </w:t>
                      </w:r>
                      <w:r>
                        <w:rPr>
                          <w:rFonts w:asciiTheme="minorHAnsi" w:hAnsiTheme="minorHAnsi"/>
                        </w:rPr>
                        <w:tab/>
                        <w:t xml:space="preserve">  Particles consumed</w:t>
                      </w:r>
                    </w:p>
                    <w:p w:rsidR="002A3073" w:rsidRPr="0039569C" w:rsidRDefault="002A3073" w:rsidP="004D316F">
                      <w:pPr>
                        <w:pStyle w:val="BodyA"/>
                        <w:ind w:firstLine="720"/>
                        <w:rPr>
                          <w:rFonts w:asciiTheme="minorHAnsi" w:hAnsiTheme="minorHAnsi"/>
                          <w:sz w:val="16"/>
                          <w:szCs w:val="16"/>
                        </w:rPr>
                      </w:pPr>
                    </w:p>
                    <w:p w:rsidR="002A3073" w:rsidRPr="00C73FD5" w:rsidRDefault="002A3073" w:rsidP="004D316F">
                      <w:pPr>
                        <w:pStyle w:val="BodyA"/>
                        <w:jc w:val="center"/>
                        <w:rPr>
                          <w:rFonts w:asciiTheme="minorHAnsi" w:hAnsiTheme="minorHAnsi"/>
                        </w:rPr>
                      </w:pPr>
                      <w:r w:rsidRPr="00C73FD5">
                        <w:rPr>
                          <w:rFonts w:asciiTheme="minorHAnsi" w:hAnsiTheme="minorHAnsi"/>
                        </w:rPr>
                        <w:t xml:space="preserve">Metabolized in humans into styrene oxide (toxic, mutagenic and possibly carcinogenic)  </w:t>
                      </w:r>
                      <w:r w:rsidRPr="00C73FD5">
                        <w:rPr>
                          <w:rFonts w:ascii="Cambria Math" w:hAnsi="Cambria Math" w:cs="Cambria Math"/>
                          <w:sz w:val="28"/>
                          <w:szCs w:val="28"/>
                        </w:rPr>
                        <w:t>⇒</w:t>
                      </w:r>
                      <w:r w:rsidRPr="00C73FD5">
                        <w:rPr>
                          <w:rFonts w:asciiTheme="minorHAnsi" w:hAnsiTheme="minorHAnsi"/>
                        </w:rPr>
                        <w:t xml:space="preserve"> DNA adducts (pieces of DNA covalently bonded to a cancer-causing chemical) found in circulating white blood cells of styrene-exposed workers </w:t>
                      </w:r>
                      <w:r w:rsidRPr="00C73FD5">
                        <w:rPr>
                          <w:rFonts w:ascii="Cambria Math" w:hAnsi="Cambria Math" w:cs="Cambria Math"/>
                          <w:sz w:val="28"/>
                          <w:szCs w:val="28"/>
                        </w:rPr>
                        <w:t>⇒</w:t>
                      </w:r>
                      <w:r w:rsidRPr="00C73FD5">
                        <w:rPr>
                          <w:rFonts w:asciiTheme="minorHAnsi" w:hAnsiTheme="minorHAnsi"/>
                        </w:rPr>
                        <w:t xml:space="preserve"> covalent bonding of carcinogens to DNA is causally related to tumorigenesis</w:t>
                      </w:r>
                    </w:p>
                    <w:p w:rsidR="002A3073" w:rsidRDefault="002A3073" w:rsidP="00B37089">
                      <w:pPr>
                        <w:jc w:val="center"/>
                      </w:pPr>
                      <w:r w:rsidRPr="00B37089">
                        <w:rPr>
                          <w:sz w:val="28"/>
                          <w:szCs w:val="28"/>
                        </w:rPr>
                        <w:t>=</w:t>
                      </w:r>
                      <w:r>
                        <w:t xml:space="preserve"> </w:t>
                      </w:r>
                      <w:r w:rsidRPr="00B37089">
                        <w:rPr>
                          <w:rFonts w:eastAsia="Arial Unicode MS" w:cs="Arial Unicode MS"/>
                          <w:highlight w:val="yellow"/>
                        </w:rPr>
                        <w:t>Styrene is reasonably anticipated to be a human carcinogen</w:t>
                      </w:r>
                    </w:p>
                  </w:txbxContent>
                </v:textbox>
                <w10:wrap type="square" anchorx="margin" anchory="margin"/>
              </v:shape>
            </w:pict>
          </mc:Fallback>
        </mc:AlternateContent>
      </w:r>
    </w:p>
    <w:p w:rsidR="00B37089" w:rsidRDefault="00B37089" w:rsidP="00793381">
      <w:pPr>
        <w:pStyle w:val="BodyA"/>
        <w:numPr>
          <w:ilvl w:val="0"/>
          <w:numId w:val="22"/>
        </w:numPr>
        <w:spacing w:before="120" w:line="276" w:lineRule="auto"/>
        <w:rPr>
          <w:rFonts w:ascii="Calibri" w:hAnsi="Calibri"/>
        </w:rPr>
      </w:pPr>
    </w:p>
    <w:p w:rsidR="00B37089" w:rsidRDefault="00B37089" w:rsidP="00793381">
      <w:pPr>
        <w:pStyle w:val="BodyA"/>
        <w:numPr>
          <w:ilvl w:val="0"/>
          <w:numId w:val="22"/>
        </w:numPr>
        <w:spacing w:before="120" w:line="276" w:lineRule="auto"/>
        <w:rPr>
          <w:rFonts w:ascii="Calibri" w:hAnsi="Calibri"/>
        </w:rPr>
      </w:pPr>
    </w:p>
    <w:p w:rsidR="00B37089" w:rsidRDefault="00D24532" w:rsidP="00793381">
      <w:pPr>
        <w:pStyle w:val="BodyA"/>
        <w:numPr>
          <w:ilvl w:val="0"/>
          <w:numId w:val="22"/>
        </w:numPr>
        <w:spacing w:before="120" w:line="276" w:lineRule="auto"/>
        <w:rPr>
          <w:rFonts w:ascii="Calibri" w:hAnsi="Calibri"/>
        </w:rPr>
      </w:pPr>
      <w:r>
        <w:rPr>
          <w:rFonts w:ascii="Calibri" w:hAnsi="Calibri"/>
          <w:noProof/>
        </w:rPr>
        <mc:AlternateContent>
          <mc:Choice Requires="wps">
            <w:drawing>
              <wp:anchor distT="0" distB="0" distL="114300" distR="114300" simplePos="0" relativeHeight="251660288" behindDoc="0" locked="0" layoutInCell="1" allowOverlap="1" wp14:anchorId="58248644" wp14:editId="0C3FD312">
                <wp:simplePos x="0" y="0"/>
                <wp:positionH relativeFrom="column">
                  <wp:posOffset>2897505</wp:posOffset>
                </wp:positionH>
                <wp:positionV relativeFrom="paragraph">
                  <wp:posOffset>57785</wp:posOffset>
                </wp:positionV>
                <wp:extent cx="491490" cy="231775"/>
                <wp:effectExtent l="38100" t="0" r="22860" b="73025"/>
                <wp:wrapNone/>
                <wp:docPr id="2" name="Straight Arrow Connector 2"/>
                <wp:cNvGraphicFramePr/>
                <a:graphic xmlns:a="http://schemas.openxmlformats.org/drawingml/2006/main">
                  <a:graphicData uri="http://schemas.microsoft.com/office/word/2010/wordprocessingShape">
                    <wps:wsp>
                      <wps:cNvCnPr/>
                      <wps:spPr>
                        <a:xfrm flipH="1">
                          <a:off x="0" y="0"/>
                          <a:ext cx="491490" cy="231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55F680" id="_x0000_t32" coordsize="21600,21600" o:spt="32" o:oned="t" path="m,l21600,21600e" filled="f">
                <v:path arrowok="t" fillok="f" o:connecttype="none"/>
                <o:lock v:ext="edit" shapetype="t"/>
              </v:shapetype>
              <v:shape id="Straight Arrow Connector 2" o:spid="_x0000_s1026" type="#_x0000_t32" style="position:absolute;margin-left:228.15pt;margin-top:4.55pt;width:38.7pt;height:1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" strokecolor="black [3040]">
                <v:stroke endarrow="open"/>
              </v:shape>
            </w:pict>
          </mc:Fallback>
        </mc:AlternateContent>
      </w:r>
      <w:r w:rsidR="007E0EF5">
        <w:rPr>
          <w:rFonts w:ascii="Calibri" w:hAnsi="Calibri"/>
          <w:noProof/>
        </w:rPr>
        <mc:AlternateContent>
          <mc:Choice Requires="wps">
            <w:drawing>
              <wp:anchor distT="0" distB="0" distL="114300" distR="114300" simplePos="0" relativeHeight="251661312" behindDoc="0" locked="0" layoutInCell="1" allowOverlap="1" wp14:anchorId="051FD80B" wp14:editId="31AFD5D2">
                <wp:simplePos x="0" y="0"/>
                <wp:positionH relativeFrom="column">
                  <wp:posOffset>3383915</wp:posOffset>
                </wp:positionH>
                <wp:positionV relativeFrom="paragraph">
                  <wp:posOffset>66675</wp:posOffset>
                </wp:positionV>
                <wp:extent cx="428625" cy="224155"/>
                <wp:effectExtent l="0" t="0" r="85725" b="61595"/>
                <wp:wrapNone/>
                <wp:docPr id="3" name="Straight Arrow Connector 3"/>
                <wp:cNvGraphicFramePr/>
                <a:graphic xmlns:a="http://schemas.openxmlformats.org/drawingml/2006/main">
                  <a:graphicData uri="http://schemas.microsoft.com/office/word/2010/wordprocessingShape">
                    <wps:wsp>
                      <wps:cNvCnPr/>
                      <wps:spPr>
                        <a:xfrm>
                          <a:off x="0" y="0"/>
                          <a:ext cx="428625" cy="2241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FE373" id="Straight Arrow Connector 3" o:spid="_x0000_s1026" type="#_x0000_t32" style="position:absolute;margin-left:266.45pt;margin-top:5.25pt;width:33.75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" strokecolor="black [3040]">
                <v:stroke endarrow="open"/>
              </v:shape>
            </w:pict>
          </mc:Fallback>
        </mc:AlternateContent>
      </w:r>
    </w:p>
    <w:p w:rsidR="00793381" w:rsidRDefault="00793381" w:rsidP="00793381">
      <w:pPr>
        <w:pStyle w:val="BodyA"/>
        <w:spacing w:before="120" w:line="276" w:lineRule="auto"/>
        <w:ind w:left="2160"/>
        <w:rPr>
          <w:rFonts w:ascii="Calibri" w:hAnsi="Calibri"/>
        </w:rPr>
      </w:pPr>
    </w:p>
    <w:p w:rsidR="00793381" w:rsidRDefault="00D24532" w:rsidP="00793381">
      <w:pPr>
        <w:pStyle w:val="BodyA"/>
        <w:spacing w:before="120" w:line="276" w:lineRule="auto"/>
        <w:ind w:left="2160"/>
        <w:rPr>
          <w:rFonts w:ascii="Calibri" w:hAnsi="Calibri"/>
        </w:rPr>
      </w:pPr>
      <w:r>
        <w:rPr>
          <w:rFonts w:ascii="Calibri" w:hAnsi="Calibri"/>
          <w:noProof/>
        </w:rPr>
        <mc:AlternateContent>
          <mc:Choice Requires="wps">
            <w:drawing>
              <wp:anchor distT="0" distB="0" distL="114300" distR="114300" simplePos="0" relativeHeight="251663360" behindDoc="0" locked="0" layoutInCell="1" allowOverlap="1" wp14:anchorId="05DAE126" wp14:editId="38FC1B63">
                <wp:simplePos x="0" y="0"/>
                <wp:positionH relativeFrom="column">
                  <wp:posOffset>3837940</wp:posOffset>
                </wp:positionH>
                <wp:positionV relativeFrom="paragraph">
                  <wp:posOffset>5080</wp:posOffset>
                </wp:positionV>
                <wp:extent cx="0" cy="281305"/>
                <wp:effectExtent l="95250" t="0" r="57150" b="61595"/>
                <wp:wrapNone/>
                <wp:docPr id="5" name="Straight Arrow Connector 5"/>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730AB" id="Straight Arrow Connector 5" o:spid="_x0000_s1026" type="#_x0000_t32" style="position:absolute;margin-left:302.2pt;margin-top:.4pt;width:0;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VozgEAAPADAAAOAAAAZHJzL2Uyb0RvYy54bWysU9uO0zAQfUfiHyy/0yRFi1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" strokecolor="black [3040]">
                <v:stroke endarrow="open"/>
              </v:shape>
            </w:pict>
          </mc:Fallback>
        </mc:AlternateContent>
      </w:r>
      <w:r>
        <w:rPr>
          <w:rFonts w:ascii="Calibri" w:hAnsi="Calibri"/>
          <w:noProof/>
        </w:rPr>
        <mc:AlternateContent>
          <mc:Choice Requires="wps">
            <w:drawing>
              <wp:anchor distT="0" distB="0" distL="114300" distR="114300" simplePos="0" relativeHeight="251662336" behindDoc="0" locked="0" layoutInCell="1" allowOverlap="1" wp14:anchorId="3F1E32D0" wp14:editId="04903061">
                <wp:simplePos x="0" y="0"/>
                <wp:positionH relativeFrom="column">
                  <wp:posOffset>2480310</wp:posOffset>
                </wp:positionH>
                <wp:positionV relativeFrom="paragraph">
                  <wp:posOffset>1905</wp:posOffset>
                </wp:positionV>
                <wp:extent cx="0" cy="281305"/>
                <wp:effectExtent l="95250" t="0" r="57150" b="61595"/>
                <wp:wrapNone/>
                <wp:docPr id="4" name="Straight Arrow Connector 4"/>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1FB1F" id="Straight Arrow Connector 4" o:spid="_x0000_s1026" type="#_x0000_t32" style="position:absolute;margin-left:195.3pt;margin-top:.15pt;width:0;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" strokecolor="black [3040]">
                <v:stroke endarrow="open"/>
              </v:shape>
            </w:pict>
          </mc:Fallback>
        </mc:AlternateContent>
      </w:r>
    </w:p>
    <w:p w:rsidR="00793381" w:rsidRDefault="00793381" w:rsidP="00793381">
      <w:pPr>
        <w:pStyle w:val="BodyA"/>
        <w:spacing w:before="120" w:line="276" w:lineRule="auto"/>
        <w:ind w:left="2160"/>
        <w:rPr>
          <w:rFonts w:ascii="Calibri" w:hAnsi="Calibri"/>
        </w:rPr>
      </w:pPr>
    </w:p>
    <w:p w:rsidR="00793381" w:rsidRDefault="00793381" w:rsidP="00793381">
      <w:pPr>
        <w:pStyle w:val="BodyA"/>
        <w:spacing w:before="120" w:line="276" w:lineRule="auto"/>
        <w:ind w:left="2160"/>
        <w:rPr>
          <w:rFonts w:ascii="Calibri" w:hAnsi="Calibri"/>
        </w:rPr>
      </w:pPr>
    </w:p>
    <w:p w:rsidR="00793381" w:rsidRDefault="00793381" w:rsidP="00793381">
      <w:pPr>
        <w:pStyle w:val="BodyA"/>
        <w:spacing w:before="120" w:line="276" w:lineRule="auto"/>
        <w:ind w:left="2160"/>
        <w:rPr>
          <w:rFonts w:ascii="Calibri" w:hAnsi="Calibri"/>
        </w:rPr>
      </w:pPr>
    </w:p>
    <w:p w:rsidR="00793381" w:rsidRDefault="00793381" w:rsidP="00793381">
      <w:pPr>
        <w:pStyle w:val="BodyA"/>
        <w:spacing w:before="120" w:line="276" w:lineRule="auto"/>
        <w:ind w:left="2160"/>
        <w:rPr>
          <w:rFonts w:ascii="Calibri" w:hAnsi="Calibri"/>
        </w:rPr>
      </w:pPr>
    </w:p>
    <w:p w:rsidR="00A53636" w:rsidRPr="006745CD" w:rsidRDefault="00A53636" w:rsidP="00793381">
      <w:pPr>
        <w:pStyle w:val="BodyA"/>
        <w:numPr>
          <w:ilvl w:val="1"/>
          <w:numId w:val="22"/>
        </w:numPr>
        <w:spacing w:before="120" w:line="276" w:lineRule="auto"/>
        <w:ind w:left="1800"/>
        <w:rPr>
          <w:rFonts w:ascii="Calibri" w:hAnsi="Calibri"/>
          <w:highlight w:val="yellow"/>
        </w:rPr>
      </w:pPr>
      <w:r w:rsidRPr="006745CD">
        <w:rPr>
          <w:rFonts w:ascii="Calibri" w:hAnsi="Calibri"/>
          <w:highlight w:val="yellow"/>
        </w:rPr>
        <w:t xml:space="preserve">From a health perspective, polystyrene </w:t>
      </w:r>
      <w:r w:rsidR="006745CD">
        <w:rPr>
          <w:rFonts w:ascii="Calibri" w:hAnsi="Calibri"/>
          <w:highlight w:val="yellow"/>
        </w:rPr>
        <w:t xml:space="preserve">poses </w:t>
      </w:r>
      <w:r w:rsidRPr="006745CD">
        <w:rPr>
          <w:rFonts w:ascii="Calibri" w:hAnsi="Calibri"/>
          <w:highlight w:val="yellow"/>
        </w:rPr>
        <w:t xml:space="preserve">both direct and indirect </w:t>
      </w:r>
      <w:r w:rsidR="006745CD">
        <w:rPr>
          <w:rFonts w:ascii="Calibri" w:hAnsi="Calibri"/>
          <w:highlight w:val="yellow"/>
        </w:rPr>
        <w:t>risks</w:t>
      </w:r>
      <w:r w:rsidRPr="006745CD">
        <w:rPr>
          <w:rFonts w:ascii="Calibri" w:hAnsi="Calibri"/>
          <w:highlight w:val="yellow"/>
        </w:rPr>
        <w:t xml:space="preserve"> –</w:t>
      </w:r>
    </w:p>
    <w:p w:rsidR="00A53636" w:rsidRDefault="00A53636" w:rsidP="00793381">
      <w:pPr>
        <w:pStyle w:val="BodyA"/>
        <w:numPr>
          <w:ilvl w:val="0"/>
          <w:numId w:val="22"/>
        </w:numPr>
        <w:spacing w:line="276" w:lineRule="auto"/>
        <w:rPr>
          <w:rFonts w:ascii="Calibri" w:hAnsi="Calibri"/>
        </w:rPr>
      </w:pPr>
      <w:r>
        <w:rPr>
          <w:rFonts w:ascii="Calibri" w:hAnsi="Calibri"/>
        </w:rPr>
        <w:t xml:space="preserve">polystyrene </w:t>
      </w:r>
      <w:r w:rsidR="0037512C">
        <w:rPr>
          <w:rFonts w:ascii="Calibri" w:hAnsi="Calibri"/>
        </w:rPr>
        <w:t xml:space="preserve">is a petroleum-based polymer made from the styrene monomer, which </w:t>
      </w:r>
      <w:r w:rsidR="0037512C" w:rsidRPr="006745CD">
        <w:rPr>
          <w:rFonts w:ascii="Calibri" w:hAnsi="Calibri"/>
          <w:highlight w:val="yellow"/>
        </w:rPr>
        <w:t xml:space="preserve">consists of ethylene and </w:t>
      </w:r>
      <w:r w:rsidRPr="006745CD">
        <w:rPr>
          <w:rFonts w:ascii="Calibri" w:hAnsi="Calibri"/>
          <w:highlight w:val="yellow"/>
        </w:rPr>
        <w:t xml:space="preserve">benzene, </w:t>
      </w:r>
      <w:r w:rsidR="0037512C" w:rsidRPr="006745CD">
        <w:rPr>
          <w:rFonts w:ascii="Calibri" w:hAnsi="Calibri"/>
          <w:highlight w:val="yellow"/>
        </w:rPr>
        <w:t xml:space="preserve">suspected and recognized </w:t>
      </w:r>
      <w:r w:rsidRPr="006745CD">
        <w:rPr>
          <w:rFonts w:ascii="Calibri" w:hAnsi="Calibri"/>
          <w:highlight w:val="yellow"/>
        </w:rPr>
        <w:t>carcinogens [15] and neurotoxins</w:t>
      </w:r>
      <w:r w:rsidR="008C27F5">
        <w:rPr>
          <w:rFonts w:ascii="Calibri" w:hAnsi="Calibri"/>
        </w:rPr>
        <w:t xml:space="preserve"> (while our discussion focuses on styrene, we note that the American Cancer Society cites benzene as a known carcinogen)</w:t>
      </w:r>
      <w:r>
        <w:rPr>
          <w:rFonts w:ascii="Calibri" w:hAnsi="Calibri"/>
        </w:rPr>
        <w:t xml:space="preserve">; </w:t>
      </w:r>
    </w:p>
    <w:p w:rsidR="00A53636" w:rsidRPr="009F0CAA" w:rsidRDefault="00A53636" w:rsidP="00793381">
      <w:pPr>
        <w:pStyle w:val="BodyA"/>
        <w:numPr>
          <w:ilvl w:val="0"/>
          <w:numId w:val="22"/>
        </w:numPr>
        <w:spacing w:line="276" w:lineRule="auto"/>
        <w:rPr>
          <w:rFonts w:ascii="Calibri" w:hAnsi="Calibri"/>
        </w:rPr>
      </w:pPr>
      <w:r w:rsidRPr="006745CD">
        <w:rPr>
          <w:rFonts w:ascii="Calibri" w:hAnsi="Calibri"/>
          <w:highlight w:val="yellow"/>
        </w:rPr>
        <w:t>food containers made of polystyrene leach at least styrene into substances they contain</w:t>
      </w:r>
      <w:r w:rsidRPr="009F0CAA">
        <w:rPr>
          <w:rFonts w:ascii="Calibri" w:hAnsi="Calibri"/>
        </w:rPr>
        <w:t>, such as warm food and beverages, alcohol, oils, and acidic foods</w:t>
      </w:r>
      <w:r>
        <w:rPr>
          <w:rFonts w:ascii="Calibri" w:hAnsi="Calibri"/>
        </w:rPr>
        <w:t xml:space="preserve">, thus endangering human health; indeed, </w:t>
      </w:r>
      <w:r w:rsidRPr="009F0CAA">
        <w:rPr>
          <w:rFonts w:ascii="Calibri" w:hAnsi="Calibri"/>
        </w:rPr>
        <w:t>a study concerning the migration of styrene in polystyrene cups to hot drinks</w:t>
      </w:r>
      <w:r>
        <w:rPr>
          <w:rFonts w:ascii="Calibri" w:hAnsi="Calibri"/>
        </w:rPr>
        <w:t xml:space="preserve"> found t</w:t>
      </w:r>
      <w:r w:rsidRPr="009F0CAA">
        <w:rPr>
          <w:rFonts w:ascii="Calibri" w:hAnsi="Calibri"/>
        </w:rPr>
        <w:t>hat the concentration of styrene monomer in the drinks was above the EPA recommended levels, including the Maximum Contaminant Level Goal (MCLG) standard [11]</w:t>
      </w:r>
      <w:r>
        <w:rPr>
          <w:rFonts w:ascii="Calibri" w:hAnsi="Calibri"/>
        </w:rPr>
        <w:t xml:space="preserve"> (the amount of </w:t>
      </w:r>
      <w:r w:rsidRPr="009F0CAA">
        <w:rPr>
          <w:rFonts w:ascii="Calibri" w:hAnsi="Calibri"/>
        </w:rPr>
        <w:t>monomer migration from polystyrene into hot drinks depende</w:t>
      </w:r>
      <w:r>
        <w:rPr>
          <w:rFonts w:ascii="Calibri" w:hAnsi="Calibri"/>
        </w:rPr>
        <w:t>d up</w:t>
      </w:r>
      <w:r w:rsidRPr="009F0CAA">
        <w:rPr>
          <w:rFonts w:ascii="Calibri" w:hAnsi="Calibri"/>
        </w:rPr>
        <w:t>on the temperature and fat content of the drinks [12]</w:t>
      </w:r>
      <w:r>
        <w:rPr>
          <w:rFonts w:ascii="Calibri" w:hAnsi="Calibri"/>
        </w:rPr>
        <w:t>)</w:t>
      </w:r>
    </w:p>
    <w:p w:rsidR="00A53636" w:rsidRDefault="0037512C" w:rsidP="006745CD">
      <w:pPr>
        <w:pStyle w:val="BodyA"/>
        <w:numPr>
          <w:ilvl w:val="0"/>
          <w:numId w:val="22"/>
        </w:numPr>
        <w:spacing w:line="276" w:lineRule="auto"/>
        <w:rPr>
          <w:rFonts w:ascii="Calibri" w:hAnsi="Calibri"/>
        </w:rPr>
      </w:pPr>
      <w:r>
        <w:rPr>
          <w:rFonts w:ascii="Calibri" w:hAnsi="Calibri"/>
        </w:rPr>
        <w:t>s</w:t>
      </w:r>
      <w:r w:rsidR="00A53636">
        <w:rPr>
          <w:rFonts w:ascii="Calibri" w:hAnsi="Calibri"/>
        </w:rPr>
        <w:t>tyrene –</w:t>
      </w:r>
      <w:r w:rsidR="008C27F5">
        <w:rPr>
          <w:rFonts w:ascii="Calibri" w:hAnsi="Calibri"/>
        </w:rPr>
        <w:t xml:space="preserve"> </w:t>
      </w:r>
    </w:p>
    <w:p w:rsidR="00A53636" w:rsidRPr="009F0CAA" w:rsidRDefault="00A53636" w:rsidP="006745CD">
      <w:pPr>
        <w:pStyle w:val="BodyA"/>
        <w:numPr>
          <w:ilvl w:val="1"/>
          <w:numId w:val="22"/>
        </w:numPr>
        <w:spacing w:line="276" w:lineRule="auto"/>
        <w:rPr>
          <w:rFonts w:ascii="Calibri" w:hAnsi="Calibri"/>
        </w:rPr>
      </w:pPr>
      <w:r>
        <w:rPr>
          <w:rFonts w:ascii="Calibri" w:hAnsi="Calibri"/>
        </w:rPr>
        <w:t xml:space="preserve">is </w:t>
      </w:r>
      <w:r w:rsidRPr="00B80583">
        <w:rPr>
          <w:rFonts w:ascii="Calibri" w:hAnsi="Calibri"/>
        </w:rPr>
        <w:t>a</w:t>
      </w:r>
      <w:r>
        <w:rPr>
          <w:rFonts w:ascii="Calibri" w:hAnsi="Calibri"/>
        </w:rPr>
        <w:t xml:space="preserve"> synthetic,</w:t>
      </w:r>
      <w:r w:rsidRPr="00B80583">
        <w:rPr>
          <w:rFonts w:ascii="Calibri" w:hAnsi="Calibri"/>
        </w:rPr>
        <w:t xml:space="preserve"> organic compound</w:t>
      </w:r>
      <w:r>
        <w:rPr>
          <w:rFonts w:ascii="Calibri" w:hAnsi="Calibri"/>
        </w:rPr>
        <w:t>, a c</w:t>
      </w:r>
      <w:r w:rsidRPr="00B80583">
        <w:rPr>
          <w:rFonts w:ascii="Calibri" w:hAnsi="Calibri"/>
        </w:rPr>
        <w:t>olorless, oily liquid that easily evaporates [1]</w:t>
      </w:r>
      <w:r>
        <w:rPr>
          <w:rFonts w:ascii="Calibri" w:hAnsi="Calibri"/>
        </w:rPr>
        <w:t xml:space="preserve"> </w:t>
      </w:r>
    </w:p>
    <w:p w:rsidR="00A53636" w:rsidRDefault="00A53636" w:rsidP="006745CD">
      <w:pPr>
        <w:pStyle w:val="BodyA"/>
        <w:numPr>
          <w:ilvl w:val="1"/>
          <w:numId w:val="22"/>
        </w:numPr>
        <w:spacing w:line="276" w:lineRule="auto"/>
        <w:rPr>
          <w:rFonts w:ascii="Calibri" w:hAnsi="Calibri"/>
        </w:rPr>
      </w:pPr>
      <w:r>
        <w:rPr>
          <w:rFonts w:ascii="Calibri" w:hAnsi="Calibri"/>
        </w:rPr>
        <w:t xml:space="preserve">is </w:t>
      </w:r>
      <w:r w:rsidRPr="00B80583">
        <w:rPr>
          <w:rFonts w:ascii="Calibri" w:hAnsi="Calibri"/>
        </w:rPr>
        <w:t xml:space="preserve">used </w:t>
      </w:r>
      <w:r>
        <w:rPr>
          <w:rFonts w:ascii="Calibri" w:hAnsi="Calibri"/>
        </w:rPr>
        <w:t xml:space="preserve">to make a wide range of products [9], and is </w:t>
      </w:r>
      <w:r w:rsidRPr="00B80583">
        <w:rPr>
          <w:rFonts w:ascii="Calibri" w:hAnsi="Calibri"/>
        </w:rPr>
        <w:t xml:space="preserve">a precursor in the production of </w:t>
      </w:r>
      <w:r w:rsidR="0037512C">
        <w:rPr>
          <w:rFonts w:ascii="Calibri" w:hAnsi="Calibri"/>
        </w:rPr>
        <w:t>p</w:t>
      </w:r>
      <w:r w:rsidRPr="00B80583">
        <w:rPr>
          <w:rFonts w:ascii="Calibri" w:hAnsi="Calibri"/>
        </w:rPr>
        <w:t>olystyrene;</w:t>
      </w:r>
    </w:p>
    <w:p w:rsidR="00A53636" w:rsidRDefault="00A53636" w:rsidP="006745CD">
      <w:pPr>
        <w:pStyle w:val="BodyA"/>
        <w:numPr>
          <w:ilvl w:val="1"/>
          <w:numId w:val="22"/>
        </w:numPr>
        <w:spacing w:line="276" w:lineRule="auto"/>
        <w:rPr>
          <w:rFonts w:ascii="Calibri" w:hAnsi="Calibri"/>
        </w:rPr>
      </w:pPr>
      <w:r w:rsidRPr="00E304A8">
        <w:rPr>
          <w:rFonts w:ascii="Calibri" w:hAnsi="Calibri"/>
        </w:rPr>
        <w:lastRenderedPageBreak/>
        <w:t>exposure can occur through smoking, inhalation of indoor air, and ingestion of food [10]</w:t>
      </w:r>
      <w:r>
        <w:rPr>
          <w:rFonts w:ascii="Calibri" w:hAnsi="Calibri"/>
        </w:rPr>
        <w:t>;</w:t>
      </w:r>
    </w:p>
    <w:p w:rsidR="00A53636" w:rsidRPr="009F0CAA" w:rsidRDefault="00A53636" w:rsidP="006745CD">
      <w:pPr>
        <w:pStyle w:val="BodyA"/>
        <w:numPr>
          <w:ilvl w:val="2"/>
          <w:numId w:val="22"/>
        </w:numPr>
        <w:spacing w:line="276" w:lineRule="auto"/>
        <w:rPr>
          <w:rFonts w:ascii="Calibri" w:hAnsi="Calibri"/>
        </w:rPr>
      </w:pPr>
      <w:r w:rsidRPr="006745CD">
        <w:rPr>
          <w:rFonts w:ascii="Calibri" w:hAnsi="Calibri"/>
          <w:highlight w:val="yellow"/>
        </w:rPr>
        <w:t xml:space="preserve">vapor exposure </w:t>
      </w:r>
      <w:r w:rsidR="006745CD" w:rsidRPr="006745CD">
        <w:rPr>
          <w:rFonts w:ascii="Calibri" w:hAnsi="Calibri"/>
          <w:highlight w:val="yellow"/>
        </w:rPr>
        <w:t xml:space="preserve">to styrene </w:t>
      </w:r>
      <w:r w:rsidRPr="006745CD">
        <w:rPr>
          <w:rFonts w:ascii="Calibri" w:hAnsi="Calibri"/>
          <w:highlight w:val="yellow"/>
        </w:rPr>
        <w:t>can cause irritation of the eyes, nose, throat, skin, as well as toxic effects on the liver, and can act as a central nervous system depressant that also causes neurological impairment</w:t>
      </w:r>
      <w:r w:rsidRPr="009F0CAA">
        <w:rPr>
          <w:rFonts w:ascii="Calibri" w:hAnsi="Calibri"/>
        </w:rPr>
        <w:t xml:space="preserve"> [13]</w:t>
      </w:r>
    </w:p>
    <w:p w:rsidR="00A53636" w:rsidRDefault="00A53636" w:rsidP="006745CD">
      <w:pPr>
        <w:pStyle w:val="BodyA"/>
        <w:numPr>
          <w:ilvl w:val="2"/>
          <w:numId w:val="22"/>
        </w:numPr>
        <w:spacing w:line="276" w:lineRule="auto"/>
        <w:rPr>
          <w:rFonts w:ascii="Calibri" w:hAnsi="Calibri"/>
        </w:rPr>
      </w:pPr>
      <w:r w:rsidRPr="00B80583">
        <w:rPr>
          <w:rFonts w:ascii="Calibri" w:hAnsi="Calibri"/>
        </w:rPr>
        <w:t>via the cytochrome P450 metabolic pathway</w:t>
      </w:r>
      <w:r>
        <w:rPr>
          <w:rFonts w:ascii="Calibri" w:hAnsi="Calibri"/>
        </w:rPr>
        <w:t xml:space="preserve"> [16</w:t>
      </w:r>
      <w:r w:rsidRPr="006745CD">
        <w:rPr>
          <w:rFonts w:ascii="Calibri" w:hAnsi="Calibri"/>
          <w:highlight w:val="yellow"/>
        </w:rPr>
        <w:t>],</w:t>
      </w:r>
      <w:r w:rsidR="006745CD" w:rsidRPr="006745CD">
        <w:rPr>
          <w:rFonts w:ascii="Calibri" w:hAnsi="Calibri"/>
          <w:highlight w:val="yellow"/>
        </w:rPr>
        <w:t xml:space="preserve"> styrene</w:t>
      </w:r>
      <w:r w:rsidRPr="006745CD">
        <w:rPr>
          <w:rFonts w:ascii="Calibri" w:hAnsi="Calibri"/>
          <w:highlight w:val="yellow"/>
        </w:rPr>
        <w:t xml:space="preserve"> is </w:t>
      </w:r>
      <w:r w:rsidR="006745CD" w:rsidRPr="006745CD">
        <w:rPr>
          <w:rFonts w:ascii="Calibri" w:hAnsi="Calibri"/>
          <w:highlight w:val="yellow"/>
        </w:rPr>
        <w:t xml:space="preserve">primarily </w:t>
      </w:r>
      <w:r w:rsidRPr="006745CD">
        <w:rPr>
          <w:rFonts w:ascii="Calibri" w:hAnsi="Calibri"/>
          <w:highlight w:val="yellow"/>
        </w:rPr>
        <w:t xml:space="preserve"> metabolized in humans into styrene oxide, which is toxic, mutagenic and possibly carcinogenic</w:t>
      </w:r>
      <w:r>
        <w:rPr>
          <w:rFonts w:ascii="Calibri" w:hAnsi="Calibri"/>
        </w:rPr>
        <w:t xml:space="preserve"> </w:t>
      </w:r>
      <w:r w:rsidRPr="00B80583">
        <w:rPr>
          <w:rFonts w:ascii="Calibri" w:hAnsi="Calibri"/>
        </w:rPr>
        <w:t>[2] [3] [4] [5]</w:t>
      </w:r>
      <w:r>
        <w:rPr>
          <w:rFonts w:ascii="Calibri" w:hAnsi="Calibri"/>
        </w:rPr>
        <w:t>;</w:t>
      </w:r>
    </w:p>
    <w:p w:rsidR="00A53636" w:rsidRPr="009F0CAA" w:rsidRDefault="0037512C" w:rsidP="00793381">
      <w:pPr>
        <w:pStyle w:val="BodyA"/>
        <w:numPr>
          <w:ilvl w:val="1"/>
          <w:numId w:val="22"/>
        </w:numPr>
        <w:spacing w:line="276" w:lineRule="auto"/>
        <w:rPr>
          <w:rFonts w:ascii="Calibri" w:hAnsi="Calibri"/>
        </w:rPr>
      </w:pPr>
      <w:r w:rsidRPr="006745CD">
        <w:rPr>
          <w:rFonts w:ascii="Calibri" w:hAnsi="Calibri"/>
          <w:highlight w:val="yellow"/>
        </w:rPr>
        <w:t>p</w:t>
      </w:r>
      <w:r w:rsidR="00A53636" w:rsidRPr="006745CD">
        <w:rPr>
          <w:rFonts w:ascii="Calibri" w:hAnsi="Calibri"/>
          <w:highlight w:val="yellow"/>
        </w:rPr>
        <w:t>olystyrene makes its way into the human food chain when we ingest marine animals</w:t>
      </w:r>
      <w:r w:rsidR="00A53636" w:rsidRPr="009F0CAA">
        <w:rPr>
          <w:rFonts w:ascii="Calibri" w:hAnsi="Calibri"/>
        </w:rPr>
        <w:t>.</w:t>
      </w:r>
    </w:p>
    <w:p w:rsidR="00A53636" w:rsidRDefault="00A53636" w:rsidP="00793381">
      <w:pPr>
        <w:pStyle w:val="BodyA"/>
        <w:numPr>
          <w:ilvl w:val="0"/>
          <w:numId w:val="22"/>
        </w:numPr>
        <w:spacing w:line="276" w:lineRule="auto"/>
        <w:rPr>
          <w:rFonts w:ascii="Calibri" w:hAnsi="Calibri"/>
        </w:rPr>
      </w:pPr>
      <w:r w:rsidRPr="006745CD">
        <w:rPr>
          <w:rFonts w:ascii="Calibri" w:hAnsi="Calibri"/>
          <w:highlight w:val="yellow"/>
        </w:rPr>
        <w:t>Polystyrene also has a wide range of significant adverse environmental consequences</w:t>
      </w:r>
      <w:r>
        <w:rPr>
          <w:rFonts w:ascii="Calibri" w:hAnsi="Calibri"/>
        </w:rPr>
        <w:t xml:space="preserve"> –</w:t>
      </w:r>
    </w:p>
    <w:p w:rsidR="00A53636" w:rsidRPr="009F0CAA" w:rsidRDefault="00A53636" w:rsidP="00793381">
      <w:pPr>
        <w:pStyle w:val="BodyA"/>
        <w:numPr>
          <w:ilvl w:val="2"/>
          <w:numId w:val="22"/>
        </w:numPr>
        <w:spacing w:line="276" w:lineRule="auto"/>
        <w:rPr>
          <w:rFonts w:ascii="Calibri" w:hAnsi="Calibri"/>
        </w:rPr>
      </w:pPr>
      <w:r>
        <w:rPr>
          <w:rFonts w:ascii="Calibri" w:hAnsi="Calibri"/>
        </w:rPr>
        <w:t xml:space="preserve">from the </w:t>
      </w:r>
      <w:r w:rsidRPr="009F0CAA">
        <w:rPr>
          <w:rFonts w:ascii="Calibri" w:hAnsi="Calibri"/>
        </w:rPr>
        <w:t>manufacturing</w:t>
      </w:r>
      <w:r>
        <w:rPr>
          <w:rFonts w:ascii="Calibri" w:hAnsi="Calibri"/>
        </w:rPr>
        <w:t xml:space="preserve"> process alone</w:t>
      </w:r>
      <w:r w:rsidRPr="009F0CAA">
        <w:rPr>
          <w:rFonts w:ascii="Calibri" w:hAnsi="Calibri"/>
        </w:rPr>
        <w:t xml:space="preserve"> – in terms of energy consumption, contribution to greenhouse gases, and total environmental impact – </w:t>
      </w:r>
      <w:r>
        <w:rPr>
          <w:rFonts w:ascii="Calibri" w:hAnsi="Calibri"/>
        </w:rPr>
        <w:t xml:space="preserve">the negative impacts </w:t>
      </w:r>
      <w:r w:rsidRPr="009F0CAA">
        <w:rPr>
          <w:rFonts w:ascii="Calibri" w:hAnsi="Calibri"/>
        </w:rPr>
        <w:t>are second only to those associated with aluminum production</w:t>
      </w:r>
      <w:r>
        <w:rPr>
          <w:rFonts w:ascii="Calibri" w:hAnsi="Calibri"/>
        </w:rPr>
        <w:t xml:space="preserve"> </w:t>
      </w:r>
      <w:r w:rsidRPr="009F0CAA">
        <w:rPr>
          <w:rFonts w:ascii="Calibri" w:hAnsi="Calibri"/>
        </w:rPr>
        <w:t>[14]</w:t>
      </w:r>
      <w:r>
        <w:rPr>
          <w:rFonts w:ascii="Calibri" w:hAnsi="Calibri"/>
        </w:rPr>
        <w:t>;</w:t>
      </w:r>
    </w:p>
    <w:p w:rsidR="00A53636" w:rsidRPr="009F0CAA" w:rsidRDefault="00A53636" w:rsidP="00793381">
      <w:pPr>
        <w:pStyle w:val="BodyA"/>
        <w:numPr>
          <w:ilvl w:val="1"/>
          <w:numId w:val="22"/>
        </w:numPr>
        <w:spacing w:line="276" w:lineRule="auto"/>
        <w:rPr>
          <w:rFonts w:ascii="Calibri" w:hAnsi="Calibri"/>
        </w:rPr>
      </w:pPr>
      <w:r>
        <w:rPr>
          <w:rFonts w:ascii="Calibri" w:hAnsi="Calibri"/>
        </w:rPr>
        <w:t xml:space="preserve">it </w:t>
      </w:r>
      <w:r w:rsidRPr="009F0CAA">
        <w:rPr>
          <w:rFonts w:ascii="Calibri" w:hAnsi="Calibri"/>
        </w:rPr>
        <w:t xml:space="preserve">is a major component of both </w:t>
      </w:r>
      <w:r w:rsidRPr="006745CD">
        <w:rPr>
          <w:rFonts w:ascii="Calibri" w:hAnsi="Calibri"/>
          <w:highlight w:val="yellow"/>
        </w:rPr>
        <w:t>terrestrial and marine litter</w:t>
      </w:r>
      <w:r w:rsidRPr="009F0CAA">
        <w:rPr>
          <w:rFonts w:ascii="Calibri" w:hAnsi="Calibri"/>
        </w:rPr>
        <w:t xml:space="preserve"> (35% of fast food restaurants’ waste does not end up in landfills.) [16]</w:t>
      </w:r>
    </w:p>
    <w:p w:rsidR="00A53636" w:rsidRPr="009F0CAA" w:rsidRDefault="00A53636" w:rsidP="00793381">
      <w:pPr>
        <w:pStyle w:val="BodyA"/>
        <w:numPr>
          <w:ilvl w:val="1"/>
          <w:numId w:val="22"/>
        </w:numPr>
        <w:spacing w:line="276" w:lineRule="auto"/>
        <w:rPr>
          <w:rFonts w:ascii="Calibri" w:hAnsi="Calibri"/>
        </w:rPr>
      </w:pPr>
      <w:r>
        <w:rPr>
          <w:rFonts w:ascii="Calibri" w:hAnsi="Calibri"/>
        </w:rPr>
        <w:t xml:space="preserve">it </w:t>
      </w:r>
      <w:r w:rsidRPr="009F0CAA">
        <w:rPr>
          <w:rFonts w:ascii="Calibri" w:hAnsi="Calibri"/>
        </w:rPr>
        <w:t xml:space="preserve">is </w:t>
      </w:r>
      <w:r w:rsidRPr="006745CD">
        <w:rPr>
          <w:rFonts w:ascii="Calibri" w:hAnsi="Calibri"/>
          <w:highlight w:val="yellow"/>
        </w:rPr>
        <w:t>rendered non-recyclable by grease contamination and is not biodegradable</w:t>
      </w:r>
      <w:r w:rsidRPr="009F0CAA">
        <w:rPr>
          <w:rFonts w:ascii="Calibri" w:hAnsi="Calibri"/>
        </w:rPr>
        <w:t xml:space="preserve"> </w:t>
      </w:r>
      <w:r>
        <w:rPr>
          <w:rFonts w:ascii="Calibri" w:hAnsi="Calibri"/>
        </w:rPr>
        <w:t>–</w:t>
      </w:r>
      <w:r w:rsidRPr="009F0CAA">
        <w:rPr>
          <w:rFonts w:ascii="Calibri" w:hAnsi="Calibri"/>
        </w:rPr>
        <w:t xml:space="preserve"> </w:t>
      </w:r>
      <w:r>
        <w:rPr>
          <w:rFonts w:ascii="Calibri" w:hAnsi="Calibri"/>
        </w:rPr>
        <w:t xml:space="preserve">useful just for minutes or hours, it </w:t>
      </w:r>
      <w:r w:rsidRPr="009F0CAA">
        <w:rPr>
          <w:rFonts w:ascii="Calibri" w:hAnsi="Calibri"/>
        </w:rPr>
        <w:t>requir</w:t>
      </w:r>
      <w:r>
        <w:rPr>
          <w:rFonts w:ascii="Calibri" w:hAnsi="Calibri"/>
        </w:rPr>
        <w:t>es</w:t>
      </w:r>
      <w:r w:rsidRPr="009F0CAA">
        <w:rPr>
          <w:rFonts w:ascii="Calibri" w:hAnsi="Calibri"/>
        </w:rPr>
        <w:t xml:space="preserve"> decades or even hundreds of years to deteriorate in the environment and landfills, occup</w:t>
      </w:r>
      <w:r>
        <w:rPr>
          <w:rFonts w:ascii="Calibri" w:hAnsi="Calibri"/>
        </w:rPr>
        <w:t>ying</w:t>
      </w:r>
      <w:r w:rsidRPr="009F0CAA">
        <w:rPr>
          <w:rFonts w:ascii="Calibri" w:hAnsi="Calibri"/>
        </w:rPr>
        <w:t xml:space="preserve"> more space in landfills than paper</w:t>
      </w:r>
      <w:r>
        <w:rPr>
          <w:rFonts w:ascii="Calibri" w:hAnsi="Calibri"/>
        </w:rPr>
        <w:t>;</w:t>
      </w:r>
    </w:p>
    <w:p w:rsidR="00A53636" w:rsidRPr="009F0CAA" w:rsidRDefault="00A53636" w:rsidP="00793381">
      <w:pPr>
        <w:pStyle w:val="BodyA"/>
        <w:numPr>
          <w:ilvl w:val="1"/>
          <w:numId w:val="22"/>
        </w:numPr>
        <w:spacing w:line="276" w:lineRule="auto"/>
        <w:rPr>
          <w:rFonts w:ascii="Calibri" w:hAnsi="Calibri"/>
        </w:rPr>
      </w:pPr>
      <w:r>
        <w:rPr>
          <w:rFonts w:ascii="Calibri" w:hAnsi="Calibri"/>
        </w:rPr>
        <w:t xml:space="preserve">it </w:t>
      </w:r>
      <w:r w:rsidRPr="006745CD">
        <w:rPr>
          <w:rFonts w:ascii="Calibri" w:hAnsi="Calibri"/>
          <w:highlight w:val="yellow"/>
        </w:rPr>
        <w:t>reenters the environment when water or mechanical forces infringe on landfills</w:t>
      </w:r>
      <w:r>
        <w:rPr>
          <w:rFonts w:ascii="Calibri" w:hAnsi="Calibri"/>
        </w:rPr>
        <w:t xml:space="preserve">; </w:t>
      </w:r>
    </w:p>
    <w:p w:rsidR="00A53636" w:rsidRPr="009F0CAA" w:rsidRDefault="00A53636" w:rsidP="00793381">
      <w:pPr>
        <w:pStyle w:val="BodyA"/>
        <w:numPr>
          <w:ilvl w:val="1"/>
          <w:numId w:val="22"/>
        </w:numPr>
        <w:spacing w:line="276" w:lineRule="auto"/>
        <w:rPr>
          <w:rFonts w:ascii="Calibri" w:hAnsi="Calibri"/>
        </w:rPr>
      </w:pPr>
      <w:r>
        <w:rPr>
          <w:rFonts w:ascii="Calibri" w:hAnsi="Calibri"/>
        </w:rPr>
        <w:t xml:space="preserve">it </w:t>
      </w:r>
      <w:r w:rsidRPr="009F0CAA">
        <w:rPr>
          <w:rFonts w:ascii="Calibri" w:hAnsi="Calibri"/>
        </w:rPr>
        <w:t>is lightweight and floats readily, traveling through storm drains and other conveyances, even</w:t>
      </w:r>
      <w:r>
        <w:rPr>
          <w:rFonts w:ascii="Calibri" w:hAnsi="Calibri"/>
        </w:rPr>
        <w:t>tually reaching the ocean;</w:t>
      </w:r>
    </w:p>
    <w:p w:rsidR="00A53636" w:rsidRPr="009F0CAA" w:rsidRDefault="00A53636" w:rsidP="00793381">
      <w:pPr>
        <w:pStyle w:val="BodyA"/>
        <w:numPr>
          <w:ilvl w:val="1"/>
          <w:numId w:val="22"/>
        </w:numPr>
        <w:spacing w:line="276" w:lineRule="auto"/>
        <w:rPr>
          <w:rFonts w:ascii="Calibri" w:hAnsi="Calibri"/>
        </w:rPr>
      </w:pPr>
      <w:r w:rsidRPr="006745CD">
        <w:rPr>
          <w:rFonts w:ascii="Calibri" w:hAnsi="Calibri"/>
          <w:highlight w:val="yellow"/>
        </w:rPr>
        <w:t>on its way to the ocean it breaks down into small non-biodegradable pieces that harm or kill marine wildlife</w:t>
      </w:r>
      <w:r>
        <w:rPr>
          <w:rFonts w:ascii="Calibri" w:hAnsi="Calibri"/>
        </w:rPr>
        <w:t xml:space="preserve">; and </w:t>
      </w:r>
      <w:r w:rsidRPr="009F0CAA">
        <w:rPr>
          <w:rFonts w:ascii="Calibri" w:hAnsi="Calibri"/>
        </w:rPr>
        <w:t xml:space="preserve"> </w:t>
      </w:r>
    </w:p>
    <w:p w:rsidR="00A53636" w:rsidRDefault="00A53636" w:rsidP="00793381">
      <w:pPr>
        <w:pStyle w:val="BodyA"/>
        <w:numPr>
          <w:ilvl w:val="1"/>
          <w:numId w:val="22"/>
        </w:numPr>
        <w:spacing w:line="276" w:lineRule="auto"/>
        <w:rPr>
          <w:rFonts w:ascii="Calibri" w:hAnsi="Calibri"/>
        </w:rPr>
      </w:pPr>
      <w:r w:rsidRPr="009F0CAA">
        <w:rPr>
          <w:rFonts w:ascii="Calibri" w:hAnsi="Calibri"/>
        </w:rPr>
        <w:t xml:space="preserve">along with other plastics, </w:t>
      </w:r>
      <w:r>
        <w:rPr>
          <w:rFonts w:ascii="Calibri" w:hAnsi="Calibri"/>
        </w:rPr>
        <w:t xml:space="preserve">it is </w:t>
      </w:r>
      <w:r w:rsidRPr="009F0CAA">
        <w:rPr>
          <w:rFonts w:ascii="Calibri" w:hAnsi="Calibri"/>
        </w:rPr>
        <w:t>the largest compo</w:t>
      </w:r>
      <w:r>
        <w:rPr>
          <w:rFonts w:ascii="Calibri" w:hAnsi="Calibri"/>
        </w:rPr>
        <w:t>nent of marine debris worldwide.</w:t>
      </w:r>
    </w:p>
    <w:p w:rsidR="002A55B4" w:rsidRDefault="002A55B4" w:rsidP="00793381">
      <w:pPr>
        <w:ind w:left="1440"/>
      </w:pPr>
      <w:r>
        <w:t xml:space="preserve">We think the adverse public health and environmental effects alone associated with polystyrene drink and food containers more than warrant addressing their use in our three communities.  </w:t>
      </w:r>
    </w:p>
    <w:p w:rsidR="00A53636" w:rsidRPr="009F0CAA" w:rsidRDefault="00A53636" w:rsidP="00793381">
      <w:pPr>
        <w:pStyle w:val="BodyA"/>
        <w:ind w:left="1440"/>
        <w:rPr>
          <w:rFonts w:ascii="Calibri" w:hAnsi="Calibri"/>
          <w:position w:val="-4"/>
        </w:rPr>
      </w:pPr>
      <w:r w:rsidRPr="009F0CAA">
        <w:rPr>
          <w:rFonts w:ascii="Calibri" w:hAnsi="Calibri"/>
          <w:b/>
          <w:bCs/>
          <w:position w:val="-4"/>
        </w:rPr>
        <w:t>References</w:t>
      </w:r>
      <w:r>
        <w:rPr>
          <w:rFonts w:ascii="Calibri" w:hAnsi="Calibri"/>
          <w:b/>
          <w:bCs/>
          <w:position w:val="-4"/>
        </w:rPr>
        <w:t xml:space="preserve"> and Notes</w:t>
      </w:r>
    </w:p>
    <w:p w:rsidR="00A53636" w:rsidRPr="009F0CAA" w:rsidRDefault="00A53636" w:rsidP="00793381">
      <w:pPr>
        <w:pStyle w:val="BodyA"/>
        <w:ind w:left="1440"/>
        <w:rPr>
          <w:rFonts w:ascii="Calibri" w:hAnsi="Calibri"/>
          <w:position w:val="-4"/>
        </w:rPr>
      </w:pPr>
    </w:p>
    <w:p w:rsidR="00A53636" w:rsidRPr="009F0CAA" w:rsidRDefault="00A53636" w:rsidP="00793381">
      <w:pPr>
        <w:pStyle w:val="BodyA"/>
        <w:spacing w:after="120"/>
        <w:ind w:left="2160"/>
        <w:rPr>
          <w:rFonts w:ascii="Calibri" w:hAnsi="Calibri"/>
          <w:color w:val="252525"/>
          <w:u w:color="252525"/>
        </w:rPr>
      </w:pPr>
      <w:r w:rsidRPr="009F0CAA">
        <w:rPr>
          <w:rFonts w:ascii="Calibri" w:hAnsi="Calibri"/>
        </w:rPr>
        <w:t xml:space="preserve">[1] </w:t>
      </w:r>
      <w:hyperlink r:id="rId10" w:history="1">
        <w:r w:rsidRPr="009F0CAA">
          <w:rPr>
            <w:rStyle w:val="Hyperlink0"/>
            <w:rFonts w:ascii="Calibri" w:hAnsi="Calibri"/>
          </w:rPr>
          <w:t>New Process for Producing Styrene Cuts Costs, Saves Energy, and Reduces Greenhouse Gas Emissions</w:t>
        </w:r>
      </w:hyperlink>
      <w:r w:rsidRPr="009F0CAA">
        <w:rPr>
          <w:rFonts w:ascii="Calibri" w:hAnsi="Calibri"/>
          <w:color w:val="252525"/>
          <w:u w:color="252525"/>
        </w:rPr>
        <w:t>, U.S. Department of Energy.</w:t>
      </w:r>
    </w:p>
    <w:p w:rsidR="00A53636" w:rsidRPr="009F0CAA" w:rsidRDefault="00A53636" w:rsidP="00793381">
      <w:pPr>
        <w:pStyle w:val="BodyA"/>
        <w:spacing w:after="120"/>
        <w:ind w:left="2160"/>
        <w:rPr>
          <w:rFonts w:ascii="Calibri" w:hAnsi="Calibri"/>
        </w:rPr>
      </w:pPr>
      <w:r w:rsidRPr="009F0CAA">
        <w:rPr>
          <w:rFonts w:ascii="Calibri" w:hAnsi="Calibri"/>
          <w:color w:val="252525"/>
          <w:u w:color="252525"/>
        </w:rPr>
        <w:t xml:space="preserve">[2] </w:t>
      </w:r>
      <w:r w:rsidRPr="009F0CAA">
        <w:rPr>
          <w:rFonts w:ascii="Calibri" w:hAnsi="Calibri"/>
          <w:lang w:val="da-DK"/>
        </w:rPr>
        <w:t xml:space="preserve">Denis H. James; William M. Castor (2007), "Styrene", </w:t>
      </w:r>
      <w:hyperlink r:id="rId11" w:history="1">
        <w:r w:rsidRPr="009F0CAA">
          <w:rPr>
            <w:rStyle w:val="Hyperlink3"/>
            <w:rFonts w:ascii="Calibri" w:hAnsi="Calibri"/>
            <w:i w:val="0"/>
            <w:iCs w:val="0"/>
          </w:rPr>
          <w:t>Ullmann's Encyclopedia of Industrial Chemistry</w:t>
        </w:r>
      </w:hyperlink>
      <w:r w:rsidRPr="009F0CAA">
        <w:rPr>
          <w:rFonts w:ascii="Calibri" w:hAnsi="Calibri"/>
        </w:rPr>
        <w:t xml:space="preserve"> (7th ed.), Wiley, p. 1</w:t>
      </w:r>
    </w:p>
    <w:p w:rsidR="00A53636" w:rsidRPr="009F0CAA" w:rsidRDefault="00A53636" w:rsidP="00793381">
      <w:pPr>
        <w:pStyle w:val="BodyA"/>
        <w:spacing w:after="120"/>
        <w:ind w:left="2160"/>
        <w:rPr>
          <w:rFonts w:ascii="Calibri" w:hAnsi="Calibri"/>
          <w:color w:val="252525"/>
          <w:u w:color="252525"/>
        </w:rPr>
      </w:pPr>
      <w:r w:rsidRPr="009F0CAA">
        <w:rPr>
          <w:rFonts w:ascii="Calibri" w:hAnsi="Calibri"/>
        </w:rPr>
        <w:t xml:space="preserve">[3] </w:t>
      </w:r>
      <w:hyperlink r:id="rId12" w:history="1">
        <w:r w:rsidRPr="009F0CAA">
          <w:rPr>
            <w:rStyle w:val="Hyperlink4"/>
            <w:rFonts w:ascii="Calibri" w:hAnsi="Calibri"/>
          </w:rPr>
          <w:t>MSDS</w:t>
        </w:r>
      </w:hyperlink>
      <w:r w:rsidRPr="009F0CAA">
        <w:rPr>
          <w:rFonts w:ascii="Calibri" w:hAnsi="Calibri"/>
          <w:color w:val="252525"/>
          <w:u w:color="252525"/>
        </w:rPr>
        <w:t xml:space="preserve"> (1 November 2010). </w:t>
      </w:r>
      <w:hyperlink r:id="rId13" w:history="1">
        <w:r w:rsidRPr="009F0CAA">
          <w:rPr>
            <w:rStyle w:val="Hyperlink0"/>
            <w:rFonts w:ascii="Calibri" w:hAnsi="Calibri"/>
          </w:rPr>
          <w:t>"Material Safety Data Sheet Styrene (monomer) MSDS"</w:t>
        </w:r>
      </w:hyperlink>
      <w:r w:rsidRPr="009F0CAA">
        <w:rPr>
          <w:rFonts w:ascii="Calibri" w:hAnsi="Calibri"/>
          <w:color w:val="252525"/>
          <w:u w:color="252525"/>
        </w:rPr>
        <w:t xml:space="preserve">. </w:t>
      </w:r>
      <w:hyperlink r:id="rId14" w:history="1">
        <w:r w:rsidRPr="009F0CAA">
          <w:rPr>
            <w:rStyle w:val="Hyperlink4"/>
            <w:rFonts w:ascii="Calibri" w:hAnsi="Calibri"/>
          </w:rPr>
          <w:t>MSDS</w:t>
        </w:r>
      </w:hyperlink>
      <w:r w:rsidRPr="009F0CAA">
        <w:rPr>
          <w:rFonts w:ascii="Calibri" w:hAnsi="Calibri"/>
          <w:color w:val="252525"/>
          <w:u w:color="252525"/>
        </w:rPr>
        <w:t>. Retrieved 2011-06-11.</w:t>
      </w:r>
    </w:p>
    <w:p w:rsidR="00A53636" w:rsidRPr="009F0CAA" w:rsidRDefault="00A53636" w:rsidP="00793381">
      <w:pPr>
        <w:pStyle w:val="BodyA"/>
        <w:spacing w:after="120"/>
        <w:ind w:left="2160"/>
        <w:rPr>
          <w:rFonts w:ascii="Calibri" w:hAnsi="Calibri"/>
          <w:color w:val="252525"/>
          <w:u w:color="252525"/>
        </w:rPr>
      </w:pPr>
      <w:r w:rsidRPr="009F0CAA">
        <w:rPr>
          <w:rFonts w:ascii="Calibri" w:hAnsi="Calibri"/>
          <w:color w:val="252525"/>
          <w:u w:color="252525"/>
        </w:rPr>
        <w:t xml:space="preserve">[4] </w:t>
      </w:r>
      <w:hyperlink r:id="rId15" w:history="1">
        <w:r w:rsidRPr="009F0CAA">
          <w:rPr>
            <w:rStyle w:val="Hyperlink4"/>
            <w:rFonts w:ascii="Calibri" w:hAnsi="Calibri"/>
          </w:rPr>
          <w:t>US EPA</w:t>
        </w:r>
      </w:hyperlink>
      <w:r w:rsidRPr="009F0CAA">
        <w:rPr>
          <w:rFonts w:ascii="Calibri" w:hAnsi="Calibri"/>
          <w:color w:val="252525"/>
          <w:u w:color="252525"/>
        </w:rPr>
        <w:t xml:space="preserve"> (December 1994). </w:t>
      </w:r>
      <w:hyperlink r:id="rId16" w:history="1">
        <w:r w:rsidRPr="009F0CAA">
          <w:rPr>
            <w:rStyle w:val="Hyperlink0"/>
            <w:rFonts w:ascii="Calibri" w:hAnsi="Calibri"/>
          </w:rPr>
          <w:t>"OPPT Chemical Fact Sheets (Styrene) Fact Sheet: Support Document (CAS No. 100-42-5)"</w:t>
        </w:r>
      </w:hyperlink>
      <w:r w:rsidRPr="009F0CAA">
        <w:rPr>
          <w:rFonts w:ascii="Calibri" w:hAnsi="Calibri"/>
          <w:color w:val="252525"/>
          <w:u w:color="252525"/>
        </w:rPr>
        <w:t xml:space="preserve"> (PDF). </w:t>
      </w:r>
      <w:hyperlink r:id="rId17" w:history="1">
        <w:r w:rsidRPr="009F0CAA">
          <w:rPr>
            <w:rStyle w:val="Hyperlink4"/>
            <w:rFonts w:ascii="Calibri" w:hAnsi="Calibri"/>
          </w:rPr>
          <w:t>US EPA</w:t>
        </w:r>
      </w:hyperlink>
      <w:r w:rsidRPr="009F0CAA">
        <w:rPr>
          <w:rFonts w:ascii="Calibri" w:hAnsi="Calibri"/>
          <w:color w:val="252525"/>
          <w:u w:color="252525"/>
        </w:rPr>
        <w:t>. Retrieved 2011-06-11.</w:t>
      </w:r>
    </w:p>
    <w:p w:rsidR="00A53636" w:rsidRPr="009F0CAA" w:rsidRDefault="00A53636" w:rsidP="00793381">
      <w:pPr>
        <w:pStyle w:val="BodyA"/>
        <w:spacing w:after="120"/>
        <w:ind w:left="2160"/>
        <w:rPr>
          <w:rFonts w:ascii="Calibri" w:hAnsi="Calibri"/>
        </w:rPr>
      </w:pPr>
      <w:r w:rsidRPr="009F0CAA">
        <w:rPr>
          <w:rFonts w:ascii="Calibri" w:hAnsi="Calibri"/>
          <w:color w:val="252525"/>
          <w:u w:color="252525"/>
        </w:rPr>
        <w:t xml:space="preserve">[5] </w:t>
      </w:r>
      <w:hyperlink r:id="rId18" w:history="1">
        <w:r w:rsidRPr="009F0CAA">
          <w:rPr>
            <w:rStyle w:val="Hyperlink5"/>
            <w:rFonts w:ascii="Calibri" w:hAnsi="Calibri"/>
          </w:rPr>
          <w:t>http://www.atsdr.cdc.gov/tfacts53.pdf</w:t>
        </w:r>
      </w:hyperlink>
    </w:p>
    <w:p w:rsidR="00A53636" w:rsidRPr="009F0CAA" w:rsidRDefault="00A53636" w:rsidP="00793381">
      <w:pPr>
        <w:pStyle w:val="BodyA"/>
        <w:spacing w:after="120"/>
        <w:ind w:left="2160"/>
        <w:rPr>
          <w:rFonts w:ascii="Calibri" w:hAnsi="Calibri"/>
        </w:rPr>
      </w:pPr>
      <w:r w:rsidRPr="009F0CAA">
        <w:rPr>
          <w:rFonts w:ascii="Calibri" w:hAnsi="Calibri"/>
        </w:rPr>
        <w:t>[6] RoC 12</w:t>
      </w:r>
      <w:r>
        <w:rPr>
          <w:rFonts w:ascii="Calibri" w:hAnsi="Calibri"/>
        </w:rPr>
        <w:t xml:space="preserve"> </w:t>
      </w:r>
      <w:r w:rsidRPr="009F0CAA">
        <w:rPr>
          <w:rFonts w:ascii="Calibri" w:hAnsi="Calibri"/>
        </w:rPr>
        <w:t>(</w:t>
      </w:r>
      <w:hyperlink r:id="rId19" w:history="1">
        <w:r w:rsidRPr="009F0CAA">
          <w:rPr>
            <w:rStyle w:val="Hyperlink0"/>
            <w:rFonts w:ascii="Calibri" w:hAnsi="Calibri"/>
          </w:rPr>
          <w:t>http://ntp.niehs.nih.gov/ntp/roc/content/profiles/styrene.pdf</w:t>
        </w:r>
      </w:hyperlink>
      <w:r w:rsidRPr="009F0CAA">
        <w:rPr>
          <w:rFonts w:ascii="Calibri" w:hAnsi="Calibri"/>
        </w:rPr>
        <w:t>)</w:t>
      </w:r>
    </w:p>
    <w:p w:rsidR="00A53636" w:rsidRPr="009F0CAA" w:rsidRDefault="00A53636" w:rsidP="00793381">
      <w:pPr>
        <w:pStyle w:val="BodyA"/>
        <w:spacing w:after="120"/>
        <w:ind w:left="2160"/>
        <w:rPr>
          <w:rFonts w:ascii="Calibri" w:hAnsi="Calibri"/>
        </w:rPr>
      </w:pPr>
      <w:r w:rsidRPr="009F0CAA">
        <w:rPr>
          <w:rFonts w:ascii="Calibri" w:hAnsi="Calibri"/>
        </w:rPr>
        <w:t>[7] RoC 13</w:t>
      </w:r>
      <w:r>
        <w:rPr>
          <w:rFonts w:ascii="Calibri" w:hAnsi="Calibri"/>
        </w:rPr>
        <w:t xml:space="preserve"> </w:t>
      </w:r>
      <w:r w:rsidRPr="009F0CAA">
        <w:rPr>
          <w:rFonts w:ascii="Calibri" w:hAnsi="Calibri"/>
        </w:rPr>
        <w:t>(</w:t>
      </w:r>
      <w:hyperlink r:id="rId20" w:history="1">
        <w:r w:rsidRPr="009F0CAA">
          <w:rPr>
            <w:rStyle w:val="Hyperlink0"/>
            <w:rFonts w:ascii="Calibri" w:hAnsi="Calibri"/>
          </w:rPr>
          <w:t>http://ntp.niehs.nih.gov/pubhealth/roc/roc13/index.html</w:t>
        </w:r>
      </w:hyperlink>
      <w:r w:rsidRPr="009F0CAA">
        <w:rPr>
          <w:rFonts w:ascii="Calibri" w:hAnsi="Calibri"/>
        </w:rPr>
        <w:t xml:space="preserve">) </w:t>
      </w:r>
    </w:p>
    <w:p w:rsidR="00A53636" w:rsidRPr="009F0CAA" w:rsidRDefault="00A53636" w:rsidP="00793381">
      <w:pPr>
        <w:pStyle w:val="BodyA"/>
        <w:spacing w:after="120"/>
        <w:ind w:left="2160"/>
        <w:rPr>
          <w:rFonts w:ascii="Calibri" w:hAnsi="Calibri"/>
        </w:rPr>
      </w:pPr>
      <w:r w:rsidRPr="009F0CAA">
        <w:rPr>
          <w:rFonts w:ascii="Calibri" w:hAnsi="Calibri"/>
        </w:rPr>
        <w:t>[8] (</w:t>
      </w:r>
      <w:hyperlink r:id="rId21" w:history="1">
        <w:r w:rsidRPr="009F0CAA">
          <w:rPr>
            <w:rStyle w:val="Hyperlink0"/>
            <w:rFonts w:ascii="Calibri" w:hAnsi="Calibri"/>
          </w:rPr>
          <w:t>http://dge.stanford.edu/SCOPE/SCOPE_52/SCOPE_52_2.01_Beland_29-56.pdf</w:t>
        </w:r>
      </w:hyperlink>
      <w:r w:rsidRPr="009F0CAA">
        <w:rPr>
          <w:rFonts w:ascii="Calibri" w:hAnsi="Calibri"/>
        </w:rPr>
        <w:t>)</w:t>
      </w:r>
    </w:p>
    <w:p w:rsidR="00A53636" w:rsidRPr="009F0CAA" w:rsidRDefault="00A53636" w:rsidP="00793381">
      <w:pPr>
        <w:pStyle w:val="BodyA"/>
        <w:spacing w:after="120"/>
        <w:ind w:left="2160"/>
        <w:rPr>
          <w:rFonts w:ascii="Calibri" w:hAnsi="Calibri"/>
        </w:rPr>
      </w:pPr>
      <w:r w:rsidRPr="009F0CAA">
        <w:rPr>
          <w:rFonts w:ascii="Calibri" w:hAnsi="Calibri"/>
        </w:rPr>
        <w:lastRenderedPageBreak/>
        <w:t>Methods to Assess DNA Damage and Repair: lnterspecies Comparisons</w:t>
      </w:r>
    </w:p>
    <w:p w:rsidR="00A53636" w:rsidRPr="009F0CAA" w:rsidRDefault="00A53636" w:rsidP="00793381">
      <w:pPr>
        <w:pStyle w:val="BodyA"/>
        <w:spacing w:after="120"/>
        <w:ind w:left="2160"/>
        <w:rPr>
          <w:rFonts w:ascii="Calibri" w:hAnsi="Calibri"/>
        </w:rPr>
      </w:pPr>
      <w:r w:rsidRPr="009F0CAA">
        <w:rPr>
          <w:rFonts w:ascii="Calibri" w:hAnsi="Calibri"/>
        </w:rPr>
        <w:t xml:space="preserve">Edited by R. G. Tardiff, P. H. M. Lohman and G. N. Wogan @1994 SCOPE Published by John Wiley &amp; Sons </w:t>
      </w:r>
    </w:p>
    <w:p w:rsidR="00A53636" w:rsidRPr="009F0CAA" w:rsidRDefault="00A53636" w:rsidP="00793381">
      <w:pPr>
        <w:pStyle w:val="BodyA"/>
        <w:spacing w:after="120"/>
        <w:ind w:left="2160"/>
        <w:rPr>
          <w:rFonts w:ascii="Calibri" w:hAnsi="Calibri"/>
        </w:rPr>
      </w:pPr>
      <w:r w:rsidRPr="009F0CAA">
        <w:rPr>
          <w:rFonts w:ascii="Calibri" w:hAnsi="Calibri"/>
        </w:rPr>
        <w:t xml:space="preserve">[9] </w:t>
      </w:r>
      <w:hyperlink r:id="rId22" w:history="1">
        <w:r w:rsidRPr="009F0CAA">
          <w:rPr>
            <w:rStyle w:val="Hyperlink0"/>
            <w:rFonts w:ascii="Calibri" w:hAnsi="Calibri"/>
          </w:rPr>
          <w:t>http://www.atsdr.cdc.gov/substances/toxsubstance.asp?toxid=74</w:t>
        </w:r>
      </w:hyperlink>
    </w:p>
    <w:p w:rsidR="00A53636" w:rsidRPr="009F0CAA" w:rsidRDefault="00A53636" w:rsidP="00793381">
      <w:pPr>
        <w:pStyle w:val="BodyA"/>
        <w:spacing w:after="120"/>
        <w:ind w:left="2160"/>
        <w:rPr>
          <w:rFonts w:ascii="Calibri" w:hAnsi="Calibri"/>
        </w:rPr>
      </w:pPr>
      <w:r w:rsidRPr="009F0CAA">
        <w:rPr>
          <w:rFonts w:ascii="Calibri" w:hAnsi="Calibri"/>
        </w:rPr>
        <w:t>[10] RoC 12</w:t>
      </w:r>
      <w:r>
        <w:rPr>
          <w:rFonts w:ascii="Calibri" w:hAnsi="Calibri"/>
        </w:rPr>
        <w:t xml:space="preserve"> </w:t>
      </w:r>
      <w:r w:rsidRPr="009F0CAA">
        <w:rPr>
          <w:rFonts w:ascii="Calibri" w:hAnsi="Calibri"/>
        </w:rPr>
        <w:t>(</w:t>
      </w:r>
      <w:hyperlink r:id="rId23" w:history="1">
        <w:r w:rsidRPr="009F0CAA">
          <w:rPr>
            <w:rStyle w:val="Hyperlink0"/>
            <w:rFonts w:ascii="Calibri" w:hAnsi="Calibri"/>
          </w:rPr>
          <w:t>http://ntp.niehs.nih.gov/ntp/roc/content/profiles/styrene.pdf</w:t>
        </w:r>
      </w:hyperlink>
    </w:p>
    <w:p w:rsidR="00A53636" w:rsidRPr="009F0CAA" w:rsidRDefault="00A53636" w:rsidP="00793381">
      <w:pPr>
        <w:pStyle w:val="BodyA"/>
        <w:spacing w:after="120"/>
        <w:ind w:left="2160"/>
        <w:rPr>
          <w:rFonts w:ascii="Calibri" w:hAnsi="Calibri"/>
        </w:rPr>
      </w:pPr>
      <w:r w:rsidRPr="009F0CAA">
        <w:rPr>
          <w:rFonts w:ascii="Calibri" w:hAnsi="Calibri"/>
        </w:rPr>
        <w:t xml:space="preserve">[11] </w:t>
      </w:r>
      <w:hyperlink r:id="rId24" w:history="1">
        <w:r w:rsidRPr="009F0CAA">
          <w:rPr>
            <w:rStyle w:val="Hyperlink0"/>
            <w:rFonts w:ascii="Calibri" w:hAnsi="Calibri"/>
          </w:rPr>
          <w:t>http://informahealthcare.com/doi/abs/10.1080/15376510802510299</w:t>
        </w:r>
      </w:hyperlink>
    </w:p>
    <w:p w:rsidR="00A53636" w:rsidRPr="009F0CAA" w:rsidRDefault="00A53636" w:rsidP="00793381">
      <w:pPr>
        <w:pStyle w:val="BodyA"/>
        <w:spacing w:after="120"/>
        <w:ind w:left="2160"/>
        <w:rPr>
          <w:rFonts w:ascii="Calibri" w:hAnsi="Calibri"/>
          <w:i/>
          <w:iCs/>
        </w:rPr>
      </w:pPr>
      <w:r w:rsidRPr="009F0CAA">
        <w:rPr>
          <w:rFonts w:ascii="Calibri" w:hAnsi="Calibri"/>
        </w:rPr>
        <w:t xml:space="preserve">[12] </w:t>
      </w:r>
      <w:r w:rsidRPr="009F0CAA">
        <w:rPr>
          <w:rFonts w:ascii="Calibri" w:hAnsi="Calibri"/>
          <w:i/>
          <w:iCs/>
        </w:rPr>
        <w:t>Ibid.</w:t>
      </w:r>
    </w:p>
    <w:p w:rsidR="00A53636" w:rsidRPr="009F0CAA" w:rsidRDefault="00A53636" w:rsidP="00793381">
      <w:pPr>
        <w:pStyle w:val="BodyA"/>
        <w:spacing w:after="120"/>
        <w:ind w:left="2160"/>
        <w:rPr>
          <w:rFonts w:ascii="Calibri" w:hAnsi="Calibri"/>
        </w:rPr>
      </w:pPr>
      <w:r w:rsidRPr="009F0CAA">
        <w:rPr>
          <w:rFonts w:ascii="Calibri" w:hAnsi="Calibri"/>
        </w:rPr>
        <w:t xml:space="preserve">[13] </w:t>
      </w:r>
      <w:r w:rsidRPr="009F0CAA">
        <w:rPr>
          <w:rFonts w:ascii="Calibri" w:hAnsi="Calibri"/>
          <w:i/>
          <w:iCs/>
        </w:rPr>
        <w:t>Ibid.</w:t>
      </w:r>
    </w:p>
    <w:p w:rsidR="00A53636" w:rsidRDefault="00A53636" w:rsidP="00793381">
      <w:pPr>
        <w:pStyle w:val="BodyA"/>
        <w:spacing w:after="120"/>
        <w:ind w:left="2160"/>
        <w:rPr>
          <w:rFonts w:ascii="Calibri" w:hAnsi="Calibri"/>
        </w:rPr>
      </w:pPr>
      <w:r w:rsidRPr="009F0CAA">
        <w:rPr>
          <w:rFonts w:ascii="Calibri" w:hAnsi="Calibri"/>
        </w:rPr>
        <w:t>[14] (Copyright 2008 The Way To Go All Rights Reserved) (</w:t>
      </w:r>
      <w:hyperlink r:id="rId25" w:history="1">
        <w:r w:rsidRPr="009F0CAA">
          <w:rPr>
            <w:rStyle w:val="Hyperlink0"/>
            <w:rFonts w:ascii="Calibri" w:hAnsi="Calibri"/>
          </w:rPr>
          <w:t>http://isites.harvard.edu/fs/docs/icb.topic967858.files/PolystyreneFactSheets.pdf</w:t>
        </w:r>
      </w:hyperlink>
      <w:r w:rsidRPr="009F0CAA">
        <w:rPr>
          <w:rFonts w:ascii="Calibri" w:hAnsi="Calibri"/>
        </w:rPr>
        <w:t>)</w:t>
      </w:r>
    </w:p>
    <w:p w:rsidR="00A53636" w:rsidRPr="00CC43AB" w:rsidRDefault="00A53636" w:rsidP="00793381">
      <w:pPr>
        <w:pStyle w:val="BodyA"/>
        <w:spacing w:after="120"/>
        <w:ind w:left="2160"/>
        <w:rPr>
          <w:rFonts w:ascii="Calibri" w:hAnsi="Calibri"/>
          <w:highlight w:val="yellow"/>
        </w:rPr>
      </w:pPr>
      <w:r>
        <w:rPr>
          <w:rFonts w:ascii="Calibri" w:hAnsi="Calibri"/>
        </w:rPr>
        <w:t xml:space="preserve">[15] </w:t>
      </w:r>
      <w:r w:rsidRPr="009F0CAA">
        <w:rPr>
          <w:rFonts w:ascii="Calibri" w:hAnsi="Calibri"/>
        </w:rPr>
        <w:t>The National Toxicology Program of The US Department of Health and Human Services first listed styrene as “reasonably anticipated to be a human carcinogen” in its 12th “Report on Carcinogens” (RoC, 2011). It has maintained its listing in the 13th RoC (2014). More specifically, the RoCs stated: “</w:t>
      </w:r>
      <w:r w:rsidRPr="00CC43AB">
        <w:rPr>
          <w:rFonts w:ascii="Calibri" w:hAnsi="Calibri"/>
          <w:highlight w:val="yellow"/>
        </w:rPr>
        <w:t xml:space="preserve">Studies in the reinforced-plastics industry provided evidence that suggests a possible association between styrene exposure and cancer of the esophagus or pancreas.” Styrene has also been implicated in cancers of the lymphohematopoietic system. The RoCs further reported that “DNA adducts (pieces of </w:t>
      </w:r>
      <w:r w:rsidRPr="00CC43AB">
        <w:rPr>
          <w:rFonts w:ascii="Calibri" w:hAnsi="Calibri"/>
          <w:b/>
          <w:bCs/>
          <w:highlight w:val="yellow"/>
        </w:rPr>
        <w:t>DNA</w:t>
      </w:r>
      <w:r w:rsidRPr="00CC43AB">
        <w:rPr>
          <w:rFonts w:ascii="Calibri" w:hAnsi="Calibri"/>
          <w:highlight w:val="yellow"/>
        </w:rPr>
        <w:t xml:space="preserve"> covalently bonded to a cancer-causing chemical.) …were found in circulating white blood cells in many studies of styrene-exposed workers employed mainly in the reinforced plastics industry.” [6] [7]</w:t>
      </w:r>
    </w:p>
    <w:p w:rsidR="00A53636" w:rsidRDefault="00A53636" w:rsidP="00793381">
      <w:pPr>
        <w:pStyle w:val="BodyA"/>
        <w:spacing w:after="120"/>
        <w:ind w:left="2160"/>
        <w:rPr>
          <w:rFonts w:ascii="Calibri" w:hAnsi="Calibri"/>
        </w:rPr>
      </w:pPr>
      <w:r w:rsidRPr="00CC43AB">
        <w:rPr>
          <w:rFonts w:ascii="Calibri" w:hAnsi="Calibri"/>
          <w:highlight w:val="yellow"/>
        </w:rPr>
        <w:t xml:space="preserve">Frederick A. Beland of the National Center for Toxicological Research, Jefferson, AR USA and </w:t>
      </w:r>
      <w:r w:rsidRPr="00CC43AB">
        <w:rPr>
          <w:rFonts w:ascii="Calibri" w:hAnsi="Calibri"/>
          <w:highlight w:val="yellow"/>
          <w:lang w:val="pt-PT"/>
        </w:rPr>
        <w:t>Miriam C. Poirier</w:t>
      </w:r>
      <w:r w:rsidRPr="00CC43AB">
        <w:rPr>
          <w:rFonts w:ascii="Calibri" w:hAnsi="Calibri"/>
          <w:highlight w:val="yellow"/>
        </w:rPr>
        <w:t xml:space="preserve"> National Cancer Institute, Bethesda, Maryland USA write: “A central tenet of chemical carcinogenesis is that the covalent binding of carcinogens to DNA is causally related to tumorigenesis</w:t>
      </w:r>
      <w:r w:rsidRPr="009F0CAA">
        <w:rPr>
          <w:rFonts w:ascii="Calibri" w:hAnsi="Calibri"/>
        </w:rPr>
        <w:t xml:space="preserve">.” </w:t>
      </w:r>
      <w:r>
        <w:rPr>
          <w:rFonts w:ascii="Calibri" w:hAnsi="Calibri"/>
        </w:rPr>
        <w:t>[</w:t>
      </w:r>
      <w:r w:rsidRPr="009F0CAA">
        <w:rPr>
          <w:rFonts w:ascii="Calibri" w:hAnsi="Calibri"/>
        </w:rPr>
        <w:t>8]</w:t>
      </w:r>
    </w:p>
    <w:p w:rsidR="00A53636" w:rsidRPr="009F0CAA" w:rsidRDefault="00A53636" w:rsidP="00793381">
      <w:pPr>
        <w:pStyle w:val="BodyA"/>
        <w:spacing w:after="60"/>
        <w:ind w:left="2160"/>
        <w:rPr>
          <w:rFonts w:ascii="Calibri" w:hAnsi="Calibri"/>
          <w:i/>
          <w:iCs/>
        </w:rPr>
      </w:pPr>
      <w:r>
        <w:rPr>
          <w:rFonts w:ascii="Calibri" w:hAnsi="Calibri"/>
        </w:rPr>
        <w:t xml:space="preserve">[16] </w:t>
      </w:r>
      <w:r w:rsidRPr="009F0CAA">
        <w:rPr>
          <w:rFonts w:ascii="Calibri" w:hAnsi="Calibri"/>
          <w:i/>
          <w:iCs/>
        </w:rPr>
        <w:t xml:space="preserve">Cytochrome P450 Metabolic Pathway: </w:t>
      </w:r>
    </w:p>
    <w:p w:rsidR="00A53636" w:rsidRPr="009F0CAA" w:rsidRDefault="00A53636" w:rsidP="00793381">
      <w:pPr>
        <w:pStyle w:val="BodyA"/>
        <w:spacing w:after="60"/>
        <w:ind w:left="2160"/>
        <w:rPr>
          <w:rFonts w:ascii="Calibri" w:hAnsi="Calibri"/>
        </w:rPr>
      </w:pPr>
      <w:r w:rsidRPr="009F0CAA">
        <w:rPr>
          <w:rFonts w:ascii="Calibri" w:hAnsi="Calibri"/>
        </w:rPr>
        <w:t>Cytochrome P450 is a family of isozymes responsible for the biotransformation of several drugs. (</w:t>
      </w:r>
      <w:hyperlink r:id="rId26" w:history="1">
        <w:r w:rsidRPr="009F0CAA">
          <w:rPr>
            <w:rStyle w:val="Hyperlink0"/>
            <w:rFonts w:ascii="Calibri" w:hAnsi="Calibri"/>
          </w:rPr>
          <w:t>http://www.ncbi.nlm.nih.gov/pmc/articles/PMC1312247/</w:t>
        </w:r>
      </w:hyperlink>
      <w:r w:rsidRPr="009F0CAA">
        <w:rPr>
          <w:rFonts w:ascii="Calibri" w:hAnsi="Calibri"/>
        </w:rPr>
        <w:t>)</w:t>
      </w:r>
    </w:p>
    <w:p w:rsidR="00A53636" w:rsidRPr="009F0CAA" w:rsidRDefault="00A53636" w:rsidP="00793381">
      <w:pPr>
        <w:pStyle w:val="BodyA"/>
        <w:spacing w:after="60"/>
        <w:ind w:left="2160"/>
        <w:rPr>
          <w:rFonts w:ascii="Calibri" w:hAnsi="Calibri"/>
        </w:rPr>
      </w:pPr>
      <w:r w:rsidRPr="009F0CAA">
        <w:rPr>
          <w:rFonts w:ascii="Calibri" w:hAnsi="Calibri"/>
          <w:i/>
          <w:iCs/>
        </w:rPr>
        <w:t xml:space="preserve">Isozyme: </w:t>
      </w:r>
      <w:r w:rsidRPr="009F0CAA">
        <w:rPr>
          <w:rFonts w:ascii="Calibri" w:hAnsi="Calibri"/>
        </w:rPr>
        <w:t>Any of several forms of an enzyme that all catalyze the same reaction but may differ in reaction rate, inhibition by various substances, electrophoretic mobility, or immunologic properties. (</w:t>
      </w:r>
      <w:hyperlink r:id="rId27" w:history="1">
        <w:r w:rsidRPr="009F0CAA">
          <w:rPr>
            <w:rStyle w:val="Hyperlink0"/>
            <w:rFonts w:ascii="Calibri" w:hAnsi="Calibri"/>
          </w:rPr>
          <w:t>http://medical-dictionary.thefreedictionary.com/isozyme</w:t>
        </w:r>
      </w:hyperlink>
      <w:r w:rsidRPr="009F0CAA">
        <w:rPr>
          <w:rFonts w:ascii="Calibri" w:hAnsi="Calibri"/>
        </w:rPr>
        <w:t>)</w:t>
      </w:r>
    </w:p>
    <w:p w:rsidR="00A53636" w:rsidRPr="009F0CAA" w:rsidRDefault="00A53636" w:rsidP="00793381">
      <w:pPr>
        <w:pStyle w:val="Default"/>
        <w:spacing w:after="60"/>
        <w:ind w:left="2160"/>
        <w:rPr>
          <w:rFonts w:ascii="Calibri" w:eastAsia="Arial" w:hAnsi="Calibri" w:cs="Arial"/>
          <w:color w:val="213644"/>
          <w:u w:color="213644"/>
        </w:rPr>
      </w:pPr>
      <w:r w:rsidRPr="009F0CAA">
        <w:rPr>
          <w:rFonts w:ascii="Calibri" w:hAnsi="Calibri"/>
          <w:i/>
          <w:iCs/>
          <w:color w:val="213644"/>
          <w:u w:color="213644"/>
        </w:rPr>
        <w:t>Lymphohematopoeitic system:</w:t>
      </w:r>
      <w:r w:rsidRPr="009F0CAA">
        <w:rPr>
          <w:rFonts w:ascii="Calibri" w:hAnsi="Calibri"/>
          <w:color w:val="213644"/>
          <w:u w:color="213644"/>
        </w:rPr>
        <w:t xml:space="preserve"> of, relating to, or involved in the production of lymphocytes and cells of blood, bone marrow, spleen, lymph nodes, and thymus. (</w:t>
      </w:r>
      <w:hyperlink r:id="rId28" w:history="1">
        <w:r w:rsidRPr="009F0CAA">
          <w:rPr>
            <w:rStyle w:val="Hyperlink1"/>
            <w:rFonts w:ascii="Calibri" w:hAnsi="Calibri"/>
          </w:rPr>
          <w:t>http://www.merriam-webster.com/medical/lymphohematopoietic</w:t>
        </w:r>
      </w:hyperlink>
      <w:r w:rsidRPr="009F0CAA">
        <w:rPr>
          <w:rFonts w:ascii="Calibri" w:hAnsi="Calibri"/>
          <w:color w:val="213644"/>
          <w:u w:color="213644"/>
        </w:rPr>
        <w:t>)</w:t>
      </w:r>
    </w:p>
    <w:p w:rsidR="00A53636" w:rsidRPr="009F0CAA" w:rsidRDefault="00A53636" w:rsidP="00793381">
      <w:pPr>
        <w:pStyle w:val="Default"/>
        <w:spacing w:after="60"/>
        <w:ind w:left="2160"/>
        <w:rPr>
          <w:rFonts w:ascii="Calibri" w:eastAsia="Arial Bold" w:hAnsi="Calibri" w:cs="Arial Bold"/>
          <w:color w:val="213644"/>
          <w:u w:color="213644"/>
        </w:rPr>
      </w:pPr>
      <w:r w:rsidRPr="009F0CAA">
        <w:rPr>
          <w:rFonts w:ascii="Calibri" w:hAnsi="Calibri"/>
          <w:i/>
          <w:iCs/>
          <w:color w:val="213644"/>
          <w:u w:color="213644"/>
        </w:rPr>
        <w:t>DNA Adducts:</w:t>
      </w:r>
      <w:r w:rsidRPr="009F0CAA">
        <w:rPr>
          <w:rFonts w:ascii="Calibri" w:hAnsi="Calibri"/>
          <w:color w:val="213644"/>
          <w:u w:color="213644"/>
        </w:rPr>
        <w:t xml:space="preserve"> Pieces of DNA covalently bonded to a cancer-causing chemical. (</w:t>
      </w:r>
      <w:hyperlink r:id="rId29" w:history="1">
        <w:r w:rsidRPr="009F0CAA">
          <w:rPr>
            <w:rStyle w:val="Hyperlink2"/>
            <w:rFonts w:ascii="Calibri" w:hAnsi="Calibri"/>
          </w:rPr>
          <w:t>https://en.wikipedia.org/wiki/DNA_adduct</w:t>
        </w:r>
      </w:hyperlink>
      <w:r w:rsidRPr="009F0CAA">
        <w:rPr>
          <w:rFonts w:ascii="Calibri" w:hAnsi="Calibri"/>
          <w:color w:val="213644"/>
          <w:u w:color="213644"/>
        </w:rPr>
        <w:t>)</w:t>
      </w:r>
    </w:p>
    <w:p w:rsidR="00A53636" w:rsidRPr="009F0CAA" w:rsidRDefault="00A53636" w:rsidP="00D24532">
      <w:pPr>
        <w:pStyle w:val="Default"/>
        <w:spacing w:after="200"/>
        <w:ind w:left="2160"/>
        <w:rPr>
          <w:rFonts w:ascii="Calibri" w:hAnsi="Calibri"/>
          <w:position w:val="-4"/>
        </w:rPr>
      </w:pPr>
      <w:r w:rsidRPr="009F0CAA">
        <w:rPr>
          <w:rFonts w:ascii="Calibri" w:hAnsi="Calibri"/>
          <w:i/>
          <w:iCs/>
          <w:color w:val="213644"/>
          <w:u w:color="213644"/>
        </w:rPr>
        <w:t>Covalent Bond:</w:t>
      </w:r>
      <w:r w:rsidRPr="009F0CAA">
        <w:rPr>
          <w:rFonts w:ascii="Calibri" w:hAnsi="Calibri"/>
          <w:color w:val="213644"/>
          <w:u w:color="213644"/>
        </w:rPr>
        <w:t xml:space="preserve"> A chemical bond that involves the sharing of electron pairs between atoms.</w:t>
      </w:r>
    </w:p>
    <w:p w:rsidR="008528DB" w:rsidRDefault="002B70F3" w:rsidP="00793381">
      <w:pPr>
        <w:pStyle w:val="ListParagraph"/>
        <w:numPr>
          <w:ilvl w:val="2"/>
          <w:numId w:val="2"/>
        </w:numPr>
      </w:pPr>
      <w:r w:rsidRPr="006745CD">
        <w:rPr>
          <w:b/>
        </w:rPr>
        <w:t>P</w:t>
      </w:r>
      <w:r w:rsidR="004C7F2C" w:rsidRPr="006745CD">
        <w:rPr>
          <w:b/>
        </w:rPr>
        <w:t>olystyrene</w:t>
      </w:r>
      <w:r w:rsidRPr="006745CD">
        <w:rPr>
          <w:b/>
        </w:rPr>
        <w:t xml:space="preserve"> in our communities</w:t>
      </w:r>
      <w:r w:rsidR="00331607">
        <w:t>:</w:t>
      </w:r>
      <w:r w:rsidR="009F6126">
        <w:t xml:space="preserve"> </w:t>
      </w:r>
    </w:p>
    <w:p w:rsidR="008528DB" w:rsidRDefault="004C7F2C" w:rsidP="00793381">
      <w:pPr>
        <w:pStyle w:val="ListParagraph"/>
        <w:numPr>
          <w:ilvl w:val="3"/>
          <w:numId w:val="2"/>
        </w:numPr>
      </w:pPr>
      <w:r>
        <w:t>Polystyrene</w:t>
      </w:r>
      <w:r w:rsidR="009F6126">
        <w:t>-based drink and food containers are used throughout the three towns, from Dunkin Donuts to numerous restaurants and grocery stores.</w:t>
      </w:r>
      <w:r w:rsidR="0042468C">
        <w:t xml:space="preserve"> Based upon resident population and national averages, </w:t>
      </w:r>
      <w:r w:rsidR="0042468C" w:rsidRPr="006745CD">
        <w:rPr>
          <w:highlight w:val="yellow"/>
        </w:rPr>
        <w:t>over a million polystyrene-based cups, and an unknown number of polystyrene-based food containers are consumed in our three towns</w:t>
      </w:r>
      <w:r w:rsidR="0042468C">
        <w:t>. The actual usage is greater because the towns are major tourist destinations.</w:t>
      </w:r>
      <w:r w:rsidR="009F6126">
        <w:t xml:space="preserve"> The</w:t>
      </w:r>
      <w:r w:rsidR="0042468C">
        <w:t xml:space="preserve">se products </w:t>
      </w:r>
      <w:r w:rsidR="009F6126">
        <w:t xml:space="preserve">can also be purchased in many local stores. </w:t>
      </w:r>
    </w:p>
    <w:p w:rsidR="008528DB" w:rsidRDefault="009F6126" w:rsidP="00793381">
      <w:pPr>
        <w:pStyle w:val="ListParagraph"/>
        <w:numPr>
          <w:ilvl w:val="3"/>
          <w:numId w:val="2"/>
        </w:numPr>
      </w:pPr>
      <w:r>
        <w:t xml:space="preserve">At the same time, </w:t>
      </w:r>
      <w:r w:rsidRPr="006745CD">
        <w:rPr>
          <w:highlight w:val="yellow"/>
        </w:rPr>
        <w:t xml:space="preserve">each town [CHECK STOCKBRIDGE] has examples of businesses that </w:t>
      </w:r>
      <w:r w:rsidR="006745CD" w:rsidRPr="006745CD">
        <w:rPr>
          <w:highlight w:val="yellow"/>
        </w:rPr>
        <w:t xml:space="preserve">use </w:t>
      </w:r>
      <w:r w:rsidRPr="006745CD">
        <w:rPr>
          <w:highlight w:val="yellow"/>
        </w:rPr>
        <w:t>safer and more environmentally friendly and sustainable alternatives</w:t>
      </w:r>
      <w:r w:rsidR="006745CD" w:rsidRPr="006745CD">
        <w:rPr>
          <w:highlight w:val="yellow"/>
        </w:rPr>
        <w:t xml:space="preserve"> to polystyrene</w:t>
      </w:r>
      <w:r w:rsidRPr="006745CD">
        <w:rPr>
          <w:highlight w:val="yellow"/>
        </w:rPr>
        <w:t>,</w:t>
      </w:r>
      <w:r>
        <w:t xml:space="preserve"> </w:t>
      </w:r>
      <w:r>
        <w:lastRenderedPageBreak/>
        <w:t xml:space="preserve">demonstrating that such a transition is possible while </w:t>
      </w:r>
      <w:r w:rsidR="00397012">
        <w:t>re</w:t>
      </w:r>
      <w:r>
        <w:t xml:space="preserve">maining </w:t>
      </w:r>
      <w:r w:rsidR="00397012">
        <w:t>successful</w:t>
      </w:r>
      <w:r>
        <w:t xml:space="preserve">. </w:t>
      </w:r>
      <w:r w:rsidR="00397012">
        <w:t>These examples include McDonald’s (for 25+ years), the Starving Artist Café in Lee, and</w:t>
      </w:r>
      <w:r w:rsidR="00C73FD5">
        <w:t xml:space="preserve"> others in the three communities. </w:t>
      </w:r>
    </w:p>
    <w:p w:rsidR="008528DB" w:rsidRDefault="00974614" w:rsidP="00793381">
      <w:pPr>
        <w:pStyle w:val="ListParagraph"/>
        <w:numPr>
          <w:ilvl w:val="3"/>
          <w:numId w:val="2"/>
        </w:numPr>
      </w:pPr>
      <w:r w:rsidRPr="00CC43AB">
        <w:rPr>
          <w:highlight w:val="yellow"/>
        </w:rPr>
        <w:t xml:space="preserve">Ten municipalities in Massachusetts have adopted </w:t>
      </w:r>
      <w:r w:rsidR="004C7F2C" w:rsidRPr="00CC43AB">
        <w:rPr>
          <w:highlight w:val="yellow"/>
        </w:rPr>
        <w:t>polystyrene</w:t>
      </w:r>
      <w:r w:rsidRPr="00CC43AB">
        <w:rPr>
          <w:highlight w:val="yellow"/>
        </w:rPr>
        <w:t xml:space="preserve"> bans</w:t>
      </w:r>
      <w:r w:rsidR="00317E22" w:rsidRPr="00CC43AB">
        <w:rPr>
          <w:highlight w:val="yellow"/>
        </w:rPr>
        <w:t xml:space="preserve"> (see Attachment 1)</w:t>
      </w:r>
      <w:r w:rsidRPr="00CC43AB">
        <w:rPr>
          <w:highlight w:val="yellow"/>
        </w:rPr>
        <w:t>, f</w:t>
      </w:r>
      <w:r w:rsidR="00FB36A1" w:rsidRPr="00CC43AB">
        <w:rPr>
          <w:highlight w:val="yellow"/>
        </w:rPr>
        <w:t>ive</w:t>
      </w:r>
      <w:r w:rsidRPr="00CC43AB">
        <w:rPr>
          <w:highlight w:val="yellow"/>
        </w:rPr>
        <w:t xml:space="preserve"> </w:t>
      </w:r>
      <w:r w:rsidR="00FB36A1" w:rsidRPr="00CC43AB">
        <w:rPr>
          <w:highlight w:val="yellow"/>
        </w:rPr>
        <w:t xml:space="preserve">of them </w:t>
      </w:r>
      <w:r w:rsidRPr="00CC43AB">
        <w:rPr>
          <w:highlight w:val="yellow"/>
        </w:rPr>
        <w:t xml:space="preserve">in our region: </w:t>
      </w:r>
      <w:r w:rsidR="00FB36A1" w:rsidRPr="00CC43AB">
        <w:rPr>
          <w:highlight w:val="yellow"/>
        </w:rPr>
        <w:t xml:space="preserve">Amherst, </w:t>
      </w:r>
      <w:r w:rsidRPr="00CC43AB">
        <w:rPr>
          <w:highlight w:val="yellow"/>
        </w:rPr>
        <w:t xml:space="preserve">Great Barrington, </w:t>
      </w:r>
      <w:r w:rsidR="00FB36A1" w:rsidRPr="00CC43AB">
        <w:rPr>
          <w:highlight w:val="yellow"/>
        </w:rPr>
        <w:t xml:space="preserve">Pittsfield, South Hadley, and </w:t>
      </w:r>
      <w:r w:rsidRPr="00CC43AB">
        <w:rPr>
          <w:highlight w:val="yellow"/>
        </w:rPr>
        <w:t>Williamstown.</w:t>
      </w:r>
      <w:r w:rsidR="00CA33FE" w:rsidRPr="00CC43AB">
        <w:rPr>
          <w:highlight w:val="yellow"/>
        </w:rPr>
        <w:t xml:space="preserve"> All of them cited health and environmental justification for their actions</w:t>
      </w:r>
      <w:r w:rsidR="00D5312C" w:rsidRPr="00CC43AB">
        <w:rPr>
          <w:highlight w:val="yellow"/>
        </w:rPr>
        <w:t>.</w:t>
      </w:r>
      <w:r w:rsidR="00D5312C">
        <w:t xml:space="preserve"> </w:t>
      </w:r>
      <w:r w:rsidR="00E9439E">
        <w:t xml:space="preserve">Thus </w:t>
      </w:r>
      <w:r w:rsidR="00E9439E" w:rsidRPr="00CC43AB">
        <w:rPr>
          <w:highlight w:val="yellow"/>
        </w:rPr>
        <w:t xml:space="preserve">far South Hadley is the only municipality in Massachusetts that adopted a </w:t>
      </w:r>
      <w:r w:rsidR="004C7F2C" w:rsidRPr="00CC43AB">
        <w:rPr>
          <w:highlight w:val="yellow"/>
        </w:rPr>
        <w:t>polystyrene</w:t>
      </w:r>
      <w:r w:rsidR="00E9439E" w:rsidRPr="00CC43AB">
        <w:rPr>
          <w:highlight w:val="yellow"/>
        </w:rPr>
        <w:t xml:space="preserve"> ban through a Board of Health regulation</w:t>
      </w:r>
      <w:r w:rsidR="00E9439E">
        <w:t xml:space="preserve"> rather than a by-law change. </w:t>
      </w:r>
      <w:r w:rsidR="005D78C2">
        <w:t>With a</w:t>
      </w:r>
      <w:r w:rsidR="00BC7542">
        <w:t xml:space="preserve"> </w:t>
      </w:r>
      <w:r w:rsidR="005D78C2">
        <w:t xml:space="preserve">ban adopted in Great Barrington </w:t>
      </w:r>
      <w:r w:rsidR="009A4957">
        <w:t xml:space="preserve">in </w:t>
      </w:r>
      <w:r w:rsidR="000553B6">
        <w:t>1990</w:t>
      </w:r>
      <w:r w:rsidR="009A4957">
        <w:t xml:space="preserve"> and </w:t>
      </w:r>
      <w:r w:rsidR="005D78C2">
        <w:t xml:space="preserve">one just adopted in Pittsfield in October, </w:t>
      </w:r>
      <w:r w:rsidR="009A4957">
        <w:t xml:space="preserve">our residents will become increasingly used to shopping where </w:t>
      </w:r>
      <w:r w:rsidR="004C7F2C">
        <w:t>polystyrene</w:t>
      </w:r>
      <w:r w:rsidR="005D78C2">
        <w:t>-based</w:t>
      </w:r>
      <w:r w:rsidR="009A4957">
        <w:t xml:space="preserve"> products are no longer available and</w:t>
      </w:r>
      <w:r w:rsidR="005D78C2">
        <w:t xml:space="preserve">, if </w:t>
      </w:r>
      <w:r w:rsidR="00CA33FE">
        <w:t>our</w:t>
      </w:r>
      <w:r w:rsidR="005D78C2">
        <w:t xml:space="preserve"> three towns adopt similar regulations,</w:t>
      </w:r>
      <w:r w:rsidR="009A4957">
        <w:t xml:space="preserve"> our local businesses will not be disadvantaged, but rather will be on a level playing field with competitors to the north and south. </w:t>
      </w:r>
    </w:p>
    <w:p w:rsidR="002B70F3" w:rsidRDefault="005D78C2" w:rsidP="00D24532">
      <w:pPr>
        <w:pStyle w:val="ListParagraph"/>
        <w:numPr>
          <w:ilvl w:val="3"/>
          <w:numId w:val="2"/>
        </w:numPr>
        <w:contextualSpacing w:val="0"/>
      </w:pPr>
      <w:r w:rsidRPr="00CC43AB">
        <w:rPr>
          <w:highlight w:val="yellow"/>
        </w:rPr>
        <w:t xml:space="preserve">Lee and Lenox have </w:t>
      </w:r>
      <w:r w:rsidR="009A4957" w:rsidRPr="00CC43AB">
        <w:rPr>
          <w:highlight w:val="yellow"/>
        </w:rPr>
        <w:t>businesses that are part of nat</w:t>
      </w:r>
      <w:r w:rsidRPr="00CC43AB">
        <w:rPr>
          <w:highlight w:val="yellow"/>
        </w:rPr>
        <w:t xml:space="preserve">ional and regional corporations, which have had to </w:t>
      </w:r>
      <w:r w:rsidR="009A4957" w:rsidRPr="00CC43AB">
        <w:rPr>
          <w:highlight w:val="yellow"/>
        </w:rPr>
        <w:t>deal with bans in other parts of the country as well as other Massachusetts municipalities</w:t>
      </w:r>
      <w:r w:rsidR="009A4957">
        <w:t>. For example, Dunkin Donuts has 31 restaurants where PS bans are in place in this state alone, CVS has 18, B</w:t>
      </w:r>
      <w:r>
        <w:t xml:space="preserve">ig Y has 5, and Price Chopper 2. </w:t>
      </w:r>
    </w:p>
    <w:p w:rsidR="002B70F3" w:rsidRDefault="00926A08" w:rsidP="00D24532">
      <w:pPr>
        <w:pStyle w:val="ListParagraph"/>
        <w:numPr>
          <w:ilvl w:val="2"/>
          <w:numId w:val="2"/>
        </w:numPr>
        <w:contextualSpacing w:val="0"/>
      </w:pPr>
      <w:r w:rsidRPr="00D24532">
        <w:rPr>
          <w:b/>
        </w:rPr>
        <w:t>P</w:t>
      </w:r>
      <w:r w:rsidR="00397012" w:rsidRPr="00D24532">
        <w:rPr>
          <w:b/>
        </w:rPr>
        <w:t>olystyrene</w:t>
      </w:r>
      <w:r w:rsidRPr="00D24532">
        <w:rPr>
          <w:b/>
        </w:rPr>
        <w:t xml:space="preserve"> a</w:t>
      </w:r>
      <w:r w:rsidR="002B70F3" w:rsidRPr="00D24532">
        <w:rPr>
          <w:b/>
        </w:rPr>
        <w:t>lternatives</w:t>
      </w:r>
      <w:r w:rsidRPr="00D24532">
        <w:rPr>
          <w:b/>
        </w:rPr>
        <w:t xml:space="preserve"> considerations, availability, and cost comparison</w:t>
      </w:r>
      <w:r w:rsidR="002B70F3">
        <w:t>:</w:t>
      </w:r>
      <w:r>
        <w:t xml:space="preserve"> </w:t>
      </w:r>
      <w:r w:rsidR="00DB50ED">
        <w:t xml:space="preserve">Given how long measures to reduce the use of polystyrene have been in place (for example, 1989 in Nantucket and 1990 in Great Barrington), </w:t>
      </w:r>
      <w:r w:rsidR="00DB50ED" w:rsidRPr="00CC43AB">
        <w:rPr>
          <w:highlight w:val="yellow"/>
        </w:rPr>
        <w:t>multiple acceptable alternatives exist for most drink- and food-related polystyrene-based containers</w:t>
      </w:r>
      <w:r w:rsidR="00DB50ED">
        <w:t xml:space="preserve">. With the spread of these measures and product development advances, choices are increasing, even for the least regulated use – unprepared/raw food trays/containers. When looking at viable alternatives the key criteria should be health safety, sustainability, affordability, availability, and </w:t>
      </w:r>
      <w:r w:rsidR="009A4957">
        <w:t xml:space="preserve">environmental </w:t>
      </w:r>
      <w:r w:rsidR="00DB50ED">
        <w:t>compatibility</w:t>
      </w:r>
      <w:r w:rsidR="009A4957">
        <w:t xml:space="preserve">. As an example, </w:t>
      </w:r>
      <w:r w:rsidR="00E235F2">
        <w:t xml:space="preserve">Attachment </w:t>
      </w:r>
      <w:r w:rsidR="00317E22">
        <w:t>2</w:t>
      </w:r>
      <w:r w:rsidR="00E235F2">
        <w:t xml:space="preserve"> presents </w:t>
      </w:r>
      <w:r w:rsidR="009A4957">
        <w:t xml:space="preserve">a table </w:t>
      </w:r>
      <w:r w:rsidR="00BB000E">
        <w:t xml:space="preserve">of approved alternatives, which is </w:t>
      </w:r>
      <w:r w:rsidR="009A4957">
        <w:t xml:space="preserve">updated </w:t>
      </w:r>
      <w:r w:rsidR="00DD00BF">
        <w:t xml:space="preserve">quarterly </w:t>
      </w:r>
      <w:r w:rsidR="009A4957">
        <w:t>by Somerville MA</w:t>
      </w:r>
      <w:r w:rsidR="00BB000E">
        <w:t xml:space="preserve"> in accordance with its 2013 regulations</w:t>
      </w:r>
      <w:r w:rsidR="00DB50ED">
        <w:t xml:space="preserve"> (and we know of even more)</w:t>
      </w:r>
      <w:r w:rsidR="00BB000E">
        <w:t xml:space="preserve">. At this point, polystyrene products are less costly to purchase than alternatives, but in many cases the price differences are not sufficient to affect an establishment’s profitability or competitiveness.  </w:t>
      </w:r>
    </w:p>
    <w:p w:rsidR="002B70F3" w:rsidRDefault="002B70F3" w:rsidP="00177CC0">
      <w:pPr>
        <w:pStyle w:val="ListParagraph"/>
        <w:numPr>
          <w:ilvl w:val="2"/>
          <w:numId w:val="2"/>
        </w:numPr>
      </w:pPr>
      <w:r w:rsidRPr="00D24532">
        <w:rPr>
          <w:b/>
        </w:rPr>
        <w:t>What others have and haven’t done</w:t>
      </w:r>
      <w:r w:rsidR="008528DB">
        <w:t xml:space="preserve">: the table </w:t>
      </w:r>
      <w:r w:rsidR="00E235F2">
        <w:t xml:space="preserve">in </w:t>
      </w:r>
      <w:r w:rsidR="00E235F2" w:rsidRPr="00FA2CE1">
        <w:rPr>
          <w:highlight w:val="yellow"/>
        </w:rPr>
        <w:t xml:space="preserve">Attachment </w:t>
      </w:r>
      <w:r w:rsidR="00317E22" w:rsidRPr="00FA2CE1">
        <w:rPr>
          <w:highlight w:val="yellow"/>
        </w:rPr>
        <w:t>3</w:t>
      </w:r>
      <w:r w:rsidR="00E235F2" w:rsidRPr="00FA2CE1">
        <w:rPr>
          <w:highlight w:val="yellow"/>
        </w:rPr>
        <w:t xml:space="preserve"> </w:t>
      </w:r>
      <w:r w:rsidR="008528DB" w:rsidRPr="00FA2CE1">
        <w:rPr>
          <w:highlight w:val="yellow"/>
        </w:rPr>
        <w:t xml:space="preserve">highlights key provisions of all the </w:t>
      </w:r>
      <w:r w:rsidR="00BB000E" w:rsidRPr="00FA2CE1">
        <w:rPr>
          <w:highlight w:val="yellow"/>
        </w:rPr>
        <w:t xml:space="preserve">polystyrene regulations </w:t>
      </w:r>
      <w:r w:rsidR="008528DB" w:rsidRPr="00FA2CE1">
        <w:rPr>
          <w:highlight w:val="yellow"/>
        </w:rPr>
        <w:t>adopted to date, as well as areas not covered</w:t>
      </w:r>
      <w:r w:rsidR="008528DB">
        <w:t xml:space="preserve">. </w:t>
      </w:r>
      <w:r w:rsidR="00BB000E">
        <w:t>The regulations share many common elements, but vary in comprehensiveness and coverage. Some of the regulations have unique provisions that are worth considering and most share weaknesses that we might consider addressing.</w:t>
      </w:r>
    </w:p>
    <w:p w:rsidR="005D1FE0" w:rsidRDefault="005D1FE0" w:rsidP="00793381">
      <w:pPr>
        <w:pStyle w:val="ListParagraph"/>
        <w:ind w:left="360"/>
        <w:rPr>
          <w:b/>
        </w:rPr>
      </w:pPr>
    </w:p>
    <w:p w:rsidR="002B70F3" w:rsidRPr="00124296" w:rsidRDefault="002B70F3" w:rsidP="00D24532">
      <w:pPr>
        <w:pStyle w:val="ListParagraph"/>
        <w:numPr>
          <w:ilvl w:val="0"/>
          <w:numId w:val="2"/>
        </w:numPr>
        <w:rPr>
          <w:b/>
        </w:rPr>
      </w:pPr>
      <w:r w:rsidRPr="00124296">
        <w:rPr>
          <w:b/>
        </w:rPr>
        <w:t>Single-use plastic bags</w:t>
      </w:r>
    </w:p>
    <w:p w:rsidR="00EC6DB8" w:rsidRDefault="00EC6DB8" w:rsidP="00CC43AB">
      <w:pPr>
        <w:pStyle w:val="Body"/>
        <w:numPr>
          <w:ilvl w:val="1"/>
          <w:numId w:val="2"/>
        </w:numPr>
        <w:spacing w:line="276" w:lineRule="auto"/>
        <w:rPr>
          <w:rFonts w:ascii="Calibri" w:hAnsi="Calibri"/>
        </w:rPr>
      </w:pPr>
      <w:r w:rsidRPr="00CC43AB">
        <w:rPr>
          <w:rFonts w:asciiTheme="minorHAnsi" w:hAnsiTheme="minorHAnsi"/>
          <w:b/>
        </w:rPr>
        <w:t>Rationale</w:t>
      </w:r>
      <w:r w:rsidRPr="0042468C">
        <w:rPr>
          <w:rFonts w:asciiTheme="minorHAnsi" w:hAnsiTheme="minorHAnsi"/>
        </w:rPr>
        <w:t>:</w:t>
      </w:r>
      <w:r w:rsidRPr="0042468C">
        <w:rPr>
          <w:rFonts w:ascii="Calibri" w:hAnsi="Calibri"/>
        </w:rPr>
        <w:t xml:space="preserve"> </w:t>
      </w:r>
      <w:r w:rsidRPr="00CC43AB">
        <w:rPr>
          <w:rFonts w:ascii="Calibri" w:hAnsi="Calibri"/>
          <w:highlight w:val="yellow"/>
        </w:rPr>
        <w:t>Plastic shopping bags, especially thin-film single-use bags, cause widespread</w:t>
      </w:r>
      <w:r w:rsidR="00CC43AB" w:rsidRPr="00CC43AB">
        <w:rPr>
          <w:rFonts w:ascii="Calibri" w:hAnsi="Calibri"/>
          <w:highlight w:val="yellow"/>
        </w:rPr>
        <w:t xml:space="preserve">, </w:t>
      </w:r>
      <w:r w:rsidRPr="00CC43AB">
        <w:rPr>
          <w:rFonts w:ascii="Calibri" w:hAnsi="Calibri"/>
          <w:highlight w:val="yellow"/>
        </w:rPr>
        <w:t>well-documented</w:t>
      </w:r>
      <w:r w:rsidR="00CC43AB" w:rsidRPr="00CC43AB">
        <w:rPr>
          <w:rFonts w:ascii="Calibri" w:hAnsi="Calibri"/>
          <w:highlight w:val="yellow"/>
        </w:rPr>
        <w:t xml:space="preserve">, direct, and indirect health and </w:t>
      </w:r>
      <w:r w:rsidRPr="00CC43AB">
        <w:rPr>
          <w:rFonts w:ascii="Calibri" w:hAnsi="Calibri"/>
          <w:highlight w:val="yellow"/>
        </w:rPr>
        <w:t>environmental</w:t>
      </w:r>
      <w:r w:rsidR="00CC43AB" w:rsidRPr="00CC43AB">
        <w:rPr>
          <w:rFonts w:ascii="Calibri" w:hAnsi="Calibri"/>
          <w:highlight w:val="yellow"/>
        </w:rPr>
        <w:t xml:space="preserve"> </w:t>
      </w:r>
      <w:r w:rsidRPr="00CC43AB">
        <w:rPr>
          <w:rFonts w:ascii="Calibri" w:hAnsi="Calibri"/>
          <w:highlight w:val="yellow"/>
        </w:rPr>
        <w:t>problems</w:t>
      </w:r>
      <w:r w:rsidR="007E0EF5">
        <w:rPr>
          <w:rFonts w:ascii="Calibri" w:hAnsi="Calibri"/>
        </w:rPr>
        <w:t xml:space="preserve">. </w:t>
      </w:r>
      <w:r w:rsidR="007E0EF5" w:rsidRPr="007E0EF5">
        <w:rPr>
          <w:rFonts w:ascii="Calibri" w:hAnsi="Calibri"/>
          <w:highlight w:val="yellow"/>
        </w:rPr>
        <w:t>The public health risks are both direct – such as the release of Endocrine Disruptors and possibly other toxic chemicals from the bags themselves – and indirect – through food chain contamination.</w:t>
      </w:r>
      <w:r w:rsidR="007E0EF5" w:rsidRPr="00ED2A5B">
        <w:rPr>
          <w:rFonts w:ascii="Calibri" w:hAnsi="Calibri"/>
        </w:rPr>
        <w:t xml:space="preserve"> </w:t>
      </w:r>
      <w:r w:rsidR="007E0EF5">
        <w:rPr>
          <w:rFonts w:ascii="Calibri" w:hAnsi="Calibri"/>
        </w:rPr>
        <w:t>The path from product to health effects is conceptually illustrated in the graphic on the following page.</w:t>
      </w:r>
      <w:r w:rsidR="007E0EF5" w:rsidRPr="007E0EF5">
        <w:rPr>
          <w:rFonts w:ascii="Calibri" w:hAnsi="Calibri"/>
        </w:rPr>
        <w:t xml:space="preserve"> </w:t>
      </w:r>
      <w:r w:rsidR="007E0EF5" w:rsidRPr="007E0EF5">
        <w:rPr>
          <w:rFonts w:ascii="Calibri" w:hAnsi="Calibri"/>
          <w:highlight w:val="yellow"/>
        </w:rPr>
        <w:t>The adverse effects of plastic bags on the biosphere are enormous and are recognized worldwide, so much so that many other countries lead the US in addressing them.</w:t>
      </w:r>
      <w:r w:rsidR="007E0EF5" w:rsidRPr="00ED2A5B">
        <w:rPr>
          <w:rFonts w:ascii="Calibri" w:hAnsi="Calibri"/>
        </w:rPr>
        <w:t xml:space="preserve"> </w:t>
      </w:r>
      <w:r w:rsidR="007E0EF5">
        <w:rPr>
          <w:rFonts w:ascii="Calibri" w:hAnsi="Calibri"/>
        </w:rPr>
        <w:t xml:space="preserve">The impacts include </w:t>
      </w:r>
      <w:r w:rsidRPr="00ED2A5B">
        <w:rPr>
          <w:rFonts w:ascii="Calibri" w:hAnsi="Calibri"/>
        </w:rPr>
        <w:t xml:space="preserve">global warming, environmental degradation, threats to terrestrial and marine wildlife, poor natural </w:t>
      </w:r>
      <w:r w:rsidRPr="00ED2A5B">
        <w:rPr>
          <w:rFonts w:ascii="Calibri" w:hAnsi="Calibri"/>
        </w:rPr>
        <w:lastRenderedPageBreak/>
        <w:t xml:space="preserve">resource utilization, unnecessary and excessive solid waste, </w:t>
      </w:r>
      <w:r w:rsidR="007E0EF5">
        <w:rPr>
          <w:rFonts w:ascii="Calibri" w:hAnsi="Calibri"/>
        </w:rPr>
        <w:t>and waste disposal issues</w:t>
      </w:r>
      <w:r w:rsidRPr="00ED2A5B">
        <w:rPr>
          <w:rFonts w:ascii="Calibri" w:hAnsi="Calibri"/>
        </w:rPr>
        <w:t xml:space="preserve">. </w:t>
      </w:r>
      <w:r w:rsidRPr="007E0EF5">
        <w:rPr>
          <w:rFonts w:ascii="Calibri" w:hAnsi="Calibri"/>
          <w:highlight w:val="yellow"/>
        </w:rPr>
        <w:t>The effects stem from the bags’ chemical makeup, their physical attributes, and their ubiquity.</w:t>
      </w:r>
      <w:r w:rsidRPr="00ED2A5B">
        <w:rPr>
          <w:rFonts w:ascii="Calibri" w:hAnsi="Calibri"/>
        </w:rPr>
        <w:t xml:space="preserve"> </w:t>
      </w:r>
    </w:p>
    <w:p w:rsidR="00285010" w:rsidRDefault="00285010" w:rsidP="00793381">
      <w:pPr>
        <w:pStyle w:val="Body"/>
        <w:spacing w:line="276" w:lineRule="auto"/>
        <w:rPr>
          <w:rFonts w:ascii="Calibri" w:hAnsi="Calibri"/>
        </w:rPr>
      </w:pPr>
    </w:p>
    <w:p w:rsidR="007E0EF5" w:rsidRDefault="007E0EF5" w:rsidP="00CD112E">
      <w:pPr>
        <w:pStyle w:val="Body"/>
        <w:spacing w:after="120" w:line="276" w:lineRule="auto"/>
        <w:jc w:val="center"/>
        <w:rPr>
          <w:rFonts w:ascii="Calibri" w:hAnsi="Calibri"/>
          <w:b/>
        </w:rPr>
      </w:pPr>
      <w:r w:rsidRPr="00FA2CE1">
        <w:rPr>
          <w:rFonts w:ascii="Calibri" w:hAnsi="Calibri"/>
          <w:b/>
          <w:highlight w:val="yellow"/>
        </w:rPr>
        <w:t>Single-use plastic bags: pathways to health risks</w:t>
      </w:r>
    </w:p>
    <w:p w:rsidR="007E0EF5" w:rsidRDefault="00CD112E" w:rsidP="00793381">
      <w:pPr>
        <w:pStyle w:val="Body"/>
        <w:spacing w:line="276" w:lineRule="auto"/>
        <w:jc w:val="center"/>
        <w:rPr>
          <w:rFonts w:ascii="Calibri" w:hAnsi="Calibri"/>
          <w:b/>
        </w:rPr>
      </w:pPr>
      <w:r w:rsidRPr="00285010">
        <w:rPr>
          <w:rFonts w:ascii="Calibri" w:hAnsi="Calibri"/>
          <w:noProof/>
        </w:rPr>
        <mc:AlternateContent>
          <mc:Choice Requires="wps">
            <w:drawing>
              <wp:anchor distT="0" distB="0" distL="114300" distR="114300" simplePos="0" relativeHeight="251665408" behindDoc="0" locked="0" layoutInCell="1" allowOverlap="1" wp14:anchorId="17DDE314" wp14:editId="365D25FF">
                <wp:simplePos x="0" y="0"/>
                <wp:positionH relativeFrom="column">
                  <wp:align>center</wp:align>
                </wp:positionH>
                <wp:positionV relativeFrom="paragraph">
                  <wp:posOffset>0</wp:posOffset>
                </wp:positionV>
                <wp:extent cx="4508500" cy="1800225"/>
                <wp:effectExtent l="0" t="0" r="254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646" cy="1800225"/>
                        </a:xfrm>
                        <a:prstGeom prst="rect">
                          <a:avLst/>
                        </a:prstGeom>
                        <a:solidFill>
                          <a:srgbClr val="FFFFFF"/>
                        </a:solidFill>
                        <a:ln w="9525">
                          <a:solidFill>
                            <a:srgbClr val="000000"/>
                          </a:solidFill>
                          <a:miter lim="800000"/>
                          <a:headEnd/>
                          <a:tailEnd/>
                        </a:ln>
                      </wps:spPr>
                      <wps:txbx>
                        <w:txbxContent>
                          <w:p w:rsidR="002A3073" w:rsidRDefault="002A3073" w:rsidP="00501D43">
                            <w:pPr>
                              <w:jc w:val="center"/>
                            </w:pPr>
                            <w:r>
                              <w:t xml:space="preserve">Polyethylene  </w:t>
                            </w:r>
                            <w:r w:rsidRPr="0039569C">
                              <w:rPr>
                                <w:sz w:val="28"/>
                                <w:szCs w:val="28"/>
                              </w:rPr>
                              <w:t>+</w:t>
                            </w:r>
                            <w:r>
                              <w:t xml:space="preserve">  toxic chemicals  </w:t>
                            </w:r>
                            <w:r w:rsidRPr="0039569C">
                              <w:rPr>
                                <w:sz w:val="28"/>
                                <w:szCs w:val="28"/>
                              </w:rPr>
                              <w:t xml:space="preserve">= </w:t>
                            </w:r>
                            <w:r>
                              <w:rPr>
                                <w:sz w:val="28"/>
                                <w:szCs w:val="28"/>
                              </w:rPr>
                              <w:t xml:space="preserve"> </w:t>
                            </w:r>
                            <w:r>
                              <w:t>Single-use plastic bags</w:t>
                            </w:r>
                          </w:p>
                          <w:p w:rsidR="002A3073" w:rsidRDefault="002A3073" w:rsidP="004A3255">
                            <w:pPr>
                              <w:spacing w:after="0"/>
                              <w:ind w:firstLine="720"/>
                            </w:pPr>
                            <w:r>
                              <w:tab/>
                            </w:r>
                            <w:r>
                              <w:tab/>
                              <w:t xml:space="preserve"> Direct </w:t>
                            </w:r>
                            <w:r>
                              <w:tab/>
                            </w:r>
                            <w:r>
                              <w:tab/>
                              <w:t>Endocrine disruptors</w:t>
                            </w:r>
                          </w:p>
                          <w:p w:rsidR="002A3073" w:rsidRDefault="002A3073" w:rsidP="00501D43">
                            <w:pPr>
                              <w:spacing w:after="0"/>
                              <w:ind w:left="3600"/>
                            </w:pPr>
                            <w:r>
                              <w:t>Health effects from other toxic chemicals</w:t>
                            </w:r>
                          </w:p>
                          <w:p w:rsidR="002A3073" w:rsidRDefault="002A3073" w:rsidP="00262769">
                            <w:pPr>
                              <w:spacing w:before="120" w:after="0"/>
                              <w:ind w:left="3600" w:hanging="1440"/>
                            </w:pPr>
                            <w:r>
                              <w:t>Indirect</w:t>
                            </w:r>
                            <w:r>
                              <w:tab/>
                              <w:t>Health effects from micro-/nano-plastics adsorbing toxic chemicals then entering the food chain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E314" id="_x0000_s1027" type="#_x0000_t202" style="position:absolute;left:0;text-align:left;margin-left:0;margin-top:0;width:355pt;height:141.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">
                <v:textbox>
                  <w:txbxContent>
                    <w:p w:rsidR="002A3073" w:rsidRDefault="002A3073" w:rsidP="00501D43">
                      <w:pPr>
                        <w:jc w:val="center"/>
                      </w:pPr>
                      <w:r>
                        <w:t xml:space="preserve">Polyethylene  </w:t>
                      </w:r>
                      <w:r w:rsidRPr="0039569C">
                        <w:rPr>
                          <w:sz w:val="28"/>
                          <w:szCs w:val="28"/>
                        </w:rPr>
                        <w:t>+</w:t>
                      </w:r>
                      <w:r>
                        <w:t xml:space="preserve">  toxic chemicals  </w:t>
                      </w:r>
                      <w:r w:rsidRPr="0039569C">
                        <w:rPr>
                          <w:sz w:val="28"/>
                          <w:szCs w:val="28"/>
                        </w:rPr>
                        <w:t xml:space="preserve">= </w:t>
                      </w:r>
                      <w:r>
                        <w:rPr>
                          <w:sz w:val="28"/>
                          <w:szCs w:val="28"/>
                        </w:rPr>
                        <w:t xml:space="preserve"> </w:t>
                      </w:r>
                      <w:r>
                        <w:t>Single-use plastic bags</w:t>
                      </w:r>
                    </w:p>
                    <w:p w:rsidR="002A3073" w:rsidRDefault="002A3073" w:rsidP="004A3255">
                      <w:pPr>
                        <w:spacing w:after="0"/>
                        <w:ind w:firstLine="720"/>
                      </w:pPr>
                      <w:r>
                        <w:tab/>
                      </w:r>
                      <w:r>
                        <w:tab/>
                        <w:t xml:space="preserve"> Direct </w:t>
                      </w:r>
                      <w:r>
                        <w:tab/>
                      </w:r>
                      <w:r>
                        <w:tab/>
                        <w:t>Endocrine disruptors</w:t>
                      </w:r>
                    </w:p>
                    <w:p w:rsidR="002A3073" w:rsidRDefault="002A3073" w:rsidP="00501D43">
                      <w:pPr>
                        <w:spacing w:after="0"/>
                        <w:ind w:left="3600"/>
                      </w:pPr>
                      <w:r>
                        <w:t>Health effects from other toxic chemicals</w:t>
                      </w:r>
                    </w:p>
                    <w:p w:rsidR="002A3073" w:rsidRDefault="002A3073" w:rsidP="00262769">
                      <w:pPr>
                        <w:spacing w:before="120" w:after="0"/>
                        <w:ind w:left="3600" w:hanging="1440"/>
                      </w:pPr>
                      <w:r>
                        <w:t>Indirect</w:t>
                      </w:r>
                      <w:r>
                        <w:tab/>
                        <w:t>Health effects from micro-/nano-plastics adsorbing toxic chemicals then entering the food chain</w:t>
                      </w:r>
                    </w:p>
                  </w:txbxContent>
                </v:textbox>
              </v:shape>
            </w:pict>
          </mc:Fallback>
        </mc:AlternateContent>
      </w:r>
    </w:p>
    <w:p w:rsidR="00285010" w:rsidRDefault="00CD112E" w:rsidP="00793381">
      <w:pPr>
        <w:pStyle w:val="Body"/>
        <w:spacing w:line="276" w:lineRule="auto"/>
        <w:jc w:val="center"/>
        <w:rPr>
          <w:rFonts w:ascii="Calibri" w:hAnsi="Calibri"/>
        </w:rPr>
      </w:pPr>
      <w:r>
        <w:rPr>
          <w:rFonts w:ascii="Calibri" w:hAnsi="Calibri"/>
          <w:noProof/>
          <w:bdr w:val="none" w:sz="0" w:space="0" w:color="auto"/>
        </w:rPr>
        <mc:AlternateContent>
          <mc:Choice Requires="wps">
            <w:drawing>
              <wp:anchor distT="0" distB="0" distL="114300" distR="114300" simplePos="0" relativeHeight="251666432" behindDoc="0" locked="0" layoutInCell="1" allowOverlap="1" wp14:anchorId="14A80393" wp14:editId="0C9DD866">
                <wp:simplePos x="0" y="0"/>
                <wp:positionH relativeFrom="column">
                  <wp:posOffset>2438400</wp:posOffset>
                </wp:positionH>
                <wp:positionV relativeFrom="paragraph">
                  <wp:posOffset>60960</wp:posOffset>
                </wp:positionV>
                <wp:extent cx="0" cy="108585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1085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3162FA7" id="Straight Arrow Connector 7" o:spid="_x0000_s1026" type="#_x0000_t32" style="position:absolute;margin-left:192pt;margin-top:4.8pt;width:0;height:8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" strokecolor="black [3040]">
                <v:stroke endarrow="open"/>
              </v:shape>
            </w:pict>
          </mc:Fallback>
        </mc:AlternateContent>
      </w:r>
    </w:p>
    <w:p w:rsidR="00285010" w:rsidRDefault="00285010" w:rsidP="00793381">
      <w:pPr>
        <w:pStyle w:val="Body"/>
        <w:spacing w:line="276" w:lineRule="auto"/>
        <w:rPr>
          <w:rFonts w:ascii="Calibri" w:hAnsi="Calibri"/>
        </w:rPr>
      </w:pPr>
    </w:p>
    <w:p w:rsidR="00285010" w:rsidRDefault="00CD112E" w:rsidP="00793381">
      <w:pPr>
        <w:pStyle w:val="Body"/>
        <w:spacing w:line="276" w:lineRule="auto"/>
        <w:rPr>
          <w:rFonts w:ascii="Calibri" w:hAnsi="Calibri"/>
        </w:rPr>
      </w:pPr>
      <w:r>
        <w:rPr>
          <w:rFonts w:ascii="Calibri" w:hAnsi="Calibri"/>
          <w:noProof/>
          <w:bdr w:val="none" w:sz="0" w:space="0" w:color="auto"/>
        </w:rPr>
        <mc:AlternateContent>
          <mc:Choice Requires="wps">
            <w:drawing>
              <wp:anchor distT="0" distB="0" distL="114300" distR="114300" simplePos="0" relativeHeight="251668480" behindDoc="0" locked="0" layoutInCell="1" allowOverlap="1" wp14:anchorId="31DE70FA" wp14:editId="3DA0FF63">
                <wp:simplePos x="0" y="0"/>
                <wp:positionH relativeFrom="column">
                  <wp:posOffset>2433320</wp:posOffset>
                </wp:positionH>
                <wp:positionV relativeFrom="paragraph">
                  <wp:posOffset>114300</wp:posOffset>
                </wp:positionV>
                <wp:extent cx="843915" cy="6985"/>
                <wp:effectExtent l="0" t="76200" r="13335" b="107315"/>
                <wp:wrapNone/>
                <wp:docPr id="9" name="Straight Arrow Connector 9"/>
                <wp:cNvGraphicFramePr/>
                <a:graphic xmlns:a="http://schemas.openxmlformats.org/drawingml/2006/main">
                  <a:graphicData uri="http://schemas.microsoft.com/office/word/2010/wordprocessingShape">
                    <wps:wsp>
                      <wps:cNvCnPr/>
                      <wps:spPr>
                        <a:xfrm flipV="1">
                          <a:off x="0" y="0"/>
                          <a:ext cx="843915" cy="6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1F57FB3" id="Straight Arrow Connector 9" o:spid="_x0000_s1026" type="#_x0000_t32" style="position:absolute;margin-left:191.6pt;margin-top:9pt;width:66.45pt;height:.55pt;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" strokecolor="black [3040]">
                <v:stroke endarrow="open"/>
              </v:shape>
            </w:pict>
          </mc:Fallback>
        </mc:AlternateContent>
      </w:r>
    </w:p>
    <w:p w:rsidR="00285010" w:rsidRDefault="00285010" w:rsidP="00793381">
      <w:pPr>
        <w:pStyle w:val="Body"/>
        <w:spacing w:line="276" w:lineRule="auto"/>
        <w:rPr>
          <w:rFonts w:ascii="Calibri" w:hAnsi="Calibri"/>
        </w:rPr>
      </w:pPr>
    </w:p>
    <w:p w:rsidR="00285010" w:rsidRDefault="00285010" w:rsidP="00793381">
      <w:pPr>
        <w:pStyle w:val="Body"/>
        <w:spacing w:line="276" w:lineRule="auto"/>
        <w:rPr>
          <w:rFonts w:ascii="Calibri" w:hAnsi="Calibri"/>
        </w:rPr>
      </w:pPr>
    </w:p>
    <w:p w:rsidR="00285010" w:rsidRDefault="00CD112E" w:rsidP="00793381">
      <w:pPr>
        <w:pStyle w:val="Body"/>
        <w:spacing w:line="276" w:lineRule="auto"/>
        <w:rPr>
          <w:rFonts w:ascii="Calibri" w:hAnsi="Calibri"/>
        </w:rPr>
      </w:pPr>
      <w:r>
        <w:rPr>
          <w:rFonts w:ascii="Calibri" w:hAnsi="Calibri"/>
          <w:noProof/>
          <w:bdr w:val="none" w:sz="0" w:space="0" w:color="auto"/>
        </w:rPr>
        <mc:AlternateContent>
          <mc:Choice Requires="wps">
            <w:drawing>
              <wp:anchor distT="0" distB="0" distL="114300" distR="114300" simplePos="0" relativeHeight="251667456" behindDoc="0" locked="0" layoutInCell="1" allowOverlap="1" wp14:anchorId="1D764379" wp14:editId="5D07381F">
                <wp:simplePos x="0" y="0"/>
                <wp:positionH relativeFrom="column">
                  <wp:posOffset>2442845</wp:posOffset>
                </wp:positionH>
                <wp:positionV relativeFrom="paragraph">
                  <wp:posOffset>178435</wp:posOffset>
                </wp:positionV>
                <wp:extent cx="843915" cy="0"/>
                <wp:effectExtent l="0" t="76200" r="13335" b="114300"/>
                <wp:wrapNone/>
                <wp:docPr id="8" name="Straight Arrow Connector 8"/>
                <wp:cNvGraphicFramePr/>
                <a:graphic xmlns:a="http://schemas.openxmlformats.org/drawingml/2006/main">
                  <a:graphicData uri="http://schemas.microsoft.com/office/word/2010/wordprocessingShape">
                    <wps:wsp>
                      <wps:cNvCnPr/>
                      <wps:spPr>
                        <a:xfrm>
                          <a:off x="0" y="0"/>
                          <a:ext cx="8439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472169" id="Straight Arrow Connector 8" o:spid="_x0000_s1026" type="#_x0000_t32" style="position:absolute;margin-left:192.35pt;margin-top:14.05pt;width:66.4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" strokecolor="black [3040]">
                <v:stroke endarrow="open"/>
              </v:shape>
            </w:pict>
          </mc:Fallback>
        </mc:AlternateContent>
      </w:r>
    </w:p>
    <w:p w:rsidR="00285010" w:rsidRDefault="00285010" w:rsidP="00793381">
      <w:pPr>
        <w:pStyle w:val="Body"/>
        <w:spacing w:line="276" w:lineRule="auto"/>
        <w:rPr>
          <w:rFonts w:ascii="Calibri" w:hAnsi="Calibri"/>
        </w:rPr>
      </w:pPr>
    </w:p>
    <w:p w:rsidR="00285010" w:rsidRDefault="00285010" w:rsidP="00793381">
      <w:pPr>
        <w:pStyle w:val="Body"/>
        <w:spacing w:line="276" w:lineRule="auto"/>
        <w:rPr>
          <w:rFonts w:ascii="Calibri" w:hAnsi="Calibri"/>
        </w:rPr>
      </w:pPr>
    </w:p>
    <w:p w:rsidR="00285010" w:rsidRDefault="00285010" w:rsidP="00793381">
      <w:pPr>
        <w:pStyle w:val="Body"/>
        <w:spacing w:line="276" w:lineRule="auto"/>
        <w:rPr>
          <w:rFonts w:ascii="Calibri" w:hAnsi="Calibri"/>
        </w:rPr>
      </w:pPr>
    </w:p>
    <w:p w:rsidR="00EC6DB8" w:rsidRDefault="00EC6DB8" w:rsidP="00177CC0">
      <w:pPr>
        <w:pStyle w:val="Body"/>
        <w:numPr>
          <w:ilvl w:val="0"/>
          <w:numId w:val="26"/>
        </w:numPr>
        <w:spacing w:line="276" w:lineRule="auto"/>
        <w:ind w:left="1800"/>
        <w:rPr>
          <w:rFonts w:ascii="Calibri" w:hAnsi="Calibri"/>
        </w:rPr>
      </w:pPr>
      <w:r w:rsidRPr="00CD112E">
        <w:rPr>
          <w:rFonts w:ascii="Calibri" w:hAnsi="Calibri"/>
          <w:highlight w:val="yellow"/>
        </w:rPr>
        <w:t>The ubiquity of the bags contributes greatly to the magnitude of their adverse effects</w:t>
      </w:r>
      <w:r>
        <w:rPr>
          <w:rFonts w:ascii="Calibri" w:hAnsi="Calibri"/>
        </w:rPr>
        <w:t>. To appreciate this, consider the following:</w:t>
      </w:r>
    </w:p>
    <w:p w:rsidR="00EC6DB8" w:rsidRDefault="00EC6DB8" w:rsidP="00177CC0">
      <w:pPr>
        <w:pStyle w:val="Body"/>
        <w:numPr>
          <w:ilvl w:val="1"/>
          <w:numId w:val="26"/>
        </w:numPr>
        <w:spacing w:line="276" w:lineRule="auto"/>
        <w:ind w:left="2520"/>
        <w:rPr>
          <w:rFonts w:ascii="Calibri" w:hAnsi="Calibri"/>
        </w:rPr>
      </w:pPr>
      <w:r>
        <w:rPr>
          <w:rFonts w:ascii="Calibri" w:hAnsi="Calibri"/>
        </w:rPr>
        <w:t xml:space="preserve">As previously noted, residents in </w:t>
      </w:r>
      <w:r w:rsidRPr="00CD112E">
        <w:rPr>
          <w:rFonts w:ascii="Calibri" w:hAnsi="Calibri"/>
          <w:highlight w:val="yellow"/>
        </w:rPr>
        <w:t>our three towns use more than 7 million single-use plastic bags a year</w:t>
      </w:r>
      <w:r>
        <w:rPr>
          <w:rFonts w:ascii="Calibri" w:hAnsi="Calibri"/>
        </w:rPr>
        <w:t>.</w:t>
      </w:r>
      <w:r w:rsidRPr="003D1AAC">
        <w:rPr>
          <w:rFonts w:ascii="Calibri" w:hAnsi="Calibri"/>
        </w:rPr>
        <w:t xml:space="preserve"> </w:t>
      </w:r>
      <w:r w:rsidRPr="00462F75">
        <w:rPr>
          <w:rFonts w:ascii="Calibri" w:hAnsi="Calibri"/>
        </w:rPr>
        <w:t xml:space="preserve">Since Lee, Lenox, and Stockbridge are popular tourist destinations with numerous restaurants and retail stores, actual bag usage </w:t>
      </w:r>
      <w:r>
        <w:rPr>
          <w:rFonts w:ascii="Calibri" w:hAnsi="Calibri"/>
        </w:rPr>
        <w:t xml:space="preserve">is probably greater. </w:t>
      </w:r>
      <w:r w:rsidRPr="00462F75">
        <w:rPr>
          <w:rFonts w:ascii="Calibri" w:hAnsi="Calibri"/>
        </w:rPr>
        <w:t xml:space="preserve"> </w:t>
      </w:r>
    </w:p>
    <w:p w:rsidR="00EC6DB8" w:rsidRPr="00462F30" w:rsidRDefault="00EC6DB8" w:rsidP="00177CC0">
      <w:pPr>
        <w:pStyle w:val="Body"/>
        <w:numPr>
          <w:ilvl w:val="1"/>
          <w:numId w:val="26"/>
        </w:numPr>
        <w:spacing w:line="276" w:lineRule="auto"/>
        <w:ind w:left="2520"/>
        <w:rPr>
          <w:rFonts w:ascii="Calibri" w:hAnsi="Calibri"/>
          <w:position w:val="-2"/>
        </w:rPr>
      </w:pPr>
      <w:r w:rsidRPr="00177CC0">
        <w:rPr>
          <w:rFonts w:ascii="Calibri" w:hAnsi="Calibri"/>
        </w:rPr>
        <w:t>Massachusetts residents are estimated to use more than 2 billion bags per year (about a bag per person per day). [8]</w:t>
      </w:r>
    </w:p>
    <w:p w:rsidR="00462F30" w:rsidRPr="00462F30" w:rsidRDefault="00462F30" w:rsidP="00177CC0">
      <w:pPr>
        <w:pStyle w:val="Body"/>
        <w:numPr>
          <w:ilvl w:val="1"/>
          <w:numId w:val="26"/>
        </w:numPr>
        <w:spacing w:line="276" w:lineRule="auto"/>
        <w:ind w:left="2520"/>
        <w:rPr>
          <w:rFonts w:ascii="Calibri" w:hAnsi="Calibri"/>
          <w:position w:val="-2"/>
          <w:highlight w:val="yellow"/>
        </w:rPr>
      </w:pPr>
      <w:r>
        <w:rPr>
          <w:rFonts w:ascii="Calibri" w:hAnsi="Calibri"/>
        </w:rPr>
        <w:t>During the 2011 International Coastal Cleanup, Massachusetts CLEANSWEEP volunteers collected 5,712 pounds of plastic bags, one o</w:t>
      </w:r>
      <w:r w:rsidR="00521DBE">
        <w:rPr>
          <w:rFonts w:ascii="Calibri" w:hAnsi="Calibri"/>
        </w:rPr>
        <w:t>f the most common forms of litt</w:t>
      </w:r>
      <w:r>
        <w:rPr>
          <w:rFonts w:ascii="Calibri" w:hAnsi="Calibri"/>
        </w:rPr>
        <w:t>e</w:t>
      </w:r>
      <w:r w:rsidR="00521DBE">
        <w:rPr>
          <w:rFonts w:ascii="Calibri" w:hAnsi="Calibri"/>
        </w:rPr>
        <w:t>r</w:t>
      </w:r>
      <w:r>
        <w:rPr>
          <w:rFonts w:ascii="Calibri" w:hAnsi="Calibri"/>
        </w:rPr>
        <w:t xml:space="preserve"> found. The US total was 120,450 pounds. [10</w:t>
      </w:r>
      <w:r w:rsidRPr="00462F30">
        <w:rPr>
          <w:rFonts w:ascii="Calibri" w:hAnsi="Calibri"/>
          <w:highlight w:val="yellow"/>
        </w:rPr>
        <w:t>] Our towns, despite being far inland, can well contribute to coastal litter and marine contamination, since the Housatonic River – which passes through our three towns – empties into Long Island Sound.</w:t>
      </w:r>
    </w:p>
    <w:p w:rsidR="00EC6DB8" w:rsidRPr="00462F75" w:rsidRDefault="00EC6DB8" w:rsidP="00177CC0">
      <w:pPr>
        <w:pStyle w:val="Default"/>
        <w:numPr>
          <w:ilvl w:val="3"/>
          <w:numId w:val="2"/>
        </w:numPr>
        <w:spacing w:line="276" w:lineRule="auto"/>
        <w:rPr>
          <w:rFonts w:ascii="Calibri" w:hAnsi="Calibri"/>
          <w:position w:val="-2"/>
        </w:rPr>
      </w:pPr>
      <w:r w:rsidRPr="00462F75">
        <w:rPr>
          <w:rFonts w:ascii="Calibri" w:hAnsi="Calibri"/>
        </w:rPr>
        <w:t>As of October 2014, it is estimated 100 billion plastic bags pass through the hands of U.S. consumers per year. That’s almost 1 bag, per person, per day (</w:t>
      </w:r>
      <w:r>
        <w:rPr>
          <w:rFonts w:ascii="Calibri" w:hAnsi="Calibri"/>
        </w:rPr>
        <w:t xml:space="preserve">more </w:t>
      </w:r>
      <w:r w:rsidRPr="00462F75">
        <w:rPr>
          <w:rFonts w:ascii="Calibri" w:hAnsi="Calibri"/>
        </w:rPr>
        <w:t>than 300 bags per person, per year.) [7]</w:t>
      </w:r>
    </w:p>
    <w:p w:rsidR="00EC6DB8" w:rsidRPr="00462F75" w:rsidRDefault="00EC6DB8" w:rsidP="00177CC0">
      <w:pPr>
        <w:pStyle w:val="Default"/>
        <w:numPr>
          <w:ilvl w:val="3"/>
          <w:numId w:val="2"/>
        </w:numPr>
        <w:spacing w:line="276" w:lineRule="auto"/>
        <w:rPr>
          <w:rFonts w:ascii="Calibri" w:hAnsi="Calibri"/>
          <w:position w:val="-2"/>
        </w:rPr>
      </w:pPr>
      <w:r w:rsidRPr="00462F75">
        <w:rPr>
          <w:rFonts w:ascii="Calibri" w:hAnsi="Calibri"/>
        </w:rPr>
        <w:t>It is estimated that worldwide 500 million to 1 trillion single-use plastic bags are used per year, nearly 2 million per minute. [6]</w:t>
      </w:r>
    </w:p>
    <w:p w:rsidR="00EC6DB8" w:rsidRDefault="00EC6DB8" w:rsidP="00177CC0">
      <w:pPr>
        <w:pStyle w:val="Body"/>
        <w:numPr>
          <w:ilvl w:val="3"/>
          <w:numId w:val="2"/>
        </w:numPr>
        <w:spacing w:line="276" w:lineRule="auto"/>
        <w:rPr>
          <w:rFonts w:ascii="Calibri" w:hAnsi="Calibri"/>
        </w:rPr>
      </w:pPr>
      <w:r w:rsidRPr="003D1AAC">
        <w:rPr>
          <w:rFonts w:ascii="Calibri" w:hAnsi="Calibri"/>
        </w:rPr>
        <w:t xml:space="preserve">Yet, </w:t>
      </w:r>
      <w:r w:rsidRPr="00CD112E">
        <w:rPr>
          <w:rFonts w:ascii="Calibri" w:hAnsi="Calibri"/>
          <w:highlight w:val="yellow"/>
        </w:rPr>
        <w:t>plastic bag recycling rates have been pegged as low as less than 1%.</w:t>
      </w:r>
      <w:r w:rsidRPr="00ED2A5B">
        <w:rPr>
          <w:rFonts w:ascii="Calibri" w:hAnsi="Calibri"/>
        </w:rPr>
        <w:t xml:space="preserve"> [1] </w:t>
      </w:r>
    </w:p>
    <w:p w:rsidR="00EC6DB8" w:rsidRDefault="00EC6DB8" w:rsidP="00177CC0">
      <w:pPr>
        <w:pStyle w:val="Body"/>
        <w:numPr>
          <w:ilvl w:val="2"/>
          <w:numId w:val="2"/>
        </w:numPr>
        <w:spacing w:line="276" w:lineRule="auto"/>
        <w:rPr>
          <w:rFonts w:ascii="Calibri" w:hAnsi="Calibri"/>
        </w:rPr>
      </w:pPr>
      <w:r>
        <w:rPr>
          <w:rFonts w:ascii="Calibri" w:hAnsi="Calibri"/>
        </w:rPr>
        <w:t>To understand the direct health effects, consider the following:</w:t>
      </w:r>
    </w:p>
    <w:p w:rsidR="00EC6DB8" w:rsidRPr="00B97CD9" w:rsidRDefault="00EC6DB8" w:rsidP="00462F30">
      <w:pPr>
        <w:pStyle w:val="Default"/>
        <w:numPr>
          <w:ilvl w:val="3"/>
          <w:numId w:val="2"/>
        </w:numPr>
        <w:spacing w:line="276" w:lineRule="auto"/>
        <w:rPr>
          <w:rFonts w:ascii="Calibri" w:hAnsi="Calibri"/>
          <w:position w:val="-2"/>
        </w:rPr>
      </w:pPr>
      <w:r w:rsidRPr="00B97CD9">
        <w:rPr>
          <w:rFonts w:ascii="Calibri" w:eastAsia="Arial Unicode MS" w:hAnsi="Calibri" w:cs="Arial Unicode MS"/>
        </w:rPr>
        <w:t xml:space="preserve">Thin-film plastic bags are produced from polyethylene plastic (HDPE, LDPE and LLDPE: Resin Identification Code and Safety Level [RIC]#2 and #4). While </w:t>
      </w:r>
      <w:r w:rsidRPr="00CD112E">
        <w:rPr>
          <w:rFonts w:ascii="Calibri" w:eastAsia="Arial Unicode MS" w:hAnsi="Calibri" w:cs="Arial Unicode MS"/>
          <w:highlight w:val="yellow"/>
        </w:rPr>
        <w:t xml:space="preserve">polyethylene </w:t>
      </w:r>
      <w:r w:rsidRPr="00CD112E">
        <w:rPr>
          <w:rFonts w:ascii="Calibri" w:hAnsi="Calibri"/>
          <w:highlight w:val="yellow"/>
        </w:rPr>
        <w:t xml:space="preserve">and polypropylene </w:t>
      </w:r>
      <w:r w:rsidRPr="00CD112E">
        <w:rPr>
          <w:rFonts w:ascii="Calibri" w:eastAsia="Arial Unicode MS" w:hAnsi="Calibri" w:cs="Arial Unicode MS"/>
          <w:highlight w:val="yellow"/>
        </w:rPr>
        <w:t>plastics</w:t>
      </w:r>
      <w:r w:rsidRPr="00B97CD9">
        <w:rPr>
          <w:rFonts w:ascii="Calibri" w:eastAsia="Arial Unicode MS" w:hAnsi="Calibri" w:cs="Arial Unicode MS"/>
        </w:rPr>
        <w:t xml:space="preserve"> (RIC #</w:t>
      </w:r>
      <w:r w:rsidRPr="00B97CD9">
        <w:rPr>
          <w:rFonts w:ascii="Calibri" w:hAnsi="Calibri"/>
        </w:rPr>
        <w:t>’s</w:t>
      </w:r>
      <w:r w:rsidRPr="00B97CD9">
        <w:rPr>
          <w:rFonts w:ascii="Calibri" w:eastAsia="Arial Unicode MS" w:hAnsi="Calibri" w:cs="Arial Unicode MS"/>
        </w:rPr>
        <w:t>1,2,</w:t>
      </w:r>
      <w:r>
        <w:rPr>
          <w:rFonts w:ascii="Calibri" w:hAnsi="Calibri"/>
        </w:rPr>
        <w:t xml:space="preserve"> </w:t>
      </w:r>
      <w:r w:rsidRPr="00B97CD9">
        <w:rPr>
          <w:rFonts w:ascii="Calibri" w:eastAsia="Arial Unicode MS" w:hAnsi="Calibri" w:cs="Arial Unicode MS"/>
        </w:rPr>
        <w:t>4</w:t>
      </w:r>
      <w:r>
        <w:rPr>
          <w:rFonts w:ascii="Calibri" w:hAnsi="Calibri"/>
        </w:rPr>
        <w:t>, and 5</w:t>
      </w:r>
      <w:r w:rsidRPr="00B97CD9">
        <w:rPr>
          <w:rFonts w:ascii="Calibri" w:eastAsia="Arial Unicode MS" w:hAnsi="Calibri" w:cs="Arial Unicode MS"/>
        </w:rPr>
        <w:t>) are described as “safer” than non-polyethylene plastics in RIC #</w:t>
      </w:r>
      <w:r w:rsidRPr="00B97CD9">
        <w:rPr>
          <w:rFonts w:ascii="Calibri" w:hAnsi="Calibri"/>
        </w:rPr>
        <w:t xml:space="preserve">’s </w:t>
      </w:r>
      <w:r w:rsidRPr="00B97CD9">
        <w:rPr>
          <w:rFonts w:ascii="Calibri" w:eastAsia="Arial Unicode MS" w:hAnsi="Calibri" w:cs="Arial Unicode MS"/>
        </w:rPr>
        <w:t>3,</w:t>
      </w:r>
      <w:r>
        <w:rPr>
          <w:rFonts w:ascii="Calibri" w:hAnsi="Calibri"/>
        </w:rPr>
        <w:t xml:space="preserve"> </w:t>
      </w:r>
      <w:r w:rsidRPr="00B97CD9">
        <w:rPr>
          <w:rFonts w:ascii="Calibri" w:eastAsia="Arial Unicode MS" w:hAnsi="Calibri" w:cs="Arial Unicode MS"/>
        </w:rPr>
        <w:t>6,</w:t>
      </w:r>
      <w:r w:rsidRPr="00B97CD9">
        <w:rPr>
          <w:rFonts w:ascii="Calibri" w:hAnsi="Calibri"/>
        </w:rPr>
        <w:t xml:space="preserve">and </w:t>
      </w:r>
      <w:r w:rsidRPr="00B97CD9">
        <w:rPr>
          <w:rFonts w:ascii="Calibri" w:eastAsia="Arial Unicode MS" w:hAnsi="Calibri" w:cs="Arial Unicode MS"/>
        </w:rPr>
        <w:t xml:space="preserve">7, they nevertheless </w:t>
      </w:r>
      <w:r w:rsidRPr="00CD112E">
        <w:rPr>
          <w:rFonts w:ascii="Calibri" w:eastAsia="Arial Unicode MS" w:hAnsi="Calibri" w:cs="Arial Unicode MS"/>
          <w:highlight w:val="yellow"/>
        </w:rPr>
        <w:t>contain toxic additives</w:t>
      </w:r>
      <w:r w:rsidRPr="00B97CD9">
        <w:rPr>
          <w:rFonts w:ascii="Calibri" w:eastAsia="Arial Unicode MS" w:hAnsi="Calibri" w:cs="Arial Unicode MS"/>
        </w:rPr>
        <w:t>. [3]</w:t>
      </w:r>
      <w:r w:rsidRPr="00B97CD9">
        <w:rPr>
          <w:rFonts w:ascii="Calibri" w:hAnsi="Calibri"/>
        </w:rPr>
        <w:t xml:space="preserve"> </w:t>
      </w:r>
      <w:r w:rsidRPr="00B97CD9">
        <w:rPr>
          <w:rFonts w:ascii="Calibri" w:eastAsia="Arial Unicode MS" w:hAnsi="Calibri" w:cs="Arial Unicode MS"/>
        </w:rPr>
        <w:t xml:space="preserve">Annual global production of polyethylene is around 80 million metric tons (approximately 2,200 </w:t>
      </w:r>
      <w:r>
        <w:rPr>
          <w:rFonts w:ascii="Calibri" w:hAnsi="Calibri"/>
        </w:rPr>
        <w:t>pounds</w:t>
      </w:r>
      <w:r w:rsidRPr="00B97CD9">
        <w:rPr>
          <w:rFonts w:ascii="Calibri" w:hAnsi="Calibri"/>
        </w:rPr>
        <w:t>/ton</w:t>
      </w:r>
      <w:r w:rsidRPr="00B97CD9">
        <w:rPr>
          <w:rFonts w:ascii="Calibri" w:eastAsia="Arial Unicode MS" w:hAnsi="Calibri" w:cs="Arial Unicode MS"/>
        </w:rPr>
        <w:t xml:space="preserve">), and its primary use is in packaging, including </w:t>
      </w:r>
      <w:r w:rsidRPr="00B97CD9">
        <w:rPr>
          <w:rFonts w:ascii="Calibri" w:hAnsi="Calibri"/>
        </w:rPr>
        <w:t>plastic bag</w:t>
      </w:r>
      <w:r w:rsidRPr="00B97CD9">
        <w:rPr>
          <w:rFonts w:ascii="Calibri" w:eastAsia="Arial Unicode MS" w:hAnsi="Calibri" w:cs="Arial Unicode MS"/>
        </w:rPr>
        <w:t xml:space="preserve"> manufactur</w:t>
      </w:r>
      <w:r w:rsidRPr="00B97CD9">
        <w:rPr>
          <w:rFonts w:ascii="Calibri" w:hAnsi="Calibri"/>
        </w:rPr>
        <w:t>e</w:t>
      </w:r>
      <w:r w:rsidRPr="00B97CD9">
        <w:rPr>
          <w:rFonts w:ascii="Calibri" w:eastAsia="Arial Unicode MS" w:hAnsi="Calibri" w:cs="Arial Unicode MS"/>
        </w:rPr>
        <w:t>. [4] The monomer</w:t>
      </w:r>
      <w:r w:rsidRPr="00B97CD9">
        <w:rPr>
          <w:rFonts w:ascii="Calibri" w:eastAsia="Arial Unicode MS" w:hAnsi="Calibri" w:cs="Arial Unicode MS"/>
          <w:lang w:val="nl-NL"/>
        </w:rPr>
        <w:t xml:space="preserve"> is </w:t>
      </w:r>
      <w:r w:rsidRPr="00B97CD9">
        <w:rPr>
          <w:rFonts w:ascii="Calibri" w:eastAsia="Arial Unicode MS" w:hAnsi="Calibri" w:cs="Arial Unicode MS"/>
        </w:rPr>
        <w:t>ethylene, a gaseous hydrocarbon usually from petrochemical sources (</w:t>
      </w:r>
      <w:r w:rsidR="00CD112E">
        <w:rPr>
          <w:rFonts w:ascii="Calibri" w:eastAsia="Arial Unicode MS" w:hAnsi="Calibri" w:cs="Arial Unicode MS"/>
        </w:rPr>
        <w:t>o</w:t>
      </w:r>
      <w:r w:rsidRPr="00B97CD9">
        <w:rPr>
          <w:rFonts w:ascii="Calibri" w:eastAsia="Arial Unicode MS" w:hAnsi="Calibri" w:cs="Arial Unicode MS"/>
        </w:rPr>
        <w:t xml:space="preserve">il and </w:t>
      </w:r>
      <w:r w:rsidR="00CD112E">
        <w:rPr>
          <w:rFonts w:ascii="Calibri" w:eastAsia="Arial Unicode MS" w:hAnsi="Calibri" w:cs="Arial Unicode MS"/>
        </w:rPr>
        <w:t>n</w:t>
      </w:r>
      <w:r w:rsidRPr="00B97CD9">
        <w:rPr>
          <w:rFonts w:ascii="Calibri" w:eastAsia="Arial Unicode MS" w:hAnsi="Calibri" w:cs="Arial Unicode MS"/>
        </w:rPr>
        <w:t xml:space="preserve">atural </w:t>
      </w:r>
      <w:r w:rsidR="00CD112E">
        <w:rPr>
          <w:rFonts w:ascii="Calibri" w:eastAsia="Arial Unicode MS" w:hAnsi="Calibri" w:cs="Arial Unicode MS"/>
        </w:rPr>
        <w:t>g</w:t>
      </w:r>
      <w:r w:rsidRPr="00B97CD9">
        <w:rPr>
          <w:rFonts w:ascii="Calibri" w:eastAsia="Arial Unicode MS" w:hAnsi="Calibri" w:cs="Arial Unicode MS"/>
        </w:rPr>
        <w:t>as). [5]</w:t>
      </w:r>
      <w:r w:rsidRPr="00B97CD9">
        <w:rPr>
          <w:rFonts w:ascii="Calibri" w:hAnsi="Calibri"/>
        </w:rPr>
        <w:t xml:space="preserve"> In fact, the production of plastic </w:t>
      </w:r>
      <w:r w:rsidR="00CD112E">
        <w:rPr>
          <w:rFonts w:ascii="Calibri" w:hAnsi="Calibri"/>
        </w:rPr>
        <w:t xml:space="preserve">bags </w:t>
      </w:r>
      <w:r w:rsidRPr="00B97CD9">
        <w:rPr>
          <w:rFonts w:ascii="Calibri" w:hAnsi="Calibri"/>
        </w:rPr>
        <w:t>uses around eight percent of the world</w:t>
      </w:r>
      <w:r w:rsidRPr="00B97CD9">
        <w:rPr>
          <w:rFonts w:ascii="Calibri" w:hAnsi="Calibri"/>
          <w:lang w:val="fr-FR"/>
        </w:rPr>
        <w:t>’</w:t>
      </w:r>
      <w:r w:rsidRPr="00ED2A5B">
        <w:rPr>
          <w:rFonts w:ascii="Calibri" w:hAnsi="Calibri"/>
          <w:lang w:val="fr-FR"/>
        </w:rPr>
        <w:t xml:space="preserve">s </w:t>
      </w:r>
      <w:r w:rsidR="000A1169" w:rsidRPr="00ED2A5B">
        <w:rPr>
          <w:rFonts w:ascii="Calibri" w:hAnsi="Calibri"/>
          <w:lang w:val="fr-FR"/>
        </w:rPr>
        <w:t>oïl</w:t>
      </w:r>
      <w:r w:rsidRPr="00ED2A5B">
        <w:rPr>
          <w:rFonts w:ascii="Calibri" w:hAnsi="Calibri"/>
          <w:lang w:val="fr-FR"/>
        </w:rPr>
        <w:t xml:space="preserve"> production</w:t>
      </w:r>
      <w:r w:rsidRPr="00ED2A5B">
        <w:rPr>
          <w:rFonts w:ascii="Calibri" w:hAnsi="Calibri"/>
        </w:rPr>
        <w:t xml:space="preserve"> [19] (</w:t>
      </w:r>
      <w:r>
        <w:rPr>
          <w:rFonts w:ascii="Calibri" w:hAnsi="Calibri"/>
        </w:rPr>
        <w:t>t</w:t>
      </w:r>
      <w:r w:rsidRPr="00B97CD9">
        <w:rPr>
          <w:rFonts w:ascii="Calibri" w:eastAsia="Arial Unicode MS" w:hAnsi="Calibri" w:cs="Arial Unicode MS"/>
        </w:rPr>
        <w:t>he energy required to manufacture 12</w:t>
      </w:r>
      <w:r>
        <w:rPr>
          <w:rFonts w:ascii="Calibri" w:hAnsi="Calibri"/>
        </w:rPr>
        <w:t>-14</w:t>
      </w:r>
      <w:r w:rsidRPr="00B97CD9">
        <w:rPr>
          <w:rFonts w:ascii="Calibri" w:eastAsia="Arial Unicode MS" w:hAnsi="Calibri" w:cs="Arial Unicode MS"/>
        </w:rPr>
        <w:t xml:space="preserve"> plastic shopping bags “could drive a car 1 mile” [18]</w:t>
      </w:r>
      <w:r>
        <w:rPr>
          <w:rFonts w:ascii="Calibri" w:hAnsi="Calibri"/>
        </w:rPr>
        <w:t>).</w:t>
      </w:r>
    </w:p>
    <w:p w:rsidR="00EC6DB8" w:rsidRPr="00ED2A5B" w:rsidRDefault="000A1169" w:rsidP="00462F30">
      <w:pPr>
        <w:pStyle w:val="Body"/>
        <w:numPr>
          <w:ilvl w:val="3"/>
          <w:numId w:val="2"/>
        </w:numPr>
        <w:spacing w:line="276" w:lineRule="auto"/>
        <w:rPr>
          <w:rFonts w:ascii="Calibri" w:hAnsi="Calibri"/>
        </w:rPr>
      </w:pPr>
      <w:r w:rsidRPr="00FA2CE1">
        <w:rPr>
          <w:rFonts w:ascii="Calibri" w:hAnsi="Calibri"/>
          <w:bCs/>
          <w:highlight w:val="yellow"/>
        </w:rPr>
        <w:lastRenderedPageBreak/>
        <w:t>A major concern is</w:t>
      </w:r>
      <w:r w:rsidR="00EC6DB8" w:rsidRPr="00FA2CE1">
        <w:rPr>
          <w:rFonts w:ascii="Calibri" w:hAnsi="Calibri"/>
          <w:bCs/>
          <w:highlight w:val="yellow"/>
        </w:rPr>
        <w:t xml:space="preserve"> synthetic estrogens and human health</w:t>
      </w:r>
      <w:r w:rsidR="00EC6DB8">
        <w:rPr>
          <w:rFonts w:ascii="Calibri" w:hAnsi="Calibri"/>
          <w:bCs/>
        </w:rPr>
        <w:t xml:space="preserve"> </w:t>
      </w:r>
      <w:r w:rsidR="00EC6DB8" w:rsidRPr="00ED2A5B">
        <w:rPr>
          <w:rFonts w:ascii="Calibri" w:hAnsi="Calibri"/>
          <w:bCs/>
        </w:rPr>
        <w:t>[26] –</w:t>
      </w:r>
      <w:r w:rsidR="00EC6DB8" w:rsidRPr="00ED2A5B">
        <w:rPr>
          <w:rFonts w:ascii="Calibri" w:hAnsi="Calibri"/>
        </w:rPr>
        <w:t xml:space="preserve"> the release of estrogenic chemicals or chemicals having estrogen activity (EA). These are also commonly known as Estrogen Disruptors. In a study published in “Environmental Health Perspectives,” volume 119, number 7, July 2011, Chun et al. studied more than 500 commercially available products for the release of chemicals demonstrating EA. They concluded that “</w:t>
      </w:r>
      <w:r w:rsidR="00EC6DB8" w:rsidRPr="00FA2CE1">
        <w:rPr>
          <w:rFonts w:ascii="Calibri" w:hAnsi="Calibri"/>
          <w:highlight w:val="yellow"/>
        </w:rPr>
        <w:t>most plastic products release estrogenic chemicals</w:t>
      </w:r>
      <w:r w:rsidR="00EC6DB8" w:rsidRPr="00ED2A5B">
        <w:rPr>
          <w:rFonts w:ascii="Calibri" w:hAnsi="Calibri"/>
        </w:rPr>
        <w:t>.” [page 989]</w:t>
      </w:r>
    </w:p>
    <w:p w:rsidR="00EC6DB8" w:rsidRDefault="00EC6DB8" w:rsidP="00462F30">
      <w:pPr>
        <w:pStyle w:val="Body"/>
        <w:numPr>
          <w:ilvl w:val="4"/>
          <w:numId w:val="2"/>
        </w:numPr>
        <w:spacing w:line="276" w:lineRule="auto"/>
        <w:rPr>
          <w:rFonts w:ascii="Calibri" w:hAnsi="Calibri"/>
        </w:rPr>
      </w:pPr>
      <w:r w:rsidRPr="00462F75">
        <w:rPr>
          <w:rFonts w:ascii="Calibri" w:hAnsi="Calibri"/>
        </w:rPr>
        <w:t>Among the plastic products sampled in this study were plastic bags</w:t>
      </w:r>
      <w:r w:rsidRPr="00177CC0">
        <w:rPr>
          <w:rFonts w:ascii="Calibri" w:hAnsi="Calibri"/>
          <w:highlight w:val="yellow"/>
        </w:rPr>
        <w:t>. In four tests conducted on plastic bags, 97%, 100%, 96%, and 98%, respectively, leached EA chemicals</w:t>
      </w:r>
      <w:r w:rsidRPr="00462F75">
        <w:rPr>
          <w:rFonts w:ascii="Calibri" w:hAnsi="Calibri"/>
        </w:rPr>
        <w:t>. [page 991] It was determined in subsequent tests that stressing the test products often increases the leaching of EA chemicals from the plastics. One of the common stresses mentioned was exposure to sunlight (UV). [page 995]</w:t>
      </w:r>
    </w:p>
    <w:p w:rsidR="00EC6DB8" w:rsidRDefault="00EC6DB8" w:rsidP="00462F30">
      <w:pPr>
        <w:pStyle w:val="Body"/>
        <w:numPr>
          <w:ilvl w:val="4"/>
          <w:numId w:val="2"/>
        </w:numPr>
        <w:spacing w:line="276" w:lineRule="auto"/>
        <w:rPr>
          <w:rFonts w:ascii="Calibri" w:hAnsi="Calibri"/>
        </w:rPr>
      </w:pPr>
      <w:r>
        <w:rPr>
          <w:rFonts w:ascii="Calibri" w:hAnsi="Calibri"/>
        </w:rPr>
        <w:t>This</w:t>
      </w:r>
      <w:r w:rsidRPr="00462F75">
        <w:rPr>
          <w:rFonts w:ascii="Calibri" w:hAnsi="Calibri"/>
        </w:rPr>
        <w:t xml:space="preserve"> is important</w:t>
      </w:r>
      <w:r>
        <w:rPr>
          <w:rFonts w:ascii="Calibri" w:hAnsi="Calibri"/>
        </w:rPr>
        <w:t xml:space="preserve"> because</w:t>
      </w:r>
      <w:r w:rsidRPr="00462F75">
        <w:rPr>
          <w:rFonts w:ascii="Calibri" w:hAnsi="Calibri"/>
        </w:rPr>
        <w:t xml:space="preserve"> </w:t>
      </w:r>
      <w:r>
        <w:rPr>
          <w:rFonts w:ascii="Calibri" w:hAnsi="Calibri"/>
        </w:rPr>
        <w:t>c</w:t>
      </w:r>
      <w:r w:rsidRPr="00462F75">
        <w:rPr>
          <w:rFonts w:ascii="Calibri" w:hAnsi="Calibri"/>
        </w:rPr>
        <w:t xml:space="preserve">hemicals having EA mimic or antagonize the natural estrogens in our bodies, the most common form of endocrine disruption. </w:t>
      </w:r>
      <w:r w:rsidRPr="00177CC0">
        <w:rPr>
          <w:rFonts w:ascii="Calibri" w:hAnsi="Calibri"/>
          <w:highlight w:val="yellow"/>
        </w:rPr>
        <w:t>These chemicals can produce health problems in mammals such as “early puberty in females, reduced sperm counts, altered functions of reproductive organs, obesity, altered sex-specific behaviors, and increased rates of some breast, ovarian, testicular, and prostate cancers.”</w:t>
      </w:r>
      <w:r w:rsidRPr="00462F75">
        <w:rPr>
          <w:rFonts w:ascii="Calibri" w:hAnsi="Calibri"/>
        </w:rPr>
        <w:t xml:space="preserve"> [page 989]</w:t>
      </w:r>
    </w:p>
    <w:p w:rsidR="00EC6DB8" w:rsidRPr="00462F30" w:rsidRDefault="00EC6DB8" w:rsidP="00462F30">
      <w:pPr>
        <w:pStyle w:val="Body"/>
        <w:numPr>
          <w:ilvl w:val="4"/>
          <w:numId w:val="2"/>
        </w:numPr>
        <w:spacing w:line="276" w:lineRule="auto"/>
        <w:rPr>
          <w:rFonts w:ascii="Calibri" w:hAnsi="Calibri"/>
        </w:rPr>
      </w:pPr>
      <w:r>
        <w:rPr>
          <w:rFonts w:ascii="Calibri" w:hAnsi="Calibri"/>
        </w:rPr>
        <w:t xml:space="preserve">In their study’s conclusion, </w:t>
      </w:r>
      <w:r w:rsidRPr="00462F75">
        <w:rPr>
          <w:rFonts w:ascii="Calibri" w:hAnsi="Calibri"/>
        </w:rPr>
        <w:t>Chung et al.</w:t>
      </w:r>
      <w:r>
        <w:rPr>
          <w:rFonts w:ascii="Calibri" w:hAnsi="Calibri"/>
        </w:rPr>
        <w:t xml:space="preserve"> note</w:t>
      </w:r>
      <w:r w:rsidRPr="00177CC0">
        <w:rPr>
          <w:rFonts w:ascii="Calibri" w:hAnsi="Calibri"/>
          <w:highlight w:val="yellow"/>
        </w:rPr>
        <w:t>: “Many scientists believe that it is not appropriate to bet our health and that of future generations on an assumption that known cellular effects of chemicals having EA released from most plastics will have no severe adverse health effects.”</w:t>
      </w:r>
      <w:r w:rsidRPr="00462F75">
        <w:rPr>
          <w:rFonts w:ascii="Calibri" w:hAnsi="Calibri"/>
        </w:rPr>
        <w:t xml:space="preserve"> [29, </w:t>
      </w:r>
      <w:r w:rsidRPr="00462F30">
        <w:rPr>
          <w:rFonts w:ascii="Calibri" w:hAnsi="Calibri"/>
        </w:rPr>
        <w:t>page 995]</w:t>
      </w:r>
    </w:p>
    <w:p w:rsidR="00EC6DB8" w:rsidRPr="00462F30" w:rsidRDefault="00262769" w:rsidP="00462F30">
      <w:pPr>
        <w:pStyle w:val="Body"/>
        <w:numPr>
          <w:ilvl w:val="3"/>
          <w:numId w:val="2"/>
        </w:numPr>
        <w:spacing w:line="276" w:lineRule="auto"/>
        <w:rPr>
          <w:rFonts w:ascii="Calibri" w:hAnsi="Calibri"/>
        </w:rPr>
      </w:pPr>
      <w:r w:rsidRPr="00462F30">
        <w:rPr>
          <w:rFonts w:ascii="Calibri" w:hAnsi="Calibri"/>
        </w:rPr>
        <w:t xml:space="preserve">Adverse health effects from toxic chemicals also used in manufacturing single-use plastic bags, such as certain plasticizers, are also a concern. The problem is that </w:t>
      </w:r>
      <w:r w:rsidRPr="00462F30">
        <w:rPr>
          <w:rFonts w:ascii="Calibri" w:hAnsi="Calibri"/>
          <w:highlight w:val="yellow"/>
        </w:rPr>
        <w:t xml:space="preserve">the manufacturing formulas </w:t>
      </w:r>
      <w:r w:rsidR="00177CC0" w:rsidRPr="00462F30">
        <w:rPr>
          <w:rFonts w:ascii="Calibri" w:hAnsi="Calibri"/>
          <w:highlight w:val="yellow"/>
        </w:rPr>
        <w:t xml:space="preserve">for the bags </w:t>
      </w:r>
      <w:r w:rsidRPr="00462F30">
        <w:rPr>
          <w:rFonts w:ascii="Calibri" w:hAnsi="Calibri"/>
          <w:highlight w:val="yellow"/>
        </w:rPr>
        <w:t>are proprietary to each company, so their components</w:t>
      </w:r>
      <w:r w:rsidR="00177CC0" w:rsidRPr="00462F30">
        <w:rPr>
          <w:rFonts w:ascii="Calibri" w:hAnsi="Calibri"/>
          <w:highlight w:val="yellow"/>
        </w:rPr>
        <w:t xml:space="preserve"> – including toxic chemicals –</w:t>
      </w:r>
      <w:r w:rsidRPr="00462F30">
        <w:rPr>
          <w:rFonts w:ascii="Calibri" w:hAnsi="Calibri"/>
          <w:highlight w:val="yellow"/>
        </w:rPr>
        <w:t xml:space="preserve"> are unknown and unregulated</w:t>
      </w:r>
      <w:r w:rsidRPr="00462F30">
        <w:rPr>
          <w:rFonts w:ascii="Calibri" w:hAnsi="Calibri"/>
        </w:rPr>
        <w:t xml:space="preserve">.  </w:t>
      </w:r>
    </w:p>
    <w:p w:rsidR="00EC6DB8" w:rsidRDefault="00EC6DB8" w:rsidP="00793381">
      <w:pPr>
        <w:pStyle w:val="Body"/>
        <w:numPr>
          <w:ilvl w:val="1"/>
          <w:numId w:val="2"/>
        </w:numPr>
        <w:spacing w:line="276" w:lineRule="auto"/>
        <w:ind w:left="2520"/>
        <w:rPr>
          <w:rFonts w:ascii="Calibri" w:hAnsi="Calibri"/>
        </w:rPr>
      </w:pPr>
      <w:r w:rsidRPr="00177CC0">
        <w:rPr>
          <w:rFonts w:ascii="Calibri" w:hAnsi="Calibri"/>
          <w:highlight w:val="yellow"/>
        </w:rPr>
        <w:t>The indirect health effects stem from most of the environmental problems associated with these bags.</w:t>
      </w:r>
      <w:r>
        <w:rPr>
          <w:rFonts w:ascii="Calibri" w:hAnsi="Calibri"/>
        </w:rPr>
        <w:t xml:space="preserve"> </w:t>
      </w:r>
      <w:r w:rsidRPr="00177CC0">
        <w:rPr>
          <w:rFonts w:ascii="Calibri" w:hAnsi="Calibri"/>
          <w:highlight w:val="yellow"/>
        </w:rPr>
        <w:t>Indeed, the problems caused by both macro-, micro-, and nano-plastics in the our oceans are likely where plastic bags have their heaviest environmental impact and pose the greate</w:t>
      </w:r>
      <w:r w:rsidR="00177CC0" w:rsidRPr="00177CC0">
        <w:rPr>
          <w:rFonts w:ascii="Calibri" w:hAnsi="Calibri"/>
          <w:highlight w:val="yellow"/>
        </w:rPr>
        <w:t>st indirect public health risk.</w:t>
      </w:r>
    </w:p>
    <w:p w:rsidR="00EC6DB8" w:rsidRPr="00ED2A5B" w:rsidRDefault="00EC6DB8" w:rsidP="00793381">
      <w:pPr>
        <w:pStyle w:val="Default"/>
        <w:numPr>
          <w:ilvl w:val="4"/>
          <w:numId w:val="2"/>
        </w:numPr>
        <w:spacing w:line="276" w:lineRule="auto"/>
        <w:rPr>
          <w:rFonts w:ascii="Calibri" w:hAnsi="Calibri"/>
          <w:position w:val="-2"/>
        </w:rPr>
      </w:pPr>
      <w:r w:rsidRPr="00F829FA">
        <w:rPr>
          <w:rFonts w:ascii="Calibri" w:hAnsi="Calibri"/>
        </w:rPr>
        <w:t xml:space="preserve">Whether these bags ultimately end up in the </w:t>
      </w:r>
      <w:r>
        <w:rPr>
          <w:rFonts w:ascii="Calibri" w:hAnsi="Calibri"/>
        </w:rPr>
        <w:t xml:space="preserve">landfill or are tossed away as litter, they are lightweight and easily carried by the wind, making them one of the most ubiquitous forms of litter. </w:t>
      </w:r>
      <w:r w:rsidRPr="00177CC0">
        <w:rPr>
          <w:rFonts w:ascii="Calibri" w:hAnsi="Calibri"/>
          <w:highlight w:val="yellow"/>
        </w:rPr>
        <w:t>They clog sewers and gum up equipment at transfer stations, creating potential health hazards and solid waste disposal problems.</w:t>
      </w:r>
      <w:r>
        <w:rPr>
          <w:rFonts w:ascii="Calibri" w:hAnsi="Calibri"/>
        </w:rPr>
        <w:t xml:space="preserve"> </w:t>
      </w:r>
      <w:r w:rsidRPr="00462F75">
        <w:rPr>
          <w:rFonts w:ascii="Calibri" w:eastAsia="Arial Unicode MS" w:hAnsi="Calibri" w:cs="Arial Unicode MS"/>
        </w:rPr>
        <w:t xml:space="preserve">The volume of non-recycled bags constitutes a huge burden on already beleaguered </w:t>
      </w:r>
      <w:r w:rsidR="000A1169" w:rsidRPr="00462F75">
        <w:rPr>
          <w:rFonts w:ascii="Calibri" w:eastAsia="Arial Unicode MS" w:hAnsi="Calibri" w:cs="Arial Unicode MS"/>
        </w:rPr>
        <w:t>landfills.</w:t>
      </w:r>
      <w:r w:rsidR="000A1169">
        <w:rPr>
          <w:rFonts w:ascii="Calibri" w:hAnsi="Calibri"/>
        </w:rPr>
        <w:t xml:space="preserve"> </w:t>
      </w:r>
      <w:r w:rsidR="000A1169" w:rsidRPr="00177CC0">
        <w:rPr>
          <w:rFonts w:ascii="Calibri" w:hAnsi="Calibri"/>
          <w:highlight w:val="yellow"/>
        </w:rPr>
        <w:t>Major</w:t>
      </w:r>
      <w:r w:rsidRPr="00177CC0">
        <w:rPr>
          <w:rFonts w:ascii="Calibri" w:hAnsi="Calibri"/>
          <w:highlight w:val="yellow"/>
        </w:rPr>
        <w:t xml:space="preserve"> problems stem from their long life: plastic bags do not biodegrade</w:t>
      </w:r>
      <w:r w:rsidRPr="00462F75">
        <w:rPr>
          <w:rFonts w:ascii="Calibri" w:hAnsi="Calibri"/>
        </w:rPr>
        <w:t xml:space="preserve">. </w:t>
      </w:r>
      <w:r w:rsidRPr="00177CC0">
        <w:rPr>
          <w:rFonts w:ascii="Calibri" w:hAnsi="Calibri"/>
          <w:highlight w:val="yellow"/>
        </w:rPr>
        <w:t>Light breaks them down into smaller and smaller particles that contaminate the soil and water and are expensive and difficult to remove</w:t>
      </w:r>
      <w:r w:rsidRPr="00462F75">
        <w:rPr>
          <w:rFonts w:ascii="Calibri" w:hAnsi="Calibri"/>
        </w:rPr>
        <w:t>.</w:t>
      </w:r>
      <w:r w:rsidRPr="00462F75">
        <w:rPr>
          <w:rFonts w:ascii="Calibri" w:hAnsi="Calibri"/>
          <w:sz w:val="18"/>
          <w:szCs w:val="18"/>
          <w:vertAlign w:val="superscript"/>
        </w:rPr>
        <w:t xml:space="preserve">  </w:t>
      </w:r>
      <w:r w:rsidRPr="00ED2A5B">
        <w:rPr>
          <w:rFonts w:ascii="Calibri" w:hAnsi="Calibri"/>
        </w:rPr>
        <w:t>[17]</w:t>
      </w:r>
      <w:r w:rsidRPr="0055553C">
        <w:rPr>
          <w:rFonts w:ascii="Calibri" w:hAnsi="Calibri"/>
        </w:rPr>
        <w:t xml:space="preserve"> </w:t>
      </w:r>
      <w:r w:rsidRPr="00462F75">
        <w:rPr>
          <w:rFonts w:ascii="Calibri" w:hAnsi="Calibri"/>
        </w:rPr>
        <w:t xml:space="preserve">Plastic bags are used an average of 12 minutes, yet </w:t>
      </w:r>
      <w:r>
        <w:rPr>
          <w:rFonts w:ascii="Calibri" w:hAnsi="Calibri"/>
        </w:rPr>
        <w:t xml:space="preserve">it takes </w:t>
      </w:r>
      <w:r w:rsidRPr="00462F75">
        <w:rPr>
          <w:rFonts w:ascii="Calibri" w:hAnsi="Calibri"/>
        </w:rPr>
        <w:t xml:space="preserve">a single plastic bag </w:t>
      </w:r>
      <w:r>
        <w:rPr>
          <w:rFonts w:ascii="Calibri" w:hAnsi="Calibri"/>
        </w:rPr>
        <w:t xml:space="preserve">500 to </w:t>
      </w:r>
      <w:r w:rsidRPr="00462F75">
        <w:rPr>
          <w:rFonts w:ascii="Calibri" w:hAnsi="Calibri"/>
        </w:rPr>
        <w:t>1,000 years</w:t>
      </w:r>
      <w:r>
        <w:rPr>
          <w:rFonts w:ascii="Calibri" w:hAnsi="Calibri"/>
        </w:rPr>
        <w:t xml:space="preserve"> to degrade</w:t>
      </w:r>
      <w:r w:rsidRPr="00462F75">
        <w:rPr>
          <w:rFonts w:ascii="Calibri" w:hAnsi="Calibri"/>
        </w:rPr>
        <w:t>. [9]</w:t>
      </w:r>
      <w:r>
        <w:rPr>
          <w:rFonts w:ascii="Calibri" w:hAnsi="Calibri"/>
        </w:rPr>
        <w:t>[16]</w:t>
      </w:r>
    </w:p>
    <w:p w:rsidR="00EC6DB8" w:rsidRPr="00462F75" w:rsidRDefault="00EC6DB8" w:rsidP="00793381">
      <w:pPr>
        <w:pStyle w:val="Body"/>
        <w:numPr>
          <w:ilvl w:val="4"/>
          <w:numId w:val="2"/>
        </w:numPr>
        <w:spacing w:line="276" w:lineRule="auto"/>
        <w:rPr>
          <w:rFonts w:ascii="Calibri" w:hAnsi="Calibri"/>
        </w:rPr>
      </w:pPr>
      <w:r w:rsidRPr="00462F75">
        <w:rPr>
          <w:rFonts w:ascii="Calibri" w:hAnsi="Calibri"/>
        </w:rPr>
        <w:t xml:space="preserve">Outdoor degradation of PE occurs predominantly via UV radiation and mechanical forces. [pages 5 </w:t>
      </w:r>
      <w:r>
        <w:rPr>
          <w:rFonts w:ascii="Calibri" w:hAnsi="Calibri"/>
        </w:rPr>
        <w:t xml:space="preserve">and </w:t>
      </w:r>
      <w:r w:rsidRPr="00462F75">
        <w:rPr>
          <w:rFonts w:ascii="Calibri" w:hAnsi="Calibri"/>
        </w:rPr>
        <w:t xml:space="preserve">18]  As plastics degrade they break up into ever smaller pieces. While there is yet no universally agreed upon definition for microplastics, Gesamp agreed on sampling pieces in the 1 nanometer to &lt;5 millimeter range. [page 14] </w:t>
      </w:r>
      <w:r w:rsidRPr="00177CC0">
        <w:rPr>
          <w:rFonts w:ascii="Calibri" w:hAnsi="Calibri"/>
          <w:highlight w:val="yellow"/>
        </w:rPr>
        <w:t xml:space="preserve">These small bits of plastic act as sponges (substrates) for many of the toxic </w:t>
      </w:r>
      <w:r w:rsidRPr="00177CC0">
        <w:rPr>
          <w:rFonts w:ascii="Calibri" w:hAnsi="Calibri"/>
          <w:highlight w:val="yellow"/>
        </w:rPr>
        <w:lastRenderedPageBreak/>
        <w:t>chemicals found today in our oceans. DDT and PCBs are common examples. Thin plastic film such as PE adsorbs these toxins quicker than thicker plastics</w:t>
      </w:r>
      <w:r w:rsidRPr="00462F75">
        <w:rPr>
          <w:rFonts w:ascii="Calibri" w:hAnsi="Calibri"/>
        </w:rPr>
        <w:t>. [page 45]</w:t>
      </w:r>
    </w:p>
    <w:p w:rsidR="00262769" w:rsidRPr="00F829FA" w:rsidRDefault="00262769" w:rsidP="00462F30">
      <w:pPr>
        <w:pStyle w:val="Body"/>
        <w:numPr>
          <w:ilvl w:val="4"/>
          <w:numId w:val="2"/>
        </w:numPr>
        <w:spacing w:line="276" w:lineRule="auto"/>
        <w:rPr>
          <w:rFonts w:ascii="Calibri" w:hAnsi="Calibri"/>
        </w:rPr>
      </w:pPr>
      <w:r>
        <w:rPr>
          <w:rFonts w:ascii="Calibri" w:hAnsi="Calibri"/>
        </w:rPr>
        <w:t xml:space="preserve">The </w:t>
      </w:r>
      <w:r w:rsidRPr="00F829FA">
        <w:rPr>
          <w:rFonts w:ascii="Calibri" w:hAnsi="Calibri"/>
        </w:rPr>
        <w:t>environmental toxic chemicals</w:t>
      </w:r>
      <w:r>
        <w:rPr>
          <w:rFonts w:ascii="Calibri" w:hAnsi="Calibri"/>
        </w:rPr>
        <w:t xml:space="preserve"> that can be adsorbed by microplastics</w:t>
      </w:r>
      <w:r w:rsidRPr="00F829FA">
        <w:rPr>
          <w:rFonts w:ascii="Calibri" w:hAnsi="Calibri"/>
        </w:rPr>
        <w:t xml:space="preserve"> are beginning to gain the attention of some major conservative medical groups. The International Federation of Gynecology and Obstetrics (FIGO) met in Vancouver Canada in October 2015. At this conference, it was revealed that the “average pregnant woman in the U.S. carries at least 43 industrial chemicals in her body.</w:t>
      </w:r>
      <w:r w:rsidRPr="0055553C">
        <w:rPr>
          <w:rFonts w:ascii="Calibri" w:hAnsi="Calibri"/>
        </w:rPr>
        <w:t xml:space="preserve">” [27] </w:t>
      </w:r>
      <w:r w:rsidRPr="00462F30">
        <w:rPr>
          <w:rFonts w:ascii="Calibri" w:hAnsi="Calibri"/>
          <w:highlight w:val="yellow"/>
        </w:rPr>
        <w:t>Exposures in utero and/or to breast feeding infants are of special concern. Even very small amounts of chemicals common in plastics and other everyday products have the potential to interfere with development of the fetal brain and other organs. These problems can have far-reaching negative consequences such as ADHD and increased vulnerability to certain cancers, as well as epigenetic impact</w:t>
      </w:r>
      <w:r w:rsidRPr="0055553C">
        <w:rPr>
          <w:rFonts w:ascii="Calibri" w:hAnsi="Calibri"/>
        </w:rPr>
        <w:t>. Dr. Giancarlo Di Renzo, principal author of the FIGO opinion proclaimed that FIGO was late in addressing these environmental exposure risks to humans. He further warned: “The threat of toxic chemical exposures to human reproduction, especially over the last decades has been dramatically increasing.” [28]</w:t>
      </w:r>
    </w:p>
    <w:p w:rsidR="00EC6DB8" w:rsidRPr="00462F75" w:rsidRDefault="00262769" w:rsidP="00462F30">
      <w:pPr>
        <w:pStyle w:val="Body"/>
        <w:numPr>
          <w:ilvl w:val="4"/>
          <w:numId w:val="2"/>
        </w:numPr>
        <w:spacing w:line="276" w:lineRule="auto"/>
        <w:rPr>
          <w:rFonts w:ascii="Calibri" w:hAnsi="Calibri"/>
        </w:rPr>
      </w:pPr>
      <w:r w:rsidRPr="009A0E23">
        <w:rPr>
          <w:rFonts w:ascii="Calibri" w:hAnsi="Calibri"/>
          <w:highlight w:val="yellow"/>
        </w:rPr>
        <w:t>M</w:t>
      </w:r>
      <w:r w:rsidR="00EC6DB8" w:rsidRPr="009A0E23">
        <w:rPr>
          <w:rFonts w:ascii="Calibri" w:hAnsi="Calibri"/>
          <w:highlight w:val="yellow"/>
        </w:rPr>
        <w:t>icroplastics can migrate via wind and currents to heavily polluted areas, adsorb heavy concentrations</w:t>
      </w:r>
      <w:r w:rsidR="00EC6DB8" w:rsidRPr="00462F75">
        <w:rPr>
          <w:rFonts w:ascii="Calibri" w:hAnsi="Calibri"/>
        </w:rPr>
        <w:t xml:space="preserve"> of circulating toxins and redistribute these concentrated toxins randomly. [page 45] This causes spreading of water pollution, as well as transporting and adding toxins to the food chain. Microplastics can also be “taken up” and stored by marine organisms and transported. Seals and seabirds can even carry these contaminants back to land. [page 28]</w:t>
      </w:r>
    </w:p>
    <w:p w:rsidR="00EC6DB8" w:rsidRPr="00462F75" w:rsidRDefault="00EC6DB8" w:rsidP="00462F30">
      <w:pPr>
        <w:pStyle w:val="Body"/>
        <w:numPr>
          <w:ilvl w:val="4"/>
          <w:numId w:val="2"/>
        </w:numPr>
        <w:spacing w:line="276" w:lineRule="auto"/>
        <w:rPr>
          <w:rFonts w:ascii="Calibri" w:hAnsi="Calibri"/>
        </w:rPr>
      </w:pPr>
      <w:r w:rsidRPr="009A0E23">
        <w:rPr>
          <w:rFonts w:ascii="Calibri" w:hAnsi="Calibri"/>
          <w:highlight w:val="yellow"/>
        </w:rPr>
        <w:t>Contaminated and/or uncontaminated microplastic particles may pass through the food chain</w:t>
      </w:r>
      <w:r w:rsidRPr="00462F75">
        <w:rPr>
          <w:rFonts w:ascii="Calibri" w:hAnsi="Calibri"/>
        </w:rPr>
        <w:t xml:space="preserve"> as prey are consumed by predators, or they may simply be ingested by animal species who mistake them for food.  Some species consumed by humans have been studied and found to contain microplastics in organs and tissues. Microplastic particles have been found in fish, birds, marine mussels [page 43], and Norway lobsters [page 45</w:t>
      </w:r>
      <w:r w:rsidRPr="009A0E23">
        <w:rPr>
          <w:rFonts w:ascii="Calibri" w:hAnsi="Calibri"/>
          <w:highlight w:val="yellow"/>
        </w:rPr>
        <w:t>]. Fish and shellfish are most often exposed by ingesting micro particles.</w:t>
      </w:r>
    </w:p>
    <w:p w:rsidR="00EC6DB8" w:rsidRPr="00462F75" w:rsidRDefault="00EC6DB8" w:rsidP="00462F30">
      <w:pPr>
        <w:pStyle w:val="Body"/>
        <w:numPr>
          <w:ilvl w:val="4"/>
          <w:numId w:val="2"/>
        </w:numPr>
        <w:spacing w:line="276" w:lineRule="auto"/>
        <w:rPr>
          <w:rFonts w:ascii="Calibri" w:hAnsi="Calibri"/>
        </w:rPr>
      </w:pPr>
      <w:r w:rsidRPr="00462F75">
        <w:rPr>
          <w:rFonts w:ascii="Calibri" w:hAnsi="Calibri"/>
        </w:rPr>
        <w:t>The Joint Group of Experts on the Scientific Aspects of Marine Environmental Protection (Gesamp) presents in their “Sources, Fate and Effects of Microplastics in The Marine Environment: A Global Assessment</w:t>
      </w:r>
      <w:r>
        <w:rPr>
          <w:rFonts w:ascii="Calibri" w:hAnsi="Calibri"/>
        </w:rPr>
        <w:t>,</w:t>
      </w:r>
      <w:r w:rsidRPr="00462F75">
        <w:rPr>
          <w:rFonts w:ascii="Calibri" w:hAnsi="Calibri"/>
        </w:rPr>
        <w:t xml:space="preserve">” a retroactive </w:t>
      </w:r>
      <w:r w:rsidR="000A1169" w:rsidRPr="00462F75">
        <w:rPr>
          <w:rFonts w:ascii="Calibri" w:hAnsi="Calibri"/>
        </w:rPr>
        <w:t>meta</w:t>
      </w:r>
      <w:r w:rsidR="000A1169">
        <w:rPr>
          <w:rFonts w:ascii="Calibri" w:hAnsi="Calibri"/>
        </w:rPr>
        <w:t>-</w:t>
      </w:r>
      <w:r w:rsidR="000A1169" w:rsidRPr="00462F75">
        <w:rPr>
          <w:rFonts w:ascii="Calibri" w:hAnsi="Calibri"/>
        </w:rPr>
        <w:t>analysis</w:t>
      </w:r>
      <w:r w:rsidRPr="00462F75">
        <w:rPr>
          <w:rFonts w:ascii="Calibri" w:hAnsi="Calibri"/>
        </w:rPr>
        <w:t xml:space="preserve"> of the current state of human knowledge regarding </w:t>
      </w:r>
      <w:r w:rsidR="000A1169" w:rsidRPr="00462F75">
        <w:rPr>
          <w:rFonts w:ascii="Calibri" w:hAnsi="Calibri"/>
        </w:rPr>
        <w:t>microplastics</w:t>
      </w:r>
      <w:r w:rsidRPr="00462F75">
        <w:rPr>
          <w:rFonts w:ascii="Calibri" w:hAnsi="Calibri"/>
        </w:rPr>
        <w:t xml:space="preserve"> in our oceans</w:t>
      </w:r>
      <w:r>
        <w:rPr>
          <w:rFonts w:ascii="Calibri" w:hAnsi="Calibri"/>
        </w:rPr>
        <w:t>,</w:t>
      </w:r>
      <w:r w:rsidRPr="00462F75">
        <w:rPr>
          <w:rFonts w:ascii="Calibri" w:hAnsi="Calibri"/>
        </w:rPr>
        <w:t xml:space="preserve"> recommendations for further research and remediation efforts.</w:t>
      </w:r>
    </w:p>
    <w:p w:rsidR="00EC6DB8" w:rsidRPr="00462F75" w:rsidRDefault="00EC6DB8" w:rsidP="00462F30">
      <w:pPr>
        <w:pStyle w:val="Body"/>
        <w:numPr>
          <w:ilvl w:val="5"/>
          <w:numId w:val="2"/>
        </w:numPr>
        <w:spacing w:line="276" w:lineRule="auto"/>
        <w:rPr>
          <w:rFonts w:ascii="Calibri" w:hAnsi="Calibri"/>
        </w:rPr>
      </w:pPr>
      <w:r w:rsidRPr="009A0E23">
        <w:rPr>
          <w:rFonts w:ascii="Calibri" w:hAnsi="Calibri"/>
          <w:highlight w:val="yellow"/>
        </w:rPr>
        <w:t>Of the 42 studies they reviewed of microplastic samples taken at sea or from marine sediments 79% (33 of 42 studies) found polyethylene (PE) debris. Of all the polymer types recovered in these samples, PE was the most prevalent</w:t>
      </w:r>
      <w:r w:rsidRPr="00462F75">
        <w:rPr>
          <w:rFonts w:ascii="Calibri" w:hAnsi="Calibri"/>
        </w:rPr>
        <w:t>. PE is the base polymer used in making many products, including plastic bags. [page 15,  (from Hidalgo-Ruz et al. 2012)] PE debris was the most prolific polymer found in beach sediments and estuaries. Samples were also found in birds, fish and shorelines. [page 17]</w:t>
      </w:r>
    </w:p>
    <w:p w:rsidR="00EC6DB8" w:rsidRPr="00462F75" w:rsidRDefault="00EC6DB8" w:rsidP="00462F30">
      <w:pPr>
        <w:pStyle w:val="Body"/>
        <w:numPr>
          <w:ilvl w:val="5"/>
          <w:numId w:val="2"/>
        </w:numPr>
        <w:spacing w:line="276" w:lineRule="auto"/>
        <w:rPr>
          <w:rFonts w:ascii="Calibri" w:hAnsi="Calibri"/>
        </w:rPr>
      </w:pPr>
      <w:r w:rsidRPr="009A0E23">
        <w:rPr>
          <w:rFonts w:ascii="Calibri" w:hAnsi="Calibri"/>
          <w:highlight w:val="yellow"/>
        </w:rPr>
        <w:t>If humans consume seafood containing microplastics, exposure is a real health concern</w:t>
      </w:r>
      <w:r w:rsidRPr="00462F75">
        <w:rPr>
          <w:rFonts w:ascii="Calibri" w:hAnsi="Calibri"/>
        </w:rPr>
        <w:t xml:space="preserve">. [page 51] Gesamp states that “A large body of evidence in the peer-reviewed literature reveals that micro particles of plastic in the human body or mammals are unhealthy. [page 49] In fact, researchers have </w:t>
      </w:r>
      <w:r w:rsidRPr="00462F75">
        <w:rPr>
          <w:rFonts w:ascii="Calibri" w:hAnsi="Calibri"/>
        </w:rPr>
        <w:lastRenderedPageBreak/>
        <w:t xml:space="preserve">learned a great deal from PE implants in humans that degrade, releasing particles within the human body that cause particle-induced osteolysis (pathological bone destruction). [page 49} </w:t>
      </w:r>
    </w:p>
    <w:p w:rsidR="00EC6DB8" w:rsidRPr="00462F75" w:rsidRDefault="00EC6DB8" w:rsidP="00793381">
      <w:pPr>
        <w:pStyle w:val="Body"/>
        <w:numPr>
          <w:ilvl w:val="3"/>
          <w:numId w:val="2"/>
        </w:numPr>
        <w:spacing w:line="276" w:lineRule="auto"/>
        <w:ind w:left="3960"/>
        <w:rPr>
          <w:rFonts w:ascii="Calibri" w:eastAsia="Helvetica" w:hAnsi="Calibri" w:cs="Helvetica"/>
          <w:position w:val="-2"/>
        </w:rPr>
      </w:pPr>
      <w:r w:rsidRPr="009A0E23">
        <w:rPr>
          <w:rFonts w:ascii="Calibri" w:hAnsi="Calibri"/>
          <w:highlight w:val="yellow"/>
        </w:rPr>
        <w:t>Eighty percent of marine debris comes from land-based waste</w:t>
      </w:r>
      <w:r w:rsidRPr="00462F75">
        <w:rPr>
          <w:rFonts w:ascii="Calibri" w:hAnsi="Calibri"/>
        </w:rPr>
        <w:t>, and the most direct route to the Great Atlantic Garbage Patch</w:t>
      </w:r>
      <w:r>
        <w:rPr>
          <w:rFonts w:ascii="Calibri" w:hAnsi="Calibri"/>
        </w:rPr>
        <w:t xml:space="preserve"> – an area i</w:t>
      </w:r>
      <w:r w:rsidRPr="00462F75">
        <w:rPr>
          <w:rFonts w:ascii="Calibri" w:hAnsi="Calibri"/>
        </w:rPr>
        <w:t xml:space="preserve">n the middle of the Atlantic that spans the distance between Virginia to Cuba </w:t>
      </w:r>
      <w:r>
        <w:rPr>
          <w:rFonts w:ascii="Calibri" w:hAnsi="Calibri"/>
        </w:rPr>
        <w:t xml:space="preserve">containing </w:t>
      </w:r>
      <w:r w:rsidRPr="00462F75">
        <w:rPr>
          <w:rFonts w:ascii="Calibri" w:hAnsi="Calibri"/>
        </w:rPr>
        <w:t>a soup of plastic with up to 26 million plastic particles per square kilometer</w:t>
      </w:r>
      <w:r>
        <w:rPr>
          <w:rFonts w:ascii="Calibri" w:hAnsi="Calibri"/>
        </w:rPr>
        <w:t xml:space="preserve"> –</w:t>
      </w:r>
      <w:r w:rsidRPr="00462F75">
        <w:rPr>
          <w:rFonts w:ascii="Calibri" w:hAnsi="Calibri"/>
        </w:rPr>
        <w:t xml:space="preserve"> is from the US east coast. [11]</w:t>
      </w:r>
      <w:r>
        <w:rPr>
          <w:rFonts w:ascii="Calibri" w:hAnsi="Calibri"/>
        </w:rPr>
        <w:t>[13]</w:t>
      </w:r>
    </w:p>
    <w:p w:rsidR="00EC6DB8" w:rsidRPr="00ED2A5B" w:rsidRDefault="00EC6DB8" w:rsidP="00793381">
      <w:pPr>
        <w:pStyle w:val="Body"/>
        <w:numPr>
          <w:ilvl w:val="3"/>
          <w:numId w:val="2"/>
        </w:numPr>
        <w:spacing w:line="276" w:lineRule="auto"/>
        <w:ind w:left="3960"/>
        <w:rPr>
          <w:rFonts w:ascii="Calibri" w:eastAsia="Helvetica" w:hAnsi="Calibri" w:cs="Helvetica"/>
          <w:position w:val="-2"/>
        </w:rPr>
      </w:pPr>
      <w:r w:rsidRPr="00462F75">
        <w:rPr>
          <w:rFonts w:ascii="Calibri" w:hAnsi="Calibri"/>
        </w:rPr>
        <w:t>In the ocean, plastics break down into small, plankton-sized particles that can outnumber plankton six to one. These pieces collect toxins like PCBs and DDT at levels up to 1,000,000 times the levels found in seawater. [12]</w:t>
      </w:r>
    </w:p>
    <w:p w:rsidR="00EC6DB8" w:rsidRPr="00047028" w:rsidRDefault="00EC6DB8" w:rsidP="00793381">
      <w:pPr>
        <w:pStyle w:val="Body"/>
        <w:numPr>
          <w:ilvl w:val="3"/>
          <w:numId w:val="2"/>
        </w:numPr>
        <w:spacing w:line="276" w:lineRule="auto"/>
        <w:ind w:left="3960"/>
        <w:rPr>
          <w:rFonts w:ascii="Calibri" w:eastAsia="Helvetica" w:hAnsi="Calibri" w:cs="Helvetica"/>
          <w:position w:val="-2"/>
        </w:rPr>
      </w:pPr>
      <w:r w:rsidRPr="00047028">
        <w:rPr>
          <w:rFonts w:ascii="Calibri" w:hAnsi="Calibri"/>
        </w:rPr>
        <w:t>Marine wildlife often mistake plastic bags for food, especially sea turtles hunting jellyfish. In fact, high amounts of plastic material, especially plastic bags, have been found blocking the breathing passages and stomachs of many marine species, including whales, dolphins, seals, puffins, and turtles. [14]</w:t>
      </w:r>
    </w:p>
    <w:p w:rsidR="00EC6DB8" w:rsidRPr="00462F75" w:rsidRDefault="00EC6DB8" w:rsidP="00793381">
      <w:pPr>
        <w:pStyle w:val="Body"/>
        <w:numPr>
          <w:ilvl w:val="3"/>
          <w:numId w:val="2"/>
        </w:numPr>
        <w:spacing w:line="276" w:lineRule="auto"/>
        <w:ind w:left="3960"/>
        <w:rPr>
          <w:rFonts w:ascii="Calibri" w:eastAsia="Helvetica" w:hAnsi="Calibri" w:cs="Helvetica"/>
          <w:position w:val="-2"/>
        </w:rPr>
      </w:pPr>
      <w:r w:rsidRPr="00D90D6B">
        <w:rPr>
          <w:rFonts w:ascii="Calibri" w:hAnsi="Calibri"/>
          <w:highlight w:val="yellow"/>
        </w:rPr>
        <w:t>Eighty-five percent of all sea turtles will be injured or killed by plastics in their lifetimes, including the endangered leatherback turtles that summer in Massachusetts Bay before migrating to the tropics to mate</w:t>
      </w:r>
      <w:r w:rsidRPr="00462F75">
        <w:rPr>
          <w:rFonts w:ascii="Calibri" w:hAnsi="Calibri"/>
        </w:rPr>
        <w:t>. [15]</w:t>
      </w:r>
    </w:p>
    <w:p w:rsidR="00EC6DB8" w:rsidRPr="00ED2A5B" w:rsidRDefault="00EC6DB8" w:rsidP="00793381">
      <w:pPr>
        <w:pStyle w:val="Body"/>
        <w:spacing w:line="276" w:lineRule="auto"/>
        <w:ind w:left="1440"/>
        <w:rPr>
          <w:rFonts w:ascii="Calibri" w:hAnsi="Calibri"/>
          <w:b/>
          <w:bCs/>
        </w:rPr>
      </w:pPr>
    </w:p>
    <w:p w:rsidR="00EC6DB8" w:rsidRPr="00ED2A5B" w:rsidRDefault="00EC6DB8" w:rsidP="00793381">
      <w:pPr>
        <w:pStyle w:val="Body"/>
        <w:ind w:left="720" w:firstLine="720"/>
        <w:rPr>
          <w:rFonts w:ascii="Calibri" w:hAnsi="Calibri"/>
          <w:b/>
          <w:bCs/>
        </w:rPr>
      </w:pPr>
      <w:r w:rsidRPr="00ED2A5B">
        <w:rPr>
          <w:rFonts w:ascii="Calibri" w:hAnsi="Calibri"/>
          <w:b/>
          <w:bCs/>
        </w:rPr>
        <w:t>References</w:t>
      </w:r>
      <w:r>
        <w:rPr>
          <w:rFonts w:ascii="Calibri" w:hAnsi="Calibri"/>
          <w:b/>
          <w:bCs/>
        </w:rPr>
        <w:t xml:space="preserve"> and Notes:</w:t>
      </w:r>
    </w:p>
    <w:p w:rsidR="00EC6DB8" w:rsidRPr="00ED2A5B" w:rsidRDefault="00EC6DB8" w:rsidP="00793381">
      <w:pPr>
        <w:pStyle w:val="Body"/>
        <w:ind w:left="1440"/>
        <w:rPr>
          <w:rFonts w:ascii="Calibri" w:hAnsi="Calibri"/>
        </w:rPr>
      </w:pPr>
    </w:p>
    <w:p w:rsidR="00EC6DB8" w:rsidRPr="00ED2A5B" w:rsidRDefault="00EC6DB8" w:rsidP="00793381">
      <w:pPr>
        <w:pStyle w:val="Body"/>
        <w:spacing w:after="120"/>
        <w:ind w:left="2160"/>
        <w:rPr>
          <w:rFonts w:ascii="Calibri" w:hAnsi="Calibri"/>
        </w:rPr>
      </w:pPr>
      <w:r w:rsidRPr="00ED2A5B">
        <w:rPr>
          <w:rFonts w:ascii="Calibri" w:hAnsi="Calibri"/>
        </w:rPr>
        <w:t>[1] Retrieved from: http://www.cleanair.org/program/waste_and_recycling/recyclenow_philadelphia/waste_and_recycling_facts</w:t>
      </w:r>
    </w:p>
    <w:p w:rsidR="00EC6DB8" w:rsidRPr="00ED2A5B" w:rsidRDefault="00EC6DB8" w:rsidP="00793381">
      <w:pPr>
        <w:pStyle w:val="Body"/>
        <w:spacing w:after="120"/>
        <w:ind w:left="2160"/>
        <w:rPr>
          <w:rFonts w:ascii="Calibri" w:hAnsi="Calibri"/>
        </w:rPr>
      </w:pPr>
      <w:r w:rsidRPr="00ED2A5B">
        <w:rPr>
          <w:rFonts w:ascii="Calibri" w:hAnsi="Calibri"/>
        </w:rPr>
        <w:t>[2] “The Prevalence and Environmental Impact of Single-Use Plastic Products.” Retrieved from: http://www.cwru.edu/med/epidbio/mphp439/Single_Use_Plastics.pdf</w:t>
      </w:r>
    </w:p>
    <w:p w:rsidR="00EC6DB8" w:rsidRPr="00ED2A5B" w:rsidRDefault="00EC6DB8" w:rsidP="00793381">
      <w:pPr>
        <w:pStyle w:val="Body"/>
        <w:spacing w:after="120"/>
        <w:ind w:left="2160"/>
        <w:rPr>
          <w:rFonts w:ascii="Calibri" w:hAnsi="Calibri"/>
          <w:i/>
          <w:iCs/>
        </w:rPr>
      </w:pPr>
      <w:r w:rsidRPr="00ED2A5B">
        <w:rPr>
          <w:rFonts w:ascii="Calibri" w:hAnsi="Calibri"/>
        </w:rPr>
        <w:t xml:space="preserve">[3] </w:t>
      </w:r>
      <w:r w:rsidRPr="00ED2A5B">
        <w:rPr>
          <w:rFonts w:ascii="Calibri" w:hAnsi="Calibri"/>
          <w:i/>
          <w:iCs/>
        </w:rPr>
        <w:t>Ibid.</w:t>
      </w:r>
    </w:p>
    <w:p w:rsidR="00EC6DB8" w:rsidRPr="00ED2A5B" w:rsidRDefault="00EC6DB8" w:rsidP="00793381">
      <w:pPr>
        <w:pStyle w:val="Body"/>
        <w:spacing w:after="120"/>
        <w:ind w:left="2160"/>
        <w:rPr>
          <w:rFonts w:ascii="Calibri" w:hAnsi="Calibri"/>
          <w:color w:val="252525"/>
        </w:rPr>
      </w:pPr>
      <w:r w:rsidRPr="00ED2A5B">
        <w:rPr>
          <w:rFonts w:ascii="Calibri" w:hAnsi="Calibri"/>
        </w:rPr>
        <w:t xml:space="preserve">[4] </w:t>
      </w:r>
      <w:r w:rsidRPr="00ED2A5B">
        <w:rPr>
          <w:rFonts w:ascii="Calibri" w:hAnsi="Calibri"/>
          <w:color w:val="252525"/>
        </w:rPr>
        <w:t xml:space="preserve">Piringer, Otto G.; Baner, Albert Lawrence (2008). </w:t>
      </w:r>
      <w:hyperlink r:id="rId30" w:history="1">
        <w:r w:rsidRPr="00ED2A5B">
          <w:rPr>
            <w:rStyle w:val="Hyperlink0"/>
            <w:rFonts w:ascii="Calibri" w:hAnsi="Calibri"/>
            <w:i/>
            <w:iCs/>
          </w:rPr>
          <w:t>Plastic packaging: interactions with food and pharmaceuticals</w:t>
        </w:r>
      </w:hyperlink>
      <w:r w:rsidRPr="00ED2A5B">
        <w:rPr>
          <w:rFonts w:ascii="Calibri" w:hAnsi="Calibri"/>
          <w:color w:val="252525"/>
        </w:rPr>
        <w:t xml:space="preserve"> (2nd ed.). Wiley-VCH. </w:t>
      </w:r>
      <w:hyperlink r:id="rId31" w:history="1">
        <w:r w:rsidRPr="00ED2A5B">
          <w:rPr>
            <w:rStyle w:val="Hyperlink1"/>
            <w:rFonts w:ascii="Calibri" w:hAnsi="Calibri"/>
            <w:color w:val="0544AD"/>
          </w:rPr>
          <w:t>ISBN</w:t>
        </w:r>
      </w:hyperlink>
      <w:r w:rsidRPr="00ED2A5B">
        <w:rPr>
          <w:rFonts w:ascii="Calibri" w:hAnsi="Calibri"/>
          <w:color w:val="252525"/>
        </w:rPr>
        <w:t> </w:t>
      </w:r>
      <w:hyperlink r:id="rId32" w:history="1">
        <w:r w:rsidRPr="00ED2A5B">
          <w:rPr>
            <w:rStyle w:val="Hyperlink1"/>
            <w:rFonts w:ascii="Calibri" w:hAnsi="Calibri"/>
            <w:color w:val="0544AD"/>
          </w:rPr>
          <w:t>978-3-527-31455-3</w:t>
        </w:r>
      </w:hyperlink>
      <w:r w:rsidRPr="00ED2A5B">
        <w:rPr>
          <w:rFonts w:ascii="Calibri" w:hAnsi="Calibri"/>
          <w:color w:val="252525"/>
        </w:rPr>
        <w:t>. Retrieved 2014-02-20.</w:t>
      </w:r>
    </w:p>
    <w:p w:rsidR="00EC6DB8" w:rsidRPr="00ED2A5B" w:rsidRDefault="00EC6DB8" w:rsidP="00793381">
      <w:pPr>
        <w:pStyle w:val="Body"/>
        <w:spacing w:after="120"/>
        <w:ind w:left="2160"/>
        <w:rPr>
          <w:rFonts w:ascii="Calibri" w:hAnsi="Calibri"/>
        </w:rPr>
      </w:pPr>
      <w:r w:rsidRPr="00ED2A5B">
        <w:rPr>
          <w:rFonts w:ascii="Calibri" w:hAnsi="Calibri"/>
          <w:color w:val="252525"/>
        </w:rPr>
        <w:t xml:space="preserve">[5] </w:t>
      </w:r>
      <w:r w:rsidRPr="00ED2A5B">
        <w:rPr>
          <w:rFonts w:ascii="Calibri" w:hAnsi="Calibri"/>
        </w:rPr>
        <w:t xml:space="preserve">Kenneth S. Whiteley, T. Geoffrey Heggs, Hartmut Koch, Ralph L. Mawer, Wolfgang Immel, "Polyolefins" in Ullmann's Encyclopedia of Industrial Chemistry 2005, Wiley-VCH, Weinheim. </w:t>
      </w:r>
      <w:hyperlink r:id="rId33" w:history="1">
        <w:r w:rsidRPr="00ED2A5B">
          <w:rPr>
            <w:rStyle w:val="Hyperlink1"/>
            <w:rFonts w:ascii="Calibri" w:hAnsi="Calibri"/>
            <w:color w:val="0544AD"/>
            <w:lang w:val="fr-FR"/>
          </w:rPr>
          <w:t>doi</w:t>
        </w:r>
      </w:hyperlink>
      <w:r w:rsidRPr="00ED2A5B">
        <w:rPr>
          <w:rFonts w:ascii="Calibri" w:hAnsi="Calibri"/>
        </w:rPr>
        <w:t>:</w:t>
      </w:r>
      <w:hyperlink r:id="rId34" w:history="1">
        <w:r w:rsidRPr="00ED2A5B">
          <w:rPr>
            <w:rStyle w:val="Hyperlink2"/>
            <w:rFonts w:ascii="Calibri" w:hAnsi="Calibri"/>
            <w:color w:val="3265BB"/>
          </w:rPr>
          <w:t>10.1002/14356007.a21_487</w:t>
        </w:r>
      </w:hyperlink>
    </w:p>
    <w:p w:rsidR="00EC6DB8" w:rsidRPr="00ED2A5B" w:rsidRDefault="00EC6DB8" w:rsidP="00793381">
      <w:pPr>
        <w:pStyle w:val="Body"/>
        <w:spacing w:after="120"/>
        <w:ind w:left="2160"/>
        <w:rPr>
          <w:rFonts w:ascii="Calibri" w:hAnsi="Calibri"/>
        </w:rPr>
      </w:pPr>
      <w:r w:rsidRPr="00ED2A5B">
        <w:rPr>
          <w:rFonts w:ascii="Calibri" w:hAnsi="Calibri"/>
        </w:rPr>
        <w:t xml:space="preserve">[6] Earth Policy Institute, </w:t>
      </w:r>
      <w:r w:rsidRPr="00ED2A5B">
        <w:rPr>
          <w:rFonts w:ascii="Calibri" w:hAnsi="Calibri"/>
          <w:i/>
          <w:iCs/>
        </w:rPr>
        <w:t xml:space="preserve">Plastic Bags Factsheet. Retrieved from: </w:t>
      </w:r>
      <w:hyperlink r:id="rId35" w:history="1">
        <w:r w:rsidRPr="00ED2A5B">
          <w:rPr>
            <w:rStyle w:val="Hyperlink3"/>
            <w:rFonts w:ascii="Calibri" w:hAnsi="Calibri"/>
          </w:rPr>
          <w:t>http://www.earth-policy.org/press_room/C68/plastic_bags_fact_sheet</w:t>
        </w:r>
      </w:hyperlink>
    </w:p>
    <w:p w:rsidR="00EC6DB8" w:rsidRPr="00ED2A5B" w:rsidRDefault="00EC6DB8" w:rsidP="00793381">
      <w:pPr>
        <w:pStyle w:val="Body"/>
        <w:spacing w:after="120"/>
        <w:ind w:left="2160"/>
        <w:rPr>
          <w:rFonts w:ascii="Calibri" w:hAnsi="Calibri"/>
          <w:i/>
          <w:iCs/>
        </w:rPr>
      </w:pPr>
      <w:r w:rsidRPr="00ED2A5B">
        <w:rPr>
          <w:rFonts w:ascii="Calibri" w:hAnsi="Calibri"/>
        </w:rPr>
        <w:t xml:space="preserve">[7] </w:t>
      </w:r>
      <w:r w:rsidRPr="00ED2A5B">
        <w:rPr>
          <w:rFonts w:ascii="Calibri" w:hAnsi="Calibri"/>
          <w:i/>
          <w:iCs/>
        </w:rPr>
        <w:t>Ibid.</w:t>
      </w:r>
    </w:p>
    <w:p w:rsidR="00EC6DB8" w:rsidRPr="00ED2A5B" w:rsidRDefault="00EC6DB8" w:rsidP="00793381">
      <w:pPr>
        <w:pStyle w:val="Body"/>
        <w:spacing w:after="120"/>
        <w:ind w:left="2160"/>
        <w:rPr>
          <w:rFonts w:ascii="Calibri" w:hAnsi="Calibri"/>
        </w:rPr>
      </w:pPr>
      <w:r w:rsidRPr="00ED2A5B">
        <w:rPr>
          <w:rFonts w:ascii="Calibri" w:hAnsi="Calibri"/>
        </w:rPr>
        <w:t xml:space="preserve">[8] Massachusetts Chapter of The Sierra Club, Retrieved: </w:t>
      </w:r>
      <w:hyperlink r:id="rId36" w:history="1">
        <w:r w:rsidRPr="00ED2A5B">
          <w:rPr>
            <w:rStyle w:val="Hyperlink3"/>
            <w:rFonts w:ascii="Calibri" w:hAnsi="Calibri"/>
          </w:rPr>
          <w:t>http://www.sierraclub.org/massachusetts/plastic-bags-0</w:t>
        </w:r>
      </w:hyperlink>
    </w:p>
    <w:p w:rsidR="00EC6DB8" w:rsidRPr="00ED2A5B" w:rsidRDefault="00EC6DB8" w:rsidP="00793381">
      <w:pPr>
        <w:pStyle w:val="Body"/>
        <w:spacing w:after="120"/>
        <w:ind w:left="2160"/>
        <w:rPr>
          <w:rFonts w:ascii="Calibri" w:hAnsi="Calibri"/>
        </w:rPr>
      </w:pPr>
      <w:r w:rsidRPr="00ED2A5B">
        <w:rPr>
          <w:rFonts w:ascii="Calibri" w:hAnsi="Calibri"/>
        </w:rPr>
        <w:t xml:space="preserve">[9]—[15] Environment Massachusetts. Retrieved from: </w:t>
      </w:r>
      <w:hyperlink r:id="rId37" w:history="1">
        <w:r w:rsidRPr="00ED2A5B">
          <w:rPr>
            <w:rStyle w:val="Hyperlink3"/>
            <w:rFonts w:ascii="Calibri" w:hAnsi="Calibri"/>
          </w:rPr>
          <w:t>http://www.environmentmassachusetts.org/sites/environment/files/reports/Bag%20Ban%20Fact%20Sheet%20_0.pdf</w:t>
        </w:r>
      </w:hyperlink>
    </w:p>
    <w:p w:rsidR="00EC6DB8" w:rsidRPr="00ED2A5B" w:rsidRDefault="00EC6DB8" w:rsidP="00793381">
      <w:pPr>
        <w:pStyle w:val="Body"/>
        <w:spacing w:after="120"/>
        <w:ind w:left="2160"/>
        <w:rPr>
          <w:rFonts w:ascii="Calibri" w:hAnsi="Calibri"/>
        </w:rPr>
      </w:pPr>
      <w:r w:rsidRPr="00ED2A5B">
        <w:rPr>
          <w:rFonts w:ascii="Calibri" w:hAnsi="Calibri"/>
        </w:rPr>
        <w:t>"Dangers of Plastic Bags ." Envirosax. Bellouco Pty Ltd. , n.d. Web. &lt;http://www.envirosax.com/plastic_bag_facts&gt;.</w:t>
      </w:r>
    </w:p>
    <w:p w:rsidR="00EC6DB8" w:rsidRPr="00ED2A5B" w:rsidRDefault="00EC6DB8" w:rsidP="00793381">
      <w:pPr>
        <w:pStyle w:val="Body"/>
        <w:spacing w:after="120"/>
        <w:ind w:left="2160"/>
        <w:rPr>
          <w:rFonts w:ascii="Calibri" w:hAnsi="Calibri"/>
        </w:rPr>
      </w:pPr>
      <w:r w:rsidRPr="00ED2A5B">
        <w:rPr>
          <w:rFonts w:ascii="Calibri" w:hAnsi="Calibri"/>
        </w:rPr>
        <w:lastRenderedPageBreak/>
        <w:t>"Direct Manufacturer of Reusable Bags." Plastic Bag Ban Map. Factory Direct Promos, n.d. Web. 21 Mar. 2013.</w:t>
      </w:r>
    </w:p>
    <w:p w:rsidR="00EC6DB8" w:rsidRPr="00ED2A5B" w:rsidRDefault="00EC6DB8" w:rsidP="00793381">
      <w:pPr>
        <w:pStyle w:val="Body"/>
        <w:spacing w:after="120"/>
        <w:ind w:left="2160"/>
        <w:rPr>
          <w:rFonts w:ascii="Calibri" w:hAnsi="Calibri"/>
        </w:rPr>
      </w:pPr>
      <w:r w:rsidRPr="00ED2A5B">
        <w:rPr>
          <w:rFonts w:ascii="Calibri" w:hAnsi="Calibri"/>
        </w:rPr>
        <w:t>“Marine Problems: Pollution." WWF Global. N.p.. Web. &lt;http://wwf.panda.org/about_our_earth/blue_planet/problems/pollution/&gt;.</w:t>
      </w:r>
    </w:p>
    <w:p w:rsidR="00EC6DB8" w:rsidRPr="00ED2A5B" w:rsidRDefault="00EC6DB8" w:rsidP="00793381">
      <w:pPr>
        <w:pStyle w:val="Body"/>
        <w:spacing w:after="120"/>
        <w:ind w:left="2160"/>
        <w:rPr>
          <w:rFonts w:ascii="Calibri" w:hAnsi="Calibri"/>
        </w:rPr>
      </w:pPr>
      <w:r w:rsidRPr="00ED2A5B">
        <w:rPr>
          <w:rFonts w:ascii="Calibri" w:hAnsi="Calibri"/>
        </w:rPr>
        <w:t>"Plastic Marine Debris: An In-depth Look." Marine Debris Program. National Oceanic and Atmospheric Administration, 21 Sept. 2011. Web. 21 Mar. 2013.</w:t>
      </w:r>
    </w:p>
    <w:p w:rsidR="00EC6DB8" w:rsidRPr="00ED2A5B" w:rsidRDefault="00EC6DB8" w:rsidP="00793381">
      <w:pPr>
        <w:pStyle w:val="Body"/>
        <w:spacing w:after="120"/>
        <w:ind w:left="2160"/>
        <w:rPr>
          <w:rFonts w:ascii="Calibri" w:hAnsi="Calibri"/>
        </w:rPr>
      </w:pPr>
      <w:r w:rsidRPr="00ED2A5B">
        <w:rPr>
          <w:rFonts w:ascii="Calibri" w:hAnsi="Calibri"/>
        </w:rPr>
        <w:t>"The Ocean Trash Index." Ocean Conservancy . N.p.. Web. 8 Mar 2013. &lt;http://www.oceanconservancy.org/our-work/marine-debris/2012-icc- data-pdf.pdf&gt;.</w:t>
      </w:r>
    </w:p>
    <w:p w:rsidR="00EC6DB8" w:rsidRPr="00ED2A5B" w:rsidRDefault="00EC6DB8" w:rsidP="00793381">
      <w:pPr>
        <w:pStyle w:val="Body"/>
        <w:spacing w:after="120"/>
        <w:ind w:left="2160"/>
        <w:rPr>
          <w:rFonts w:ascii="Calibri" w:hAnsi="Calibri"/>
        </w:rPr>
      </w:pPr>
      <w:r w:rsidRPr="00ED2A5B">
        <w:rPr>
          <w:rFonts w:ascii="Calibri" w:hAnsi="Calibri"/>
        </w:rPr>
        <w:t>Satariano, Adam. "Pacific Ocean Plastic Mistaken for Plankton Threatens Wildlife." Bloomberg News. Bloomberg, 10 Apr. 2008. Web. 21 Mar. 2013.</w:t>
      </w:r>
    </w:p>
    <w:p w:rsidR="00EC6DB8" w:rsidRPr="00ED2A5B" w:rsidRDefault="00EC6DB8" w:rsidP="00793381">
      <w:pPr>
        <w:pStyle w:val="Body"/>
        <w:spacing w:after="120"/>
        <w:ind w:left="2160"/>
        <w:rPr>
          <w:rFonts w:ascii="Calibri" w:hAnsi="Calibri"/>
        </w:rPr>
      </w:pPr>
      <w:r w:rsidRPr="00ED2A5B">
        <w:rPr>
          <w:rFonts w:ascii="Calibri" w:hAnsi="Calibri"/>
        </w:rPr>
        <w:t>Young, Jeff. "Living on Earth: The Other Oil Spill." Living on Earth. Public Radio International, 16 July 2010. Web. 21 Mar. 2013.</w:t>
      </w:r>
    </w:p>
    <w:p w:rsidR="00EC6DB8" w:rsidRPr="00ED2A5B" w:rsidRDefault="00EC6DB8" w:rsidP="00793381">
      <w:pPr>
        <w:pStyle w:val="Body"/>
        <w:spacing w:after="120"/>
        <w:ind w:left="2160"/>
        <w:rPr>
          <w:rFonts w:ascii="Calibri" w:hAnsi="Calibri"/>
        </w:rPr>
      </w:pPr>
      <w:r w:rsidRPr="00ED2A5B">
        <w:rPr>
          <w:rFonts w:ascii="Calibri" w:hAnsi="Calibri"/>
        </w:rPr>
        <w:t xml:space="preserve">[16] Earth Policy Institute, </w:t>
      </w:r>
      <w:r w:rsidRPr="00ED2A5B">
        <w:rPr>
          <w:rFonts w:ascii="Calibri" w:hAnsi="Calibri"/>
          <w:i/>
          <w:iCs/>
        </w:rPr>
        <w:t xml:space="preserve">Plastic Bags Factsheet. Retrieved from: </w:t>
      </w:r>
      <w:hyperlink r:id="rId38" w:history="1">
        <w:r w:rsidRPr="00ED2A5B">
          <w:rPr>
            <w:rStyle w:val="Hyperlink3"/>
            <w:rFonts w:ascii="Calibri" w:hAnsi="Calibri"/>
          </w:rPr>
          <w:t>http://www.earth-policy.org/press_room/C68/plastic_bags_fact_sheet</w:t>
        </w:r>
      </w:hyperlink>
    </w:p>
    <w:p w:rsidR="00EC6DB8" w:rsidRPr="00ED2A5B" w:rsidRDefault="00EC6DB8" w:rsidP="00793381">
      <w:pPr>
        <w:pStyle w:val="Body"/>
        <w:spacing w:after="120"/>
        <w:ind w:left="2160"/>
        <w:rPr>
          <w:rFonts w:ascii="Calibri" w:hAnsi="Calibri"/>
        </w:rPr>
      </w:pPr>
      <w:r w:rsidRPr="00ED2A5B">
        <w:rPr>
          <w:rFonts w:ascii="Calibri" w:hAnsi="Calibri"/>
        </w:rPr>
        <w:t xml:space="preserve">[17] Retrieved from: </w:t>
      </w:r>
      <w:hyperlink r:id="rId39" w:history="1">
        <w:r w:rsidRPr="00ED2A5B">
          <w:rPr>
            <w:rStyle w:val="Hyperlink3"/>
            <w:rFonts w:ascii="Calibri" w:hAnsi="Calibri"/>
          </w:rPr>
          <w:t>www.cleanair.org/program/waste_and_recycling/recyclenow_philadelphia/waste_and_recycling_facts</w:t>
        </w:r>
      </w:hyperlink>
    </w:p>
    <w:p w:rsidR="00EC6DB8" w:rsidRPr="00ED2A5B" w:rsidRDefault="00EC6DB8" w:rsidP="00793381">
      <w:pPr>
        <w:pStyle w:val="Body"/>
        <w:spacing w:after="120"/>
        <w:ind w:left="2160"/>
        <w:rPr>
          <w:rFonts w:ascii="Calibri" w:hAnsi="Calibri"/>
        </w:rPr>
      </w:pPr>
      <w:r w:rsidRPr="00ED2A5B">
        <w:rPr>
          <w:rFonts w:ascii="Calibri" w:hAnsi="Calibri"/>
        </w:rPr>
        <w:t xml:space="preserve">[18] Earth Policy Institute, </w:t>
      </w:r>
      <w:r w:rsidRPr="00ED2A5B">
        <w:rPr>
          <w:rFonts w:ascii="Calibri" w:hAnsi="Calibri"/>
          <w:i/>
          <w:iCs/>
        </w:rPr>
        <w:t xml:space="preserve">Plastic Bags Factsheet. Retrieved from: </w:t>
      </w:r>
      <w:hyperlink r:id="rId40" w:history="1">
        <w:r w:rsidRPr="00ED2A5B">
          <w:rPr>
            <w:rStyle w:val="Hyperlink3"/>
            <w:rFonts w:ascii="Calibri" w:hAnsi="Calibri"/>
          </w:rPr>
          <w:t>http://www.earth-policy.org/press_room/C68/plastic_bags_fact_sheet</w:t>
        </w:r>
      </w:hyperlink>
    </w:p>
    <w:p w:rsidR="00EC6DB8" w:rsidRPr="00ED2A5B" w:rsidRDefault="00EC6DB8" w:rsidP="00793381">
      <w:pPr>
        <w:pStyle w:val="Body"/>
        <w:spacing w:after="120"/>
        <w:ind w:left="2160"/>
        <w:rPr>
          <w:rFonts w:ascii="Calibri" w:hAnsi="Calibri"/>
        </w:rPr>
      </w:pPr>
      <w:r w:rsidRPr="00ED2A5B">
        <w:rPr>
          <w:rFonts w:ascii="Calibri" w:hAnsi="Calibri"/>
        </w:rPr>
        <w:t xml:space="preserve">[19] Retrieved from: </w:t>
      </w:r>
      <w:hyperlink r:id="rId41" w:history="1">
        <w:r w:rsidRPr="00ED2A5B">
          <w:rPr>
            <w:rStyle w:val="Hyperlink3"/>
            <w:rFonts w:ascii="Calibri" w:hAnsi="Calibri"/>
          </w:rPr>
          <w:t>http://ecowatch.com/2014/04/07/22-facts-plastic-pollution-10-things-can-do-about-it/</w:t>
        </w:r>
      </w:hyperlink>
    </w:p>
    <w:p w:rsidR="00EC6DB8" w:rsidRPr="00ED2A5B" w:rsidRDefault="00EC6DB8" w:rsidP="00793381">
      <w:pPr>
        <w:pStyle w:val="Body"/>
        <w:spacing w:after="120"/>
        <w:ind w:left="2160"/>
        <w:rPr>
          <w:rFonts w:ascii="Calibri" w:hAnsi="Calibri"/>
        </w:rPr>
      </w:pPr>
      <w:r w:rsidRPr="00ED2A5B">
        <w:rPr>
          <w:rFonts w:ascii="Calibri" w:hAnsi="Calibri"/>
        </w:rPr>
        <w:t xml:space="preserve">[20] Environment Massachusetts. Retrieved from: </w:t>
      </w:r>
      <w:hyperlink r:id="rId42" w:history="1">
        <w:r w:rsidRPr="00ED2A5B">
          <w:rPr>
            <w:rStyle w:val="Hyperlink3"/>
            <w:rFonts w:ascii="Calibri" w:hAnsi="Calibri"/>
          </w:rPr>
          <w:t>http://www.environmentmassachusetts.org/sites/environment/files/reports/Bag%20Ban%20Fact%20Sheet%20_0.pdf</w:t>
        </w:r>
      </w:hyperlink>
    </w:p>
    <w:p w:rsidR="00EC6DB8" w:rsidRPr="00ED2A5B" w:rsidRDefault="00EC6DB8" w:rsidP="00793381">
      <w:pPr>
        <w:pStyle w:val="Body"/>
        <w:spacing w:after="120"/>
        <w:ind w:left="2160"/>
        <w:rPr>
          <w:rFonts w:ascii="Calibri" w:hAnsi="Calibri"/>
        </w:rPr>
      </w:pPr>
      <w:r w:rsidRPr="00ED2A5B">
        <w:rPr>
          <w:rFonts w:ascii="Calibri" w:hAnsi="Calibri"/>
        </w:rPr>
        <w:t xml:space="preserve">[21] Earth Policy Institute, </w:t>
      </w:r>
      <w:r w:rsidRPr="00ED2A5B">
        <w:rPr>
          <w:rFonts w:ascii="Calibri" w:hAnsi="Calibri"/>
          <w:i/>
          <w:iCs/>
        </w:rPr>
        <w:t xml:space="preserve">Plastic Bags Factsheet. Retrieved from: </w:t>
      </w:r>
      <w:hyperlink r:id="rId43" w:history="1">
        <w:r w:rsidRPr="00ED2A5B">
          <w:rPr>
            <w:rStyle w:val="Hyperlink3"/>
            <w:rFonts w:ascii="Calibri" w:hAnsi="Calibri"/>
          </w:rPr>
          <w:t>http://www.earth-policy.org/press_room/C68/plastic_bags_fact_sheet</w:t>
        </w:r>
      </w:hyperlink>
    </w:p>
    <w:p w:rsidR="00EC6DB8" w:rsidRPr="00ED2A5B" w:rsidRDefault="00EC6DB8" w:rsidP="00793381">
      <w:pPr>
        <w:pStyle w:val="Body"/>
        <w:spacing w:after="120"/>
        <w:ind w:left="2160"/>
        <w:rPr>
          <w:rFonts w:ascii="Calibri" w:hAnsi="Calibri"/>
          <w:i/>
          <w:iCs/>
        </w:rPr>
      </w:pPr>
      <w:r w:rsidRPr="00ED2A5B">
        <w:rPr>
          <w:rFonts w:ascii="Calibri" w:hAnsi="Calibri"/>
        </w:rPr>
        <w:t xml:space="preserve">[22] </w:t>
      </w:r>
      <w:r w:rsidRPr="00ED2A5B">
        <w:rPr>
          <w:rFonts w:ascii="Calibri" w:hAnsi="Calibri"/>
          <w:i/>
          <w:iCs/>
        </w:rPr>
        <w:t>Ibid.</w:t>
      </w:r>
    </w:p>
    <w:p w:rsidR="00EC6DB8" w:rsidRPr="00ED2A5B" w:rsidRDefault="00EC6DB8" w:rsidP="00793381">
      <w:pPr>
        <w:pStyle w:val="Body"/>
        <w:spacing w:after="120"/>
        <w:ind w:left="2160"/>
        <w:rPr>
          <w:rFonts w:ascii="Calibri" w:hAnsi="Calibri"/>
          <w:i/>
          <w:iCs/>
        </w:rPr>
      </w:pPr>
      <w:r w:rsidRPr="00ED2A5B">
        <w:rPr>
          <w:rFonts w:ascii="Calibri" w:hAnsi="Calibri"/>
        </w:rPr>
        <w:t xml:space="preserve">[23] </w:t>
      </w:r>
      <w:r w:rsidRPr="00ED2A5B">
        <w:rPr>
          <w:rFonts w:ascii="Calibri" w:hAnsi="Calibri"/>
          <w:i/>
          <w:iCs/>
        </w:rPr>
        <w:t>Ibid.</w:t>
      </w:r>
    </w:p>
    <w:p w:rsidR="00EC6DB8" w:rsidRPr="00ED2A5B" w:rsidRDefault="00EC6DB8" w:rsidP="00793381">
      <w:pPr>
        <w:pStyle w:val="Body"/>
        <w:spacing w:after="120"/>
        <w:ind w:left="2160"/>
        <w:rPr>
          <w:rFonts w:ascii="Calibri" w:hAnsi="Calibri"/>
          <w:i/>
          <w:iCs/>
        </w:rPr>
      </w:pPr>
      <w:r w:rsidRPr="00ED2A5B">
        <w:rPr>
          <w:rFonts w:ascii="Calibri" w:hAnsi="Calibri"/>
        </w:rPr>
        <w:t xml:space="preserve">[24] </w:t>
      </w:r>
      <w:r w:rsidRPr="00ED2A5B">
        <w:rPr>
          <w:rFonts w:ascii="Calibri" w:hAnsi="Calibri"/>
          <w:i/>
          <w:iCs/>
        </w:rPr>
        <w:t>Ibid.</w:t>
      </w:r>
    </w:p>
    <w:p w:rsidR="00EC6DB8" w:rsidRPr="00ED2A5B" w:rsidRDefault="00EC6DB8" w:rsidP="00793381">
      <w:pPr>
        <w:pStyle w:val="Body"/>
        <w:spacing w:after="120"/>
        <w:ind w:left="2160"/>
        <w:rPr>
          <w:rFonts w:ascii="Calibri" w:hAnsi="Calibri"/>
        </w:rPr>
      </w:pPr>
      <w:r w:rsidRPr="00ED2A5B">
        <w:rPr>
          <w:rFonts w:ascii="Calibri" w:hAnsi="Calibri"/>
        </w:rPr>
        <w:t xml:space="preserve">[25] The Joint Group of Experts on the Scientific Aspects of Marine Environmental Protection (Gesamp) presents in their “Sources, Fate and Effects of Microplastics in The Marine Environment: A Global Assessment” Retrieved from: </w:t>
      </w:r>
      <w:hyperlink r:id="rId44" w:history="1">
        <w:r w:rsidRPr="00ED2A5B">
          <w:rPr>
            <w:rStyle w:val="Hyperlink4"/>
            <w:rFonts w:ascii="Calibri" w:hAnsi="Calibri"/>
            <w:lang w:val="de-DE"/>
          </w:rPr>
          <w:t>http://www.gesamp.org/data/gesamp/files/media/Publications/Reports_and_studies_90/gallery_2230/object_2500_large.pdf </w:t>
        </w:r>
      </w:hyperlink>
    </w:p>
    <w:p w:rsidR="00EC6DB8" w:rsidRPr="00ED2A5B" w:rsidRDefault="00EC6DB8" w:rsidP="00793381">
      <w:pPr>
        <w:pStyle w:val="Body"/>
        <w:spacing w:after="120"/>
        <w:ind w:left="2160"/>
        <w:rPr>
          <w:rFonts w:ascii="Calibri" w:hAnsi="Calibri"/>
        </w:rPr>
      </w:pPr>
      <w:r w:rsidRPr="00ED2A5B">
        <w:rPr>
          <w:rFonts w:ascii="Calibri" w:hAnsi="Calibri"/>
        </w:rPr>
        <w:t>[26] Most Plastic Products Release Estrogenic Chemicals: A Potential Health Problem that Can Be Solved</w:t>
      </w:r>
      <w:r w:rsidRPr="00ED2A5B">
        <w:rPr>
          <w:rFonts w:ascii="Calibri" w:hAnsi="Calibri"/>
        </w:rPr>
        <w:br/>
      </w:r>
      <w:r w:rsidRPr="00ED2A5B">
        <w:rPr>
          <w:rFonts w:ascii="Calibri" w:hAnsi="Calibri"/>
          <w:i/>
          <w:iCs/>
          <w:lang w:val="nl-NL"/>
        </w:rPr>
        <w:t>Chun Z. Yang,</w:t>
      </w:r>
      <w:r w:rsidRPr="00ED2A5B">
        <w:rPr>
          <w:rFonts w:ascii="Calibri" w:hAnsi="Calibri"/>
          <w:i/>
          <w:iCs/>
          <w:position w:val="8"/>
        </w:rPr>
        <w:t xml:space="preserve">1 </w:t>
      </w:r>
      <w:r w:rsidRPr="00ED2A5B">
        <w:rPr>
          <w:rFonts w:ascii="Calibri" w:hAnsi="Calibri"/>
          <w:i/>
          <w:iCs/>
          <w:lang w:val="de-DE"/>
        </w:rPr>
        <w:t>Stuart I. Yaniger,</w:t>
      </w:r>
      <w:r w:rsidRPr="00ED2A5B">
        <w:rPr>
          <w:rFonts w:ascii="Calibri" w:hAnsi="Calibri"/>
          <w:i/>
          <w:iCs/>
          <w:position w:val="8"/>
        </w:rPr>
        <w:t xml:space="preserve">2 </w:t>
      </w:r>
      <w:r w:rsidRPr="00ED2A5B">
        <w:rPr>
          <w:rFonts w:ascii="Calibri" w:hAnsi="Calibri"/>
          <w:i/>
          <w:iCs/>
        </w:rPr>
        <w:t>V. Craig Jordan,</w:t>
      </w:r>
      <w:r w:rsidRPr="00ED2A5B">
        <w:rPr>
          <w:rFonts w:ascii="Calibri" w:hAnsi="Calibri"/>
          <w:i/>
          <w:iCs/>
          <w:position w:val="8"/>
        </w:rPr>
        <w:t xml:space="preserve">3 </w:t>
      </w:r>
      <w:r w:rsidRPr="00ED2A5B">
        <w:rPr>
          <w:rFonts w:ascii="Calibri" w:hAnsi="Calibri"/>
          <w:i/>
          <w:iCs/>
          <w:lang w:val="de-DE"/>
        </w:rPr>
        <w:t>Daniel J. Klein,</w:t>
      </w:r>
      <w:r w:rsidRPr="00ED2A5B">
        <w:rPr>
          <w:rFonts w:ascii="Calibri" w:hAnsi="Calibri"/>
          <w:i/>
          <w:iCs/>
          <w:position w:val="8"/>
        </w:rPr>
        <w:t xml:space="preserve">2 </w:t>
      </w:r>
      <w:r w:rsidRPr="00ED2A5B">
        <w:rPr>
          <w:rFonts w:ascii="Calibri" w:hAnsi="Calibri"/>
          <w:i/>
          <w:iCs/>
          <w:lang w:val="sv-SE"/>
        </w:rPr>
        <w:t>and George D. Bittner</w:t>
      </w:r>
      <w:r w:rsidRPr="00ED2A5B">
        <w:rPr>
          <w:rFonts w:ascii="Calibri" w:hAnsi="Calibri"/>
          <w:i/>
          <w:iCs/>
          <w:position w:val="8"/>
        </w:rPr>
        <w:t>1,2,4</w:t>
      </w:r>
    </w:p>
    <w:p w:rsidR="00EC6DB8" w:rsidRPr="00ED2A5B" w:rsidRDefault="00EC6DB8" w:rsidP="00793381">
      <w:pPr>
        <w:pStyle w:val="Default"/>
        <w:spacing w:after="120"/>
        <w:ind w:left="2160"/>
        <w:rPr>
          <w:rFonts w:ascii="Calibri" w:eastAsia="Times Roman" w:hAnsi="Calibri" w:cs="Times Roman"/>
        </w:rPr>
      </w:pPr>
      <w:r w:rsidRPr="00ED2A5B">
        <w:rPr>
          <w:rFonts w:ascii="Calibri" w:hAnsi="Calibri"/>
          <w:position w:val="8"/>
          <w:sz w:val="16"/>
          <w:szCs w:val="16"/>
        </w:rPr>
        <w:t>1</w:t>
      </w:r>
      <w:r w:rsidRPr="00ED2A5B">
        <w:rPr>
          <w:rFonts w:ascii="Calibri" w:hAnsi="Calibri"/>
        </w:rPr>
        <w:t xml:space="preserve">CertiChem Inc., Austin, Texas, USA; </w:t>
      </w:r>
      <w:r w:rsidRPr="00ED2A5B">
        <w:rPr>
          <w:rFonts w:ascii="Calibri" w:hAnsi="Calibri"/>
          <w:position w:val="8"/>
          <w:sz w:val="16"/>
          <w:szCs w:val="16"/>
        </w:rPr>
        <w:t>2</w:t>
      </w:r>
      <w:r w:rsidRPr="00ED2A5B">
        <w:rPr>
          <w:rFonts w:ascii="Calibri" w:hAnsi="Calibri"/>
        </w:rPr>
        <w:t xml:space="preserve">PlastiPure Inc., Austin, Texas, USA; </w:t>
      </w:r>
      <w:r w:rsidRPr="00ED2A5B">
        <w:rPr>
          <w:rFonts w:ascii="Calibri" w:hAnsi="Calibri"/>
          <w:position w:val="8"/>
          <w:sz w:val="16"/>
          <w:szCs w:val="16"/>
        </w:rPr>
        <w:t>3</w:t>
      </w:r>
      <w:r w:rsidRPr="00ED2A5B">
        <w:rPr>
          <w:rFonts w:ascii="Calibri" w:hAnsi="Calibri"/>
        </w:rPr>
        <w:t xml:space="preserve">Lombardi Comprehensive Cancer Center, Georgetown University Medical Center, Washington, DC, USA; </w:t>
      </w:r>
      <w:r w:rsidRPr="00ED2A5B">
        <w:rPr>
          <w:rFonts w:ascii="Calibri" w:hAnsi="Calibri"/>
          <w:position w:val="8"/>
          <w:sz w:val="16"/>
          <w:szCs w:val="16"/>
        </w:rPr>
        <w:t>4</w:t>
      </w:r>
      <w:r w:rsidRPr="00ED2A5B">
        <w:rPr>
          <w:rFonts w:ascii="Calibri" w:hAnsi="Calibri"/>
        </w:rPr>
        <w:t>Neurobiology Section, School of Biology, University of Texas, Austin, Texas, USA</w:t>
      </w:r>
    </w:p>
    <w:p w:rsidR="00EC6DB8" w:rsidRPr="00ED2A5B" w:rsidRDefault="00EC6DB8" w:rsidP="00793381">
      <w:pPr>
        <w:pStyle w:val="Default"/>
        <w:spacing w:after="120"/>
        <w:ind w:left="2160"/>
        <w:rPr>
          <w:rFonts w:ascii="Calibri" w:hAnsi="Calibri"/>
        </w:rPr>
      </w:pPr>
      <w:r w:rsidRPr="00ED2A5B">
        <w:rPr>
          <w:rFonts w:ascii="Calibri" w:hAnsi="Calibri"/>
        </w:rPr>
        <w:t xml:space="preserve">[27] “Major Medical Groups Increasingly Warning of Toxic Chemical Risks to Unborn Babies,” In HUFFPOST Healthy Living, Posted: 10/21/2015 06:54 PM EDT | Edited: 10/22/2015 10:12 AM </w:t>
      </w:r>
      <w:r w:rsidRPr="00ED2A5B">
        <w:rPr>
          <w:rFonts w:ascii="Calibri" w:hAnsi="Calibri"/>
        </w:rPr>
        <w:lastRenderedPageBreak/>
        <w:t xml:space="preserve">EDT. Retrieved from: </w:t>
      </w:r>
      <w:hyperlink r:id="rId45" w:history="1">
        <w:r w:rsidRPr="00ED2A5B">
          <w:rPr>
            <w:rStyle w:val="Hyperlink3"/>
            <w:rFonts w:ascii="Calibri" w:hAnsi="Calibri"/>
          </w:rPr>
          <w:t>http://www.huffingtonpost.com/entry/toxic-chemicals-pregnancy-infertility_5627c4dfe4b02f6a900f0bc8</w:t>
        </w:r>
      </w:hyperlink>
    </w:p>
    <w:p w:rsidR="00EC6DB8" w:rsidRPr="00ED2A5B" w:rsidRDefault="00EC6DB8" w:rsidP="00793381">
      <w:pPr>
        <w:pStyle w:val="Default"/>
        <w:spacing w:after="120"/>
        <w:ind w:left="2160"/>
        <w:rPr>
          <w:rFonts w:ascii="Calibri" w:hAnsi="Calibri"/>
          <w:i/>
          <w:iCs/>
        </w:rPr>
      </w:pPr>
      <w:r w:rsidRPr="00ED2A5B">
        <w:rPr>
          <w:rFonts w:ascii="Calibri" w:hAnsi="Calibri"/>
        </w:rPr>
        <w:t xml:space="preserve">[28] </w:t>
      </w:r>
      <w:r w:rsidRPr="00ED2A5B">
        <w:rPr>
          <w:rFonts w:ascii="Calibri" w:hAnsi="Calibri"/>
          <w:i/>
          <w:iCs/>
        </w:rPr>
        <w:t>Ibid.</w:t>
      </w:r>
    </w:p>
    <w:p w:rsidR="00EC6DB8" w:rsidRPr="00ED2A5B" w:rsidRDefault="00EC6DB8" w:rsidP="00793381">
      <w:pPr>
        <w:pStyle w:val="Default"/>
        <w:spacing w:after="120"/>
        <w:ind w:left="2160"/>
        <w:rPr>
          <w:rFonts w:ascii="Calibri" w:hAnsi="Calibri"/>
        </w:rPr>
      </w:pPr>
      <w:r w:rsidRPr="00ED2A5B">
        <w:rPr>
          <w:rFonts w:ascii="Calibri" w:hAnsi="Calibri"/>
        </w:rPr>
        <w:t>[29] Most Plastic Products Release Estrogenic Chemicals: A Potential Health Problem that Can Be Solved</w:t>
      </w:r>
      <w:r w:rsidRPr="00ED2A5B">
        <w:rPr>
          <w:rFonts w:ascii="Calibri" w:hAnsi="Calibri"/>
        </w:rPr>
        <w:br/>
      </w:r>
      <w:r w:rsidRPr="00ED2A5B">
        <w:rPr>
          <w:rFonts w:ascii="Calibri" w:hAnsi="Calibri"/>
          <w:i/>
          <w:iCs/>
          <w:lang w:val="nl-NL"/>
        </w:rPr>
        <w:t>Chun Z. Yang,</w:t>
      </w:r>
      <w:r w:rsidRPr="00ED2A5B">
        <w:rPr>
          <w:rFonts w:ascii="Calibri" w:hAnsi="Calibri"/>
          <w:i/>
          <w:iCs/>
          <w:position w:val="8"/>
        </w:rPr>
        <w:t xml:space="preserve">1 </w:t>
      </w:r>
      <w:r w:rsidRPr="00ED2A5B">
        <w:rPr>
          <w:rFonts w:ascii="Calibri" w:hAnsi="Calibri"/>
          <w:i/>
          <w:iCs/>
          <w:lang w:val="de-DE"/>
        </w:rPr>
        <w:t>Stuart I. Yaniger,</w:t>
      </w:r>
      <w:r w:rsidRPr="00ED2A5B">
        <w:rPr>
          <w:rFonts w:ascii="Calibri" w:hAnsi="Calibri"/>
          <w:i/>
          <w:iCs/>
          <w:position w:val="8"/>
        </w:rPr>
        <w:t xml:space="preserve">2 </w:t>
      </w:r>
      <w:r w:rsidRPr="00ED2A5B">
        <w:rPr>
          <w:rFonts w:ascii="Calibri" w:hAnsi="Calibri"/>
          <w:i/>
          <w:iCs/>
        </w:rPr>
        <w:t>V. Craig Jordan,</w:t>
      </w:r>
      <w:r w:rsidRPr="00ED2A5B">
        <w:rPr>
          <w:rFonts w:ascii="Calibri" w:hAnsi="Calibri"/>
          <w:i/>
          <w:iCs/>
          <w:position w:val="8"/>
        </w:rPr>
        <w:t xml:space="preserve">3 </w:t>
      </w:r>
      <w:r w:rsidRPr="00ED2A5B">
        <w:rPr>
          <w:rFonts w:ascii="Calibri" w:hAnsi="Calibri"/>
          <w:i/>
          <w:iCs/>
          <w:lang w:val="de-DE"/>
        </w:rPr>
        <w:t>Daniel J. Klein,</w:t>
      </w:r>
      <w:r w:rsidRPr="00ED2A5B">
        <w:rPr>
          <w:rFonts w:ascii="Calibri" w:hAnsi="Calibri"/>
          <w:i/>
          <w:iCs/>
          <w:position w:val="8"/>
        </w:rPr>
        <w:t xml:space="preserve">2 </w:t>
      </w:r>
      <w:r w:rsidRPr="00ED2A5B">
        <w:rPr>
          <w:rFonts w:ascii="Calibri" w:hAnsi="Calibri"/>
          <w:i/>
          <w:iCs/>
          <w:lang w:val="sv-SE"/>
        </w:rPr>
        <w:t>and George D. Bittner</w:t>
      </w:r>
      <w:r w:rsidRPr="00ED2A5B">
        <w:rPr>
          <w:rFonts w:ascii="Calibri" w:hAnsi="Calibri"/>
          <w:i/>
          <w:iCs/>
          <w:position w:val="8"/>
        </w:rPr>
        <w:t>1,2,4</w:t>
      </w:r>
    </w:p>
    <w:p w:rsidR="00EC6DB8" w:rsidRPr="00ED2A5B" w:rsidRDefault="00EC6DB8" w:rsidP="00D24532">
      <w:pPr>
        <w:pStyle w:val="Default"/>
        <w:spacing w:after="200"/>
        <w:ind w:left="2160"/>
        <w:rPr>
          <w:rFonts w:ascii="Calibri" w:eastAsia="Times Roman" w:hAnsi="Calibri" w:cs="Times Roman"/>
          <w:sz w:val="24"/>
          <w:szCs w:val="24"/>
        </w:rPr>
      </w:pPr>
      <w:r w:rsidRPr="00ED2A5B">
        <w:rPr>
          <w:rFonts w:ascii="Calibri" w:hAnsi="Calibri"/>
          <w:position w:val="8"/>
          <w:sz w:val="16"/>
          <w:szCs w:val="16"/>
        </w:rPr>
        <w:t>1</w:t>
      </w:r>
      <w:r w:rsidRPr="00ED2A5B">
        <w:rPr>
          <w:rFonts w:ascii="Calibri" w:hAnsi="Calibri"/>
        </w:rPr>
        <w:t xml:space="preserve">CertiChem Inc., Austin, Texas, USA; </w:t>
      </w:r>
      <w:r w:rsidRPr="00ED2A5B">
        <w:rPr>
          <w:rFonts w:ascii="Calibri" w:hAnsi="Calibri"/>
          <w:position w:val="8"/>
          <w:sz w:val="16"/>
          <w:szCs w:val="16"/>
        </w:rPr>
        <w:t>2</w:t>
      </w:r>
      <w:r w:rsidRPr="00ED2A5B">
        <w:rPr>
          <w:rFonts w:ascii="Calibri" w:hAnsi="Calibri"/>
        </w:rPr>
        <w:t xml:space="preserve">PlastiPure Inc., Austin, Texas, USA; </w:t>
      </w:r>
      <w:r w:rsidRPr="00ED2A5B">
        <w:rPr>
          <w:rFonts w:ascii="Calibri" w:hAnsi="Calibri"/>
          <w:position w:val="8"/>
          <w:sz w:val="16"/>
          <w:szCs w:val="16"/>
        </w:rPr>
        <w:t>3</w:t>
      </w:r>
      <w:r w:rsidRPr="00ED2A5B">
        <w:rPr>
          <w:rFonts w:ascii="Calibri" w:hAnsi="Calibri"/>
        </w:rPr>
        <w:t xml:space="preserve">Lombardi Comprehensive Cancer Center, Georgetown University Medical Center, Washington, DC, USA; </w:t>
      </w:r>
      <w:r w:rsidRPr="00ED2A5B">
        <w:rPr>
          <w:rFonts w:ascii="Calibri" w:hAnsi="Calibri"/>
          <w:position w:val="8"/>
          <w:sz w:val="16"/>
          <w:szCs w:val="16"/>
        </w:rPr>
        <w:t>4</w:t>
      </w:r>
      <w:r w:rsidRPr="00ED2A5B">
        <w:rPr>
          <w:rFonts w:ascii="Calibri" w:hAnsi="Calibri"/>
        </w:rPr>
        <w:t>Neurobiology Section, School of Biology, University of Texas, Austin, Texas, USA</w:t>
      </w:r>
    </w:p>
    <w:p w:rsidR="002B70F3" w:rsidRPr="00D90D6B" w:rsidRDefault="002B70F3" w:rsidP="00D90D6B">
      <w:pPr>
        <w:pStyle w:val="ListParagraph"/>
        <w:numPr>
          <w:ilvl w:val="1"/>
          <w:numId w:val="2"/>
        </w:numPr>
        <w:rPr>
          <w:b/>
        </w:rPr>
      </w:pPr>
      <w:r w:rsidRPr="00D90D6B">
        <w:rPr>
          <w:b/>
        </w:rPr>
        <w:t>Plastic bags in our communities</w:t>
      </w:r>
    </w:p>
    <w:p w:rsidR="008254F9" w:rsidRDefault="00262769" w:rsidP="00D90D6B">
      <w:pPr>
        <w:pStyle w:val="ListParagraph"/>
        <w:numPr>
          <w:ilvl w:val="2"/>
          <w:numId w:val="2"/>
        </w:numPr>
      </w:pPr>
      <w:r>
        <w:t xml:space="preserve">As noted, </w:t>
      </w:r>
      <w:r w:rsidRPr="00D90D6B">
        <w:rPr>
          <w:highlight w:val="yellow"/>
        </w:rPr>
        <w:t>more than 7,000,000 s</w:t>
      </w:r>
      <w:r w:rsidR="008254F9" w:rsidRPr="00D90D6B">
        <w:rPr>
          <w:highlight w:val="yellow"/>
        </w:rPr>
        <w:t>ingle-use plastic bags of varying thickness</w:t>
      </w:r>
      <w:r w:rsidR="00F75BD3" w:rsidRPr="00D90D6B">
        <w:rPr>
          <w:highlight w:val="yellow"/>
        </w:rPr>
        <w:t>es</w:t>
      </w:r>
      <w:r w:rsidR="008254F9" w:rsidRPr="00D90D6B">
        <w:rPr>
          <w:highlight w:val="yellow"/>
        </w:rPr>
        <w:t xml:space="preserve"> are used in our three communities</w:t>
      </w:r>
      <w:r w:rsidR="008254F9">
        <w:t xml:space="preserve">. The greatest use is likely at grocery stores, not only at the point of sale, but also throughout the stores for produce, bulk items, etc. </w:t>
      </w:r>
    </w:p>
    <w:p w:rsidR="008254F9" w:rsidRDefault="008254F9" w:rsidP="00D90D6B">
      <w:pPr>
        <w:pStyle w:val="ListParagraph"/>
        <w:numPr>
          <w:ilvl w:val="2"/>
          <w:numId w:val="2"/>
        </w:numPr>
      </w:pPr>
      <w:r>
        <w:t xml:space="preserve">However, not all retail stores use thin, single-use plastic bags. For example, at the Premium Outlet Mall in Lee, one third of the stores use paper bags, one third uses heavy, reusable plastic bags, and the remaining third uses the single-use bags. </w:t>
      </w:r>
    </w:p>
    <w:p w:rsidR="005D78C2" w:rsidRDefault="00974614" w:rsidP="00D90D6B">
      <w:pPr>
        <w:pStyle w:val="ListParagraph"/>
        <w:numPr>
          <w:ilvl w:val="2"/>
          <w:numId w:val="2"/>
        </w:numPr>
      </w:pPr>
      <w:r w:rsidRPr="00D90D6B">
        <w:rPr>
          <w:highlight w:val="yellow"/>
        </w:rPr>
        <w:t>Seventeen Massachusetts municipalities have adopted single-use plastic bag bans</w:t>
      </w:r>
      <w:r w:rsidR="00317E22" w:rsidRPr="00D90D6B">
        <w:rPr>
          <w:highlight w:val="yellow"/>
        </w:rPr>
        <w:t xml:space="preserve"> (Attachment 1)</w:t>
      </w:r>
      <w:r>
        <w:t xml:space="preserve">, many of them in the eastern part of the state, driven </w:t>
      </w:r>
      <w:r w:rsidR="002A71C5">
        <w:t>by a range of environmental, solid wast</w:t>
      </w:r>
      <w:r w:rsidR="005D1FE0">
        <w:t>e disposal, and health concerns</w:t>
      </w:r>
      <w:r>
        <w:t xml:space="preserve">. </w:t>
      </w:r>
      <w:r w:rsidR="002A71C5" w:rsidRPr="00D90D6B">
        <w:rPr>
          <w:highlight w:val="yellow"/>
        </w:rPr>
        <w:t>T</w:t>
      </w:r>
      <w:r w:rsidR="00FB36A1" w:rsidRPr="00D90D6B">
        <w:rPr>
          <w:highlight w:val="yellow"/>
        </w:rPr>
        <w:t xml:space="preserve">he list also includes three important communities in our region: </w:t>
      </w:r>
      <w:r w:rsidR="005D78C2" w:rsidRPr="00D90D6B">
        <w:rPr>
          <w:highlight w:val="yellow"/>
        </w:rPr>
        <w:t>G</w:t>
      </w:r>
      <w:r w:rsidR="008254F9" w:rsidRPr="00D90D6B">
        <w:rPr>
          <w:highlight w:val="yellow"/>
        </w:rPr>
        <w:t>reat Barrington</w:t>
      </w:r>
      <w:r w:rsidR="00FB36A1" w:rsidRPr="00D90D6B">
        <w:rPr>
          <w:highlight w:val="yellow"/>
        </w:rPr>
        <w:t>, Northampton, and Williamstown</w:t>
      </w:r>
      <w:r w:rsidR="00FB36A1">
        <w:t>. Great Barrington</w:t>
      </w:r>
      <w:r w:rsidR="008254F9">
        <w:t xml:space="preserve"> adopted a single-use plastic bag ban in 2013</w:t>
      </w:r>
      <w:r w:rsidR="00141AEA">
        <w:t xml:space="preserve">, leading </w:t>
      </w:r>
      <w:r w:rsidR="008254F9">
        <w:t xml:space="preserve">Guido’s, a popular </w:t>
      </w:r>
      <w:r w:rsidR="00141AEA">
        <w:t xml:space="preserve">grocery/specialty store, to voluntarily apply the ban to its </w:t>
      </w:r>
      <w:r>
        <w:t xml:space="preserve">Pittsfield store. </w:t>
      </w:r>
      <w:r w:rsidRPr="00D90D6B">
        <w:rPr>
          <w:highlight w:val="yellow"/>
        </w:rPr>
        <w:t>Pittsfield itself is considering a similar ban</w:t>
      </w:r>
      <w:r>
        <w:t xml:space="preserve">, after having just adopted a </w:t>
      </w:r>
      <w:r w:rsidR="005D1FE0">
        <w:t>polystyrene</w:t>
      </w:r>
      <w:r>
        <w:t xml:space="preserve"> ban in October. As a result, many </w:t>
      </w:r>
      <w:r w:rsidR="008254F9">
        <w:t xml:space="preserve">residents </w:t>
      </w:r>
      <w:r>
        <w:t xml:space="preserve">in our three towns </w:t>
      </w:r>
      <w:r w:rsidR="00617F7B">
        <w:t xml:space="preserve">will </w:t>
      </w:r>
      <w:r w:rsidR="008254F9">
        <w:t xml:space="preserve">increasingly shop where </w:t>
      </w:r>
      <w:r>
        <w:t xml:space="preserve">single-use bags </w:t>
      </w:r>
      <w:r w:rsidR="008254F9">
        <w:t>are no longer available</w:t>
      </w:r>
      <w:r>
        <w:t xml:space="preserve">. If our </w:t>
      </w:r>
      <w:r w:rsidR="008254F9">
        <w:t xml:space="preserve">three towns adopt similar regulations, our local businesses will not be disadvantaged, but rather will be on a level playing field with competitors to the </w:t>
      </w:r>
      <w:r>
        <w:t>south and ultimately to the north.</w:t>
      </w:r>
    </w:p>
    <w:p w:rsidR="008741AE" w:rsidRDefault="008741AE" w:rsidP="00D90D6B">
      <w:pPr>
        <w:pStyle w:val="ListParagraph"/>
        <w:numPr>
          <w:ilvl w:val="2"/>
          <w:numId w:val="2"/>
        </w:numPr>
      </w:pPr>
      <w:r>
        <w:t>The</w:t>
      </w:r>
      <w:r w:rsidR="005D1FE0">
        <w:t xml:space="preserve"> Executive Director of the </w:t>
      </w:r>
      <w:r>
        <w:t>Lee Chamber of Commerce, anticipating a ban at some point, has already designed a cloth bag it plans to sell to downtown businesses, which in turn could sell them to customers</w:t>
      </w:r>
      <w:r w:rsidR="005D1FE0">
        <w:t xml:space="preserve"> (note that the Chamber’s Board has not yet taken a position on this issue)</w:t>
      </w:r>
      <w:r>
        <w:t xml:space="preserve">. Lenox is conducting a competition among its students to design the artwork for a reusable bag. </w:t>
      </w:r>
    </w:p>
    <w:p w:rsidR="00974614" w:rsidRDefault="005D1FE0" w:rsidP="00D24532">
      <w:pPr>
        <w:pStyle w:val="ListParagraph"/>
        <w:numPr>
          <w:ilvl w:val="2"/>
          <w:numId w:val="2"/>
        </w:numPr>
        <w:contextualSpacing w:val="0"/>
      </w:pPr>
      <w:r w:rsidRPr="0025297A">
        <w:rPr>
          <w:highlight w:val="yellow"/>
        </w:rPr>
        <w:t xml:space="preserve">Several businesses in </w:t>
      </w:r>
      <w:r w:rsidR="00974614" w:rsidRPr="0025297A">
        <w:rPr>
          <w:highlight w:val="yellow"/>
        </w:rPr>
        <w:t>Lenox and Lee are part of national and regional corporations</w:t>
      </w:r>
      <w:r w:rsidRPr="0025297A">
        <w:rPr>
          <w:highlight w:val="yellow"/>
        </w:rPr>
        <w:t xml:space="preserve"> that </w:t>
      </w:r>
      <w:r w:rsidR="00974614" w:rsidRPr="0025297A">
        <w:rPr>
          <w:highlight w:val="yellow"/>
        </w:rPr>
        <w:t>have had to deal with bans in other parts of the country as well as other Massachusetts municipalities.</w:t>
      </w:r>
      <w:r w:rsidR="00974614">
        <w:t xml:space="preserve"> </w:t>
      </w:r>
      <w:r w:rsidR="00141AEA">
        <w:t>Examples include Big Y, CVS, and</w:t>
      </w:r>
      <w:r>
        <w:t xml:space="preserve"> Price Chopper, as well as many of the</w:t>
      </w:r>
      <w:r w:rsidR="00141AEA">
        <w:t xml:space="preserve"> stores in Lee’s outlet mall. </w:t>
      </w:r>
      <w:r w:rsidR="00617F7B">
        <w:t>Other large businesses have long used paper bags without suffering financially, including such price-competitive businesses as McDonald’s and Dunkin Donuts.</w:t>
      </w:r>
    </w:p>
    <w:p w:rsidR="002B70F3" w:rsidRDefault="00926A08" w:rsidP="00D24532">
      <w:pPr>
        <w:pStyle w:val="ListParagraph"/>
        <w:numPr>
          <w:ilvl w:val="1"/>
          <w:numId w:val="2"/>
        </w:numPr>
        <w:contextualSpacing w:val="0"/>
      </w:pPr>
      <w:r w:rsidRPr="00B35D44">
        <w:rPr>
          <w:b/>
        </w:rPr>
        <w:t>Bag a</w:t>
      </w:r>
      <w:r w:rsidR="002B70F3" w:rsidRPr="00B35D44">
        <w:rPr>
          <w:b/>
        </w:rPr>
        <w:t>lternatives considerations, availability, and cost comparison</w:t>
      </w:r>
      <w:r w:rsidR="00E16950" w:rsidRPr="00B35D44">
        <w:rPr>
          <w:b/>
        </w:rPr>
        <w:t>:</w:t>
      </w:r>
      <w:r w:rsidR="00E16950">
        <w:t xml:space="preserve"> </w:t>
      </w:r>
      <w:r w:rsidRPr="0025297A">
        <w:rPr>
          <w:highlight w:val="yellow"/>
        </w:rPr>
        <w:t>Many alternatives to single-use plastic shopping exist, from paper to a wide range of reusable bags made from various materials, including plastic.</w:t>
      </w:r>
      <w:r>
        <w:t xml:space="preserve"> From a purely cost perspective, the existing bags are cheaper – in large part because they don’t include the full life-cycle cost. </w:t>
      </w:r>
      <w:r w:rsidR="008741AE">
        <w:t xml:space="preserve">Most, but not all, bag </w:t>
      </w:r>
      <w:r w:rsidR="005D1FE0">
        <w:t>regulations</w:t>
      </w:r>
      <w:r w:rsidR="008741AE">
        <w:t xml:space="preserve"> permit the use of plastic reusable bags, but this is an issue the Boards of Health might want to address, as discussed below. </w:t>
      </w:r>
    </w:p>
    <w:p w:rsidR="00926A08" w:rsidRDefault="002B70F3" w:rsidP="00793381">
      <w:pPr>
        <w:pStyle w:val="ListParagraph"/>
        <w:numPr>
          <w:ilvl w:val="1"/>
          <w:numId w:val="2"/>
        </w:numPr>
        <w:spacing w:before="120" w:after="0"/>
        <w:contextualSpacing w:val="0"/>
      </w:pPr>
      <w:r w:rsidRPr="00B35D44">
        <w:rPr>
          <w:b/>
        </w:rPr>
        <w:t>What others have and haven’t done</w:t>
      </w:r>
      <w:r w:rsidR="00F33107">
        <w:t xml:space="preserve">: the table in Attachment </w:t>
      </w:r>
      <w:r w:rsidR="00317E22">
        <w:t>5</w:t>
      </w:r>
      <w:r w:rsidR="00F33107">
        <w:t xml:space="preserve"> highlights key provisions of the single-use plastic bag bans adopted to date</w:t>
      </w:r>
      <w:r w:rsidR="00141AEA">
        <w:t xml:space="preserve"> in Massachusetts. </w:t>
      </w:r>
      <w:r w:rsidR="008741AE">
        <w:t>Perhaps of</w:t>
      </w:r>
      <w:r w:rsidR="00617F7B">
        <w:t xml:space="preserve"> particular note are provisions that are absent </w:t>
      </w:r>
      <w:r w:rsidR="00617F7B">
        <w:lastRenderedPageBreak/>
        <w:t>from</w:t>
      </w:r>
      <w:r w:rsidR="005D1FE0">
        <w:t xml:space="preserve"> these regulations</w:t>
      </w:r>
      <w:r w:rsidR="008741AE">
        <w:t>, which we address in the next section.</w:t>
      </w:r>
      <w:r w:rsidR="005D1FE0">
        <w:t xml:space="preserve"> Given the likely interest in the economic impact of these regulations, we note the following:</w:t>
      </w:r>
    </w:p>
    <w:p w:rsidR="00926A08" w:rsidRDefault="00617F7B" w:rsidP="00793381">
      <w:pPr>
        <w:pStyle w:val="ListParagraph"/>
        <w:numPr>
          <w:ilvl w:val="2"/>
          <w:numId w:val="2"/>
        </w:numPr>
      </w:pPr>
      <w:r w:rsidRPr="0025297A">
        <w:rPr>
          <w:highlight w:val="yellow"/>
        </w:rPr>
        <w:t>Many bans either permit or require retail establishments to charge a fee for bags if customers don’t bring their own</w:t>
      </w:r>
      <w:r w:rsidR="00926A08" w:rsidRPr="0025297A">
        <w:rPr>
          <w:highlight w:val="yellow"/>
        </w:rPr>
        <w:t xml:space="preserve"> and enable the retail establishment to keep the revenue</w:t>
      </w:r>
      <w:r w:rsidRPr="0025297A">
        <w:rPr>
          <w:highlight w:val="yellow"/>
        </w:rPr>
        <w:t>. As a result, research has shown that single-use plastic bag bans tend to increase the profitability of retail businesses</w:t>
      </w:r>
      <w:r>
        <w:t xml:space="preserve">, since they no longer have to absorb the cost of the plastic bags and might generate </w:t>
      </w:r>
      <w:r w:rsidR="00926A08">
        <w:t>income</w:t>
      </w:r>
      <w:r>
        <w:t xml:space="preserve"> from selling alternatives. </w:t>
      </w:r>
    </w:p>
    <w:p w:rsidR="00617F7B" w:rsidRDefault="00617F7B" w:rsidP="00793381">
      <w:pPr>
        <w:pStyle w:val="ListParagraph"/>
        <w:numPr>
          <w:ilvl w:val="2"/>
          <w:numId w:val="2"/>
        </w:numPr>
        <w:spacing w:after="0"/>
      </w:pPr>
      <w:r w:rsidRPr="0025297A">
        <w:rPr>
          <w:highlight w:val="yellow"/>
        </w:rPr>
        <w:t>Municipalities with bans have also taken steps to mitigate the economic impact</w:t>
      </w:r>
      <w:r>
        <w:t xml:space="preserve">, such as exempting </w:t>
      </w:r>
      <w:r w:rsidR="00926A08">
        <w:t>very small retail establishments, certain not-for-profit organizations, and families participating in the WIC program.</w:t>
      </w:r>
      <w:r w:rsidR="008741AE">
        <w:t xml:space="preserve"> And</w:t>
      </w:r>
      <w:r w:rsidR="005D1FE0">
        <w:t xml:space="preserve"> one municipality </w:t>
      </w:r>
      <w:r w:rsidR="008741AE">
        <w:t xml:space="preserve">purchased reusable bags for distribution to non-profit organizations, the elderly, and people on welfare. </w:t>
      </w:r>
    </w:p>
    <w:p w:rsidR="005D1FE0" w:rsidRDefault="005D1FE0" w:rsidP="00793381">
      <w:pPr>
        <w:spacing w:after="0"/>
        <w:ind w:left="1440"/>
      </w:pPr>
      <w:r>
        <w:t>Of course, as has already been noted, the market price to retailers (and indirectly to customers) of the single-use bags does not</w:t>
      </w:r>
      <w:r w:rsidR="00CC2D38">
        <w:t xml:space="preserve"> reflect the true life-cycle cost, which society pays one way or the other.</w:t>
      </w:r>
    </w:p>
    <w:p w:rsidR="00CC2D38" w:rsidRDefault="00CC2D38" w:rsidP="00D24532">
      <w:pPr>
        <w:spacing w:after="0"/>
        <w:rPr>
          <w:b/>
        </w:rPr>
      </w:pPr>
    </w:p>
    <w:p w:rsidR="00970AC1" w:rsidRPr="00124296" w:rsidRDefault="00970AC1" w:rsidP="00793381">
      <w:pPr>
        <w:pStyle w:val="ListParagraph"/>
        <w:numPr>
          <w:ilvl w:val="0"/>
          <w:numId w:val="2"/>
        </w:numPr>
        <w:rPr>
          <w:b/>
        </w:rPr>
      </w:pPr>
      <w:r w:rsidRPr="00124296">
        <w:rPr>
          <w:b/>
        </w:rPr>
        <w:t xml:space="preserve">Board of Health Regulation versus Town Meeting-Approved By-law Changes </w:t>
      </w:r>
    </w:p>
    <w:p w:rsidR="00970AC1" w:rsidRPr="00B35D44" w:rsidRDefault="00970AC1" w:rsidP="00793381">
      <w:pPr>
        <w:pStyle w:val="ListParagraph"/>
        <w:numPr>
          <w:ilvl w:val="1"/>
          <w:numId w:val="2"/>
        </w:numPr>
        <w:rPr>
          <w:highlight w:val="yellow"/>
        </w:rPr>
      </w:pPr>
      <w:r w:rsidRPr="00B35D44">
        <w:rPr>
          <w:highlight w:val="yellow"/>
        </w:rPr>
        <w:t>If it determines that PS-based drink and food containers pose sufficient public health and environmental risks</w:t>
      </w:r>
      <w:r w:rsidR="00F90BCC" w:rsidRPr="00B35D44">
        <w:rPr>
          <w:highlight w:val="yellow"/>
        </w:rPr>
        <w:t xml:space="preserve"> to warrant action</w:t>
      </w:r>
      <w:r w:rsidRPr="00B35D44">
        <w:rPr>
          <w:highlight w:val="yellow"/>
        </w:rPr>
        <w:t>, the District has two options:</w:t>
      </w:r>
    </w:p>
    <w:p w:rsidR="00970AC1" w:rsidRPr="00B35D44" w:rsidRDefault="00970AC1" w:rsidP="00793381">
      <w:pPr>
        <w:pStyle w:val="ListParagraph"/>
        <w:numPr>
          <w:ilvl w:val="2"/>
          <w:numId w:val="2"/>
        </w:numPr>
        <w:rPr>
          <w:highlight w:val="yellow"/>
        </w:rPr>
      </w:pPr>
      <w:r w:rsidRPr="00B35D44">
        <w:rPr>
          <w:highlight w:val="yellow"/>
        </w:rPr>
        <w:t xml:space="preserve">Follow the lead of South Hadley, by issuing appropriate regulations; or </w:t>
      </w:r>
    </w:p>
    <w:p w:rsidR="00970AC1" w:rsidRPr="00B35D44" w:rsidRDefault="00970AC1" w:rsidP="0025297A">
      <w:pPr>
        <w:pStyle w:val="ListParagraph"/>
        <w:numPr>
          <w:ilvl w:val="2"/>
          <w:numId w:val="2"/>
        </w:numPr>
        <w:spacing w:after="0"/>
        <w:rPr>
          <w:highlight w:val="yellow"/>
        </w:rPr>
      </w:pPr>
      <w:r w:rsidRPr="00B35D44">
        <w:rPr>
          <w:highlight w:val="yellow"/>
        </w:rPr>
        <w:t>Actively support the effort to develop appropriate by-law changes and gain their approval at Town Meeting.</w:t>
      </w:r>
    </w:p>
    <w:p w:rsidR="0025297A" w:rsidRDefault="0025297A" w:rsidP="00B35D44">
      <w:pPr>
        <w:spacing w:after="120"/>
        <w:ind w:left="1080"/>
      </w:pPr>
      <w:r>
        <w:t xml:space="preserve">Given the importance of these issues and the changes they will mean for residents and businesses, Town leadership is essential for success. </w:t>
      </w:r>
      <w:r w:rsidRPr="00B35D44">
        <w:rPr>
          <w:highlight w:val="yellow"/>
        </w:rPr>
        <w:t>Especially since this initiative was originally designed to develop proposed by-law changes that would be brought before Town Meeting, decisions to have the Boards of Health address either or both through regulation represents a significant change of plans. Having Town leaders insights regarding the implications of the change and their support of decisions to make it will be essential for picking the best path and succeeding in the short and long terms.</w:t>
      </w:r>
      <w:r>
        <w:t xml:space="preserve"> </w:t>
      </w:r>
    </w:p>
    <w:p w:rsidR="0025297A" w:rsidRDefault="0025297A" w:rsidP="0025297A">
      <w:pPr>
        <w:spacing w:after="0"/>
        <w:ind w:left="1080"/>
      </w:pPr>
      <w:r w:rsidRPr="00B35D44">
        <w:rPr>
          <w:highlight w:val="yellow"/>
        </w:rPr>
        <w:t xml:space="preserve">Regardless of the path taken, the Boards of Health/Tri-Town Health Department should be actively involved in drafting the measures, since </w:t>
      </w:r>
      <w:r w:rsidR="00B35D44" w:rsidRPr="00B35D44">
        <w:rPr>
          <w:highlight w:val="yellow"/>
        </w:rPr>
        <w:t>they will be the enforcing agencies.</w:t>
      </w:r>
      <w:r>
        <w:t xml:space="preserve"> </w:t>
      </w:r>
    </w:p>
    <w:p w:rsidR="00784C6C" w:rsidRDefault="00970AC1" w:rsidP="00793381">
      <w:pPr>
        <w:pStyle w:val="ListParagraph"/>
        <w:numPr>
          <w:ilvl w:val="0"/>
          <w:numId w:val="16"/>
        </w:numPr>
        <w:spacing w:after="0"/>
      </w:pPr>
      <w:r>
        <w:t xml:space="preserve">Under either option, the initiative </w:t>
      </w:r>
      <w:r w:rsidR="007C12DC">
        <w:t xml:space="preserve">should actively solicit </w:t>
      </w:r>
      <w:r>
        <w:t>resident and business</w:t>
      </w:r>
      <w:r w:rsidR="007C12DC">
        <w:t xml:space="preserve"> input</w:t>
      </w:r>
      <w:r>
        <w:t xml:space="preserve">. The purpose would be to </w:t>
      </w:r>
      <w:r w:rsidR="007C12DC">
        <w:t>educate people about the issues and</w:t>
      </w:r>
      <w:r>
        <w:t xml:space="preserve"> gather their input and feedback regarding regulatory options, </w:t>
      </w:r>
      <w:r w:rsidR="007C12DC">
        <w:t>leading to greater community support</w:t>
      </w:r>
      <w:r>
        <w:t>. We think the following advantages exist for the first option:</w:t>
      </w:r>
    </w:p>
    <w:p w:rsidR="00970AC1" w:rsidRDefault="00970AC1" w:rsidP="00793381">
      <w:pPr>
        <w:pStyle w:val="ListParagraph"/>
        <w:numPr>
          <w:ilvl w:val="1"/>
          <w:numId w:val="16"/>
        </w:numPr>
        <w:spacing w:after="0"/>
      </w:pPr>
      <w:r w:rsidRPr="00B35D44">
        <w:rPr>
          <w:highlight w:val="yellow"/>
        </w:rPr>
        <w:t>The Board’s flexibility in the timing of the adoption process</w:t>
      </w:r>
      <w:r>
        <w:t xml:space="preserve"> ensures we will have sufficient time to fully reach out to residents and businesses before finalizing any regulations and adopting them. We think this is crucial for effective, trouble-free implementation.</w:t>
      </w:r>
    </w:p>
    <w:p w:rsidR="00970AC1" w:rsidRDefault="00970AC1" w:rsidP="00793381">
      <w:pPr>
        <w:pStyle w:val="ListParagraph"/>
        <w:numPr>
          <w:ilvl w:val="1"/>
          <w:numId w:val="16"/>
        </w:numPr>
      </w:pPr>
      <w:r>
        <w:t>Since the</w:t>
      </w:r>
      <w:r w:rsidR="00B35D44">
        <w:t>y</w:t>
      </w:r>
      <w:r>
        <w:t xml:space="preserve"> do not need Attorney General approval, </w:t>
      </w:r>
      <w:r w:rsidRPr="00B35D44">
        <w:rPr>
          <w:highlight w:val="yellow"/>
        </w:rPr>
        <w:t>the</w:t>
      </w:r>
      <w:r w:rsidR="00B35D44" w:rsidRPr="00B35D44">
        <w:rPr>
          <w:highlight w:val="yellow"/>
        </w:rPr>
        <w:t xml:space="preserve"> Board’s regulations </w:t>
      </w:r>
      <w:r w:rsidRPr="00B35D44">
        <w:rPr>
          <w:highlight w:val="yellow"/>
        </w:rPr>
        <w:t xml:space="preserve"> can more readily be tailored to meet the specific needs and desires of our three communities</w:t>
      </w:r>
      <w:r>
        <w:t xml:space="preserve"> and avoid the uncertainties – and potential inconsistencies – as well as the time delay associated with that state review and approval process.</w:t>
      </w:r>
    </w:p>
    <w:p w:rsidR="00784C6C" w:rsidRDefault="00784C6C" w:rsidP="00793381">
      <w:pPr>
        <w:pStyle w:val="ListParagraph"/>
        <w:numPr>
          <w:ilvl w:val="1"/>
          <w:numId w:val="16"/>
        </w:numPr>
      </w:pPr>
      <w:r>
        <w:t xml:space="preserve">The Board of Health route would result </w:t>
      </w:r>
      <w:r w:rsidRPr="00B35D44">
        <w:rPr>
          <w:highlight w:val="yellow"/>
        </w:rPr>
        <w:t>in common regulations across the three communities</w:t>
      </w:r>
      <w:r>
        <w:t>, while to the extent possible taking into account each town’s unique context. The consistency across the towns would make it easier for residents and businesses alike</w:t>
      </w:r>
      <w:r w:rsidR="00B35D44">
        <w:t xml:space="preserve">, </w:t>
      </w:r>
      <w:r>
        <w:t>would also place all businesses on a level playing field</w:t>
      </w:r>
      <w:r w:rsidR="00B35D44">
        <w:t>, and would make enforcement far more straightforward and efficient</w:t>
      </w:r>
      <w:r>
        <w:t xml:space="preserve">. </w:t>
      </w:r>
    </w:p>
    <w:p w:rsidR="00970AC1" w:rsidRDefault="00970AC1" w:rsidP="00793381">
      <w:pPr>
        <w:pStyle w:val="ListParagraph"/>
        <w:numPr>
          <w:ilvl w:val="1"/>
          <w:numId w:val="16"/>
        </w:numPr>
        <w:spacing w:after="0"/>
      </w:pPr>
      <w:r w:rsidRPr="00B35D44">
        <w:rPr>
          <w:highlight w:val="yellow"/>
        </w:rPr>
        <w:t xml:space="preserve">The Board’s procedures enable the towns to adjust the regulations </w:t>
      </w:r>
      <w:r w:rsidR="007C12DC" w:rsidRPr="00B35D44">
        <w:rPr>
          <w:highlight w:val="yellow"/>
        </w:rPr>
        <w:t>far easier, if</w:t>
      </w:r>
      <w:r w:rsidRPr="00B35D44">
        <w:rPr>
          <w:highlight w:val="yellow"/>
        </w:rPr>
        <w:t xml:space="preserve"> needed</w:t>
      </w:r>
      <w:r w:rsidR="004756E2">
        <w:t xml:space="preserve"> – because of shortcomings in initial measures; the release of new relevant research, advances in the </w:t>
      </w:r>
      <w:r w:rsidR="004756E2">
        <w:lastRenderedPageBreak/>
        <w:t>development of acceptable alternative materials/products; and desires to amend the measures and grandfather them before any state action prohibits us from doing so</w:t>
      </w:r>
      <w:r>
        <w:t xml:space="preserve">. </w:t>
      </w:r>
    </w:p>
    <w:p w:rsidR="002C3117" w:rsidRDefault="002C3117" w:rsidP="002C3117">
      <w:pPr>
        <w:spacing w:after="0"/>
      </w:pPr>
    </w:p>
    <w:p w:rsidR="002C3117" w:rsidRDefault="002C3117" w:rsidP="002C3117">
      <w:pPr>
        <w:spacing w:after="0"/>
      </w:pPr>
    </w:p>
    <w:p w:rsidR="00CC2D38" w:rsidRDefault="00784C6C" w:rsidP="00793381">
      <w:pPr>
        <w:pStyle w:val="ListParagraph"/>
        <w:numPr>
          <w:ilvl w:val="0"/>
          <w:numId w:val="16"/>
        </w:numPr>
        <w:spacing w:after="0"/>
      </w:pPr>
      <w:r>
        <w:t xml:space="preserve"> </w:t>
      </w:r>
      <w:r w:rsidR="00CC2D38">
        <w:t>On the other hand, two other considerations might justify taking the second option:</w:t>
      </w:r>
    </w:p>
    <w:p w:rsidR="00970AC1" w:rsidRDefault="0025297A" w:rsidP="00793381">
      <w:pPr>
        <w:pStyle w:val="ListParagraph"/>
        <w:numPr>
          <w:ilvl w:val="0"/>
          <w:numId w:val="12"/>
        </w:numPr>
        <w:ind w:left="1800"/>
      </w:pPr>
      <w:r w:rsidRPr="00B35D44">
        <w:rPr>
          <w:highlight w:val="yellow"/>
        </w:rPr>
        <w:t>H</w:t>
      </w:r>
      <w:r w:rsidR="00970AC1" w:rsidRPr="00B35D44">
        <w:rPr>
          <w:highlight w:val="yellow"/>
        </w:rPr>
        <w:t>aving the regulations</w:t>
      </w:r>
      <w:r w:rsidR="00124296" w:rsidRPr="00B35D44">
        <w:rPr>
          <w:highlight w:val="yellow"/>
        </w:rPr>
        <w:t xml:space="preserve"> voted on at Town Meeting might garner more public support </w:t>
      </w:r>
      <w:r w:rsidRPr="00B35D44">
        <w:rPr>
          <w:highlight w:val="yellow"/>
        </w:rPr>
        <w:t>and long-term buy-in</w:t>
      </w:r>
      <w:r>
        <w:t xml:space="preserve"> </w:t>
      </w:r>
      <w:r w:rsidR="00124296">
        <w:t>than if they were adopted by each town’s Board of Health. On the other hand, the Boards of Health are well established in each community and benefit from broad public support. Those factors, combined with an extensive, transparent public involvement and development process that leads to the new regulations, should also garner public support.</w:t>
      </w:r>
    </w:p>
    <w:p w:rsidR="00124296" w:rsidRDefault="00124296" w:rsidP="00793381">
      <w:pPr>
        <w:pStyle w:val="ListParagraph"/>
        <w:numPr>
          <w:ilvl w:val="0"/>
          <w:numId w:val="12"/>
        </w:numPr>
        <w:spacing w:after="0"/>
        <w:ind w:left="1800"/>
      </w:pPr>
      <w:r>
        <w:t xml:space="preserve">It has also been noted that </w:t>
      </w:r>
      <w:r w:rsidRPr="00B35D44">
        <w:rPr>
          <w:highlight w:val="yellow"/>
        </w:rPr>
        <w:t>Board of Health regulations can be more easily reversed with changes in the composition of Boards than by-law changes</w:t>
      </w:r>
      <w:r>
        <w:t xml:space="preserve">, which would require a Town Meeting vote. On the other hand, if we implement a broad public involvement program leading to regulations that fit the needs and desires of our communities, implementation should be relatively trouble free, greatly minimizing the likelihood that the new measures would be overturned. </w:t>
      </w:r>
    </w:p>
    <w:p w:rsidR="00970AC1" w:rsidRDefault="00970AC1" w:rsidP="00D24532">
      <w:pPr>
        <w:pStyle w:val="ListParagraph"/>
        <w:spacing w:after="0"/>
        <w:ind w:left="2520"/>
      </w:pPr>
    </w:p>
    <w:p w:rsidR="00970AC1" w:rsidRPr="00124296" w:rsidRDefault="00970AC1" w:rsidP="00793381">
      <w:pPr>
        <w:pStyle w:val="ListParagraph"/>
        <w:numPr>
          <w:ilvl w:val="0"/>
          <w:numId w:val="2"/>
        </w:numPr>
        <w:rPr>
          <w:b/>
        </w:rPr>
      </w:pPr>
      <w:r w:rsidRPr="00124296">
        <w:rPr>
          <w:b/>
        </w:rPr>
        <w:t>LEC/LRC support</w:t>
      </w:r>
    </w:p>
    <w:p w:rsidR="00BF445F" w:rsidRDefault="00BF445F" w:rsidP="00793381">
      <w:pPr>
        <w:pStyle w:val="ListParagraph"/>
        <w:numPr>
          <w:ilvl w:val="1"/>
          <w:numId w:val="2"/>
        </w:numPr>
      </w:pPr>
      <w:r>
        <w:t>Our two committees have re</w:t>
      </w:r>
      <w:r w:rsidR="0026647D">
        <w:t xml:space="preserve">viewed all </w:t>
      </w:r>
      <w:r>
        <w:t>the regulations adopted throughout Massachusetts</w:t>
      </w:r>
      <w:r w:rsidR="0026647D">
        <w:t xml:space="preserve"> and </w:t>
      </w:r>
      <w:r>
        <w:t>interview</w:t>
      </w:r>
      <w:r w:rsidR="0026647D">
        <w:t>ed</w:t>
      </w:r>
      <w:r>
        <w:t xml:space="preserve"> representatives from </w:t>
      </w:r>
      <w:r w:rsidR="0026647D">
        <w:t xml:space="preserve">each adopting </w:t>
      </w:r>
      <w:r>
        <w:t>municipalit</w:t>
      </w:r>
      <w:r w:rsidR="0026647D">
        <w:t xml:space="preserve">y. We also searched for information on </w:t>
      </w:r>
      <w:r>
        <w:t xml:space="preserve">the health and environmental impacts of </w:t>
      </w:r>
      <w:r w:rsidR="0026647D">
        <w:t>polystyrene</w:t>
      </w:r>
      <w:r>
        <w:t xml:space="preserve"> products and single-use plastic shopping bags as well as alternatives to these products. </w:t>
      </w:r>
      <w:r w:rsidRPr="00B35D44">
        <w:rPr>
          <w:highlight w:val="yellow"/>
        </w:rPr>
        <w:t xml:space="preserve">We will gladly share all the materials we have with the Boards of Health as well as </w:t>
      </w:r>
      <w:r w:rsidR="00637EDE" w:rsidRPr="00B35D44">
        <w:rPr>
          <w:highlight w:val="yellow"/>
        </w:rPr>
        <w:t>representatives from Stockbridge to bring everyone up to speed and appropriately involve them in the process going forward</w:t>
      </w:r>
      <w:r w:rsidR="00637EDE">
        <w:t>.</w:t>
      </w:r>
      <w:r>
        <w:t xml:space="preserve"> </w:t>
      </w:r>
    </w:p>
    <w:p w:rsidR="00970AC1" w:rsidRDefault="00637EDE" w:rsidP="00793381">
      <w:pPr>
        <w:pStyle w:val="ListParagraph"/>
        <w:numPr>
          <w:ilvl w:val="1"/>
          <w:numId w:val="2"/>
        </w:numPr>
      </w:pPr>
      <w:r w:rsidRPr="00B35D44">
        <w:rPr>
          <w:highlight w:val="yellow"/>
        </w:rPr>
        <w:t xml:space="preserve">We plan to engage in a broad </w:t>
      </w:r>
      <w:r w:rsidR="00970AC1" w:rsidRPr="00B35D44">
        <w:rPr>
          <w:highlight w:val="yellow"/>
        </w:rPr>
        <w:t>public/business involvement</w:t>
      </w:r>
      <w:r w:rsidRPr="00B35D44">
        <w:rPr>
          <w:highlight w:val="yellow"/>
        </w:rPr>
        <w:t xml:space="preserve"> program, and have already begun that effort.</w:t>
      </w:r>
      <w:r>
        <w:t xml:space="preserve"> Our purposes are to inform our communities about </w:t>
      </w:r>
      <w:r w:rsidR="0026647D">
        <w:t xml:space="preserve">the effects of these products and </w:t>
      </w:r>
      <w:r>
        <w:t xml:space="preserve">our efforts to address </w:t>
      </w:r>
      <w:r w:rsidR="0026647D">
        <w:t>them,</w:t>
      </w:r>
      <w:r>
        <w:t xml:space="preserve"> to gather input regarding perceptions of the seriousness of the issues and possible solutions, and to obtain feedback to potential regulatory measures</w:t>
      </w:r>
      <w:r w:rsidRPr="00B35D44">
        <w:rPr>
          <w:highlight w:val="yellow"/>
        </w:rPr>
        <w:t xml:space="preserve">. If decisions are made to tackle these issues through </w:t>
      </w:r>
      <w:r w:rsidR="0026647D" w:rsidRPr="00B35D44">
        <w:rPr>
          <w:highlight w:val="yellow"/>
        </w:rPr>
        <w:t xml:space="preserve">Tri-Town </w:t>
      </w:r>
      <w:r w:rsidRPr="00B35D44">
        <w:rPr>
          <w:highlight w:val="yellow"/>
        </w:rPr>
        <w:t xml:space="preserve">action, we will support </w:t>
      </w:r>
      <w:r w:rsidR="0026647D" w:rsidRPr="00B35D44">
        <w:rPr>
          <w:highlight w:val="yellow"/>
        </w:rPr>
        <w:t xml:space="preserve">efforts </w:t>
      </w:r>
      <w:r w:rsidRPr="00B35D44">
        <w:rPr>
          <w:highlight w:val="yellow"/>
        </w:rPr>
        <w:t>to thoroughly and transparently engage our communities in th</w:t>
      </w:r>
      <w:r w:rsidR="0026647D" w:rsidRPr="00B35D44">
        <w:rPr>
          <w:highlight w:val="yellow"/>
        </w:rPr>
        <w:t>e</w:t>
      </w:r>
      <w:r w:rsidRPr="00B35D44">
        <w:rPr>
          <w:highlight w:val="yellow"/>
        </w:rPr>
        <w:t xml:space="preserve"> process. If we collectively decide to go the by-law route, we hope the Boards of Health will actively support our efforts by providing assistance in drafting the regulations and appropriately advocating for them in each community.</w:t>
      </w:r>
    </w:p>
    <w:p w:rsidR="002C3117" w:rsidRPr="002C3117" w:rsidRDefault="00637EDE" w:rsidP="00793381">
      <w:pPr>
        <w:pStyle w:val="ListParagraph"/>
        <w:numPr>
          <w:ilvl w:val="1"/>
          <w:numId w:val="2"/>
        </w:numPr>
      </w:pPr>
      <w:r>
        <w:t>From our interviews we have learned the extreme importance of p</w:t>
      </w:r>
      <w:r w:rsidR="00970AC1">
        <w:t>re- and post-adoption education</w:t>
      </w:r>
      <w:r>
        <w:t xml:space="preserve"> to the smooth implementation of regulations covering </w:t>
      </w:r>
      <w:r w:rsidR="00197D58">
        <w:t>polystyrene p</w:t>
      </w:r>
      <w:r>
        <w:t>roducts and single-use bags</w:t>
      </w:r>
      <w:r w:rsidRPr="002C3117">
        <w:t xml:space="preserve">. </w:t>
      </w:r>
      <w:r w:rsidR="00B35D44" w:rsidRPr="002C3117">
        <w:rPr>
          <w:highlight w:val="yellow"/>
        </w:rPr>
        <w:t>Regardless of the path taken, w</w:t>
      </w:r>
      <w:r w:rsidRPr="002C3117">
        <w:rPr>
          <w:highlight w:val="yellow"/>
        </w:rPr>
        <w:t xml:space="preserve">e will carry out appropriate </w:t>
      </w:r>
      <w:r w:rsidR="00B35D44" w:rsidRPr="002C3117">
        <w:rPr>
          <w:highlight w:val="yellow"/>
        </w:rPr>
        <w:t xml:space="preserve">educational </w:t>
      </w:r>
      <w:r w:rsidRPr="002C3117">
        <w:rPr>
          <w:highlight w:val="yellow"/>
        </w:rPr>
        <w:t>activities prior to regulations being adopted and then as they are rol</w:t>
      </w:r>
      <w:r w:rsidR="002C3117">
        <w:rPr>
          <w:highlight w:val="yellow"/>
        </w:rPr>
        <w:t xml:space="preserve">led out, implemented, and enforced. </w:t>
      </w:r>
      <w:r w:rsidRPr="002C3117">
        <w:t xml:space="preserve"> </w:t>
      </w:r>
    </w:p>
    <w:p w:rsidR="008A74E6" w:rsidRDefault="002C3117" w:rsidP="00793381">
      <w:r>
        <w:rPr>
          <w:highlight w:val="yellow"/>
        </w:rPr>
        <w:br w:type="page"/>
      </w:r>
    </w:p>
    <w:p w:rsidR="008A74E6" w:rsidRPr="008A74E6" w:rsidRDefault="008A74E6" w:rsidP="0042468C">
      <w:pPr>
        <w:spacing w:after="0" w:line="240" w:lineRule="auto"/>
        <w:jc w:val="center"/>
        <w:rPr>
          <w:b/>
          <w:sz w:val="28"/>
          <w:szCs w:val="28"/>
        </w:rPr>
      </w:pPr>
      <w:r w:rsidRPr="008A74E6">
        <w:rPr>
          <w:b/>
          <w:sz w:val="28"/>
          <w:szCs w:val="28"/>
        </w:rPr>
        <w:lastRenderedPageBreak/>
        <w:t>ATTACHMENT 1</w:t>
      </w:r>
    </w:p>
    <w:p w:rsidR="00197D58" w:rsidRDefault="008A74E6" w:rsidP="0042468C">
      <w:pPr>
        <w:spacing w:after="0" w:line="240" w:lineRule="auto"/>
        <w:jc w:val="center"/>
        <w:rPr>
          <w:b/>
          <w:sz w:val="28"/>
          <w:szCs w:val="28"/>
        </w:rPr>
      </w:pPr>
      <w:r w:rsidRPr="008A74E6">
        <w:rPr>
          <w:b/>
          <w:sz w:val="28"/>
          <w:szCs w:val="28"/>
        </w:rPr>
        <w:t xml:space="preserve">SUMMARY OF </w:t>
      </w:r>
      <w:r w:rsidR="00197D58">
        <w:rPr>
          <w:b/>
          <w:sz w:val="28"/>
          <w:szCs w:val="28"/>
        </w:rPr>
        <w:t xml:space="preserve">POLYSTYRENE AND SINGLE-USE PLASTIC SHOPPING BAG </w:t>
      </w:r>
      <w:r w:rsidRPr="008A74E6">
        <w:rPr>
          <w:b/>
          <w:sz w:val="28"/>
          <w:szCs w:val="28"/>
        </w:rPr>
        <w:t>BANS</w:t>
      </w:r>
    </w:p>
    <w:p w:rsidR="008A74E6" w:rsidRPr="008A74E6" w:rsidRDefault="00197D58" w:rsidP="0042468C">
      <w:pPr>
        <w:spacing w:after="0" w:line="240" w:lineRule="auto"/>
        <w:jc w:val="center"/>
        <w:rPr>
          <w:b/>
          <w:sz w:val="28"/>
          <w:szCs w:val="28"/>
        </w:rPr>
      </w:pPr>
      <w:r>
        <w:rPr>
          <w:b/>
          <w:sz w:val="28"/>
          <w:szCs w:val="28"/>
        </w:rPr>
        <w:t>IN MASSACHUSETTS</w:t>
      </w:r>
    </w:p>
    <w:p w:rsidR="008A74E6" w:rsidRPr="008A74E6" w:rsidRDefault="008A74E6" w:rsidP="0042468C">
      <w:pPr>
        <w:spacing w:line="240" w:lineRule="auto"/>
        <w:jc w:val="center"/>
      </w:pPr>
      <w:r w:rsidRPr="008A74E6">
        <w:t xml:space="preserve">November </w:t>
      </w:r>
      <w:r w:rsidR="00197D58">
        <w:t>30</w:t>
      </w:r>
      <w:r w:rsidRPr="008A74E6">
        <w:t>, 2015</w:t>
      </w:r>
    </w:p>
    <w:tbl>
      <w:tblPr>
        <w:tblStyle w:val="TableGrid1"/>
        <w:tblW w:w="0" w:type="auto"/>
        <w:jc w:val="center"/>
        <w:tblLayout w:type="fixed"/>
        <w:tblLook w:val="04A0" w:firstRow="1" w:lastRow="0" w:firstColumn="1" w:lastColumn="0" w:noHBand="0" w:noVBand="1"/>
      </w:tblPr>
      <w:tblGrid>
        <w:gridCol w:w="2106"/>
        <w:gridCol w:w="1872"/>
        <w:gridCol w:w="1872"/>
        <w:gridCol w:w="1260"/>
        <w:gridCol w:w="1872"/>
      </w:tblGrid>
      <w:tr w:rsidR="008A74E6" w:rsidRPr="008A74E6" w:rsidTr="00802F23">
        <w:trPr>
          <w:jc w:val="center"/>
        </w:trPr>
        <w:tc>
          <w:tcPr>
            <w:tcW w:w="2106" w:type="dxa"/>
          </w:tcPr>
          <w:p w:rsidR="008A74E6" w:rsidRPr="008A74E6" w:rsidRDefault="008A74E6" w:rsidP="0042468C">
            <w:pPr>
              <w:jc w:val="center"/>
              <w:rPr>
                <w:b/>
                <w:sz w:val="24"/>
                <w:szCs w:val="24"/>
              </w:rPr>
            </w:pPr>
            <w:r w:rsidRPr="008A74E6">
              <w:rPr>
                <w:b/>
                <w:sz w:val="24"/>
                <w:szCs w:val="24"/>
              </w:rPr>
              <w:t xml:space="preserve">MUNICIPALITY </w:t>
            </w:r>
          </w:p>
        </w:tc>
        <w:tc>
          <w:tcPr>
            <w:tcW w:w="1872" w:type="dxa"/>
          </w:tcPr>
          <w:p w:rsidR="008A74E6" w:rsidRPr="008A74E6" w:rsidRDefault="004C7F2C" w:rsidP="0042468C">
            <w:pPr>
              <w:jc w:val="center"/>
              <w:rPr>
                <w:b/>
                <w:sz w:val="24"/>
                <w:szCs w:val="24"/>
              </w:rPr>
            </w:pPr>
            <w:r>
              <w:rPr>
                <w:b/>
                <w:sz w:val="24"/>
                <w:szCs w:val="24"/>
              </w:rPr>
              <w:t>P</w:t>
            </w:r>
            <w:r w:rsidR="00197D58">
              <w:rPr>
                <w:b/>
                <w:sz w:val="24"/>
                <w:szCs w:val="24"/>
              </w:rPr>
              <w:t>OLYSTYRENE</w:t>
            </w:r>
            <w:r w:rsidR="008A74E6" w:rsidRPr="008A74E6">
              <w:rPr>
                <w:b/>
                <w:sz w:val="24"/>
                <w:szCs w:val="24"/>
              </w:rPr>
              <w:t xml:space="preserve"> </w:t>
            </w:r>
          </w:p>
        </w:tc>
        <w:tc>
          <w:tcPr>
            <w:tcW w:w="1872" w:type="dxa"/>
          </w:tcPr>
          <w:p w:rsidR="008A74E6" w:rsidRPr="008A74E6" w:rsidRDefault="00802F23" w:rsidP="00802F23">
            <w:pPr>
              <w:jc w:val="center"/>
              <w:rPr>
                <w:b/>
                <w:sz w:val="24"/>
                <w:szCs w:val="24"/>
              </w:rPr>
            </w:pPr>
            <w:r>
              <w:rPr>
                <w:b/>
                <w:sz w:val="24"/>
                <w:szCs w:val="24"/>
              </w:rPr>
              <w:t>APPROXIMATE EFFECTIVE DATE</w:t>
            </w:r>
          </w:p>
        </w:tc>
        <w:tc>
          <w:tcPr>
            <w:tcW w:w="1260" w:type="dxa"/>
          </w:tcPr>
          <w:p w:rsidR="008A74E6" w:rsidRPr="008A74E6" w:rsidRDefault="008A74E6" w:rsidP="0042468C">
            <w:pPr>
              <w:jc w:val="center"/>
              <w:rPr>
                <w:b/>
                <w:sz w:val="24"/>
                <w:szCs w:val="24"/>
              </w:rPr>
            </w:pPr>
            <w:r w:rsidRPr="008A74E6">
              <w:rPr>
                <w:b/>
                <w:sz w:val="24"/>
                <w:szCs w:val="24"/>
              </w:rPr>
              <w:t xml:space="preserve">BAG </w:t>
            </w:r>
          </w:p>
        </w:tc>
        <w:tc>
          <w:tcPr>
            <w:tcW w:w="1872" w:type="dxa"/>
          </w:tcPr>
          <w:p w:rsidR="008A74E6" w:rsidRPr="008A74E6" w:rsidRDefault="00802F23" w:rsidP="00802F23">
            <w:pPr>
              <w:jc w:val="center"/>
              <w:rPr>
                <w:b/>
                <w:sz w:val="24"/>
                <w:szCs w:val="24"/>
              </w:rPr>
            </w:pPr>
            <w:r>
              <w:rPr>
                <w:b/>
                <w:sz w:val="24"/>
                <w:szCs w:val="24"/>
              </w:rPr>
              <w:t>APPROXIMATE EFFECTIVE DATE</w:t>
            </w:r>
          </w:p>
        </w:tc>
      </w:tr>
      <w:tr w:rsidR="008A74E6" w:rsidRPr="008A74E6" w:rsidTr="00802F23">
        <w:trPr>
          <w:jc w:val="center"/>
        </w:trPr>
        <w:tc>
          <w:tcPr>
            <w:tcW w:w="2106" w:type="dxa"/>
          </w:tcPr>
          <w:p w:rsidR="008A74E6" w:rsidRPr="008A74E6" w:rsidRDefault="00784C6C" w:rsidP="00784C6C">
            <w:pPr>
              <w:rPr>
                <w:b/>
                <w:sz w:val="24"/>
                <w:szCs w:val="24"/>
              </w:rPr>
            </w:pPr>
            <w:r>
              <w:rPr>
                <w:b/>
                <w:sz w:val="24"/>
                <w:szCs w:val="24"/>
              </w:rPr>
              <w:t xml:space="preserve">WESTERN MASS </w:t>
            </w:r>
          </w:p>
        </w:tc>
        <w:tc>
          <w:tcPr>
            <w:tcW w:w="1872" w:type="dxa"/>
          </w:tcPr>
          <w:p w:rsidR="008A74E6" w:rsidRPr="008A74E6" w:rsidRDefault="008A74E6" w:rsidP="0042468C">
            <w:pPr>
              <w:jc w:val="center"/>
              <w:rPr>
                <w:sz w:val="24"/>
                <w:szCs w:val="24"/>
              </w:rPr>
            </w:pPr>
          </w:p>
        </w:tc>
        <w:tc>
          <w:tcPr>
            <w:tcW w:w="1872" w:type="dxa"/>
          </w:tcPr>
          <w:p w:rsidR="008A74E6" w:rsidRPr="008A74E6" w:rsidRDefault="008A74E6" w:rsidP="0042468C">
            <w:pPr>
              <w:jc w:val="center"/>
              <w:rPr>
                <w:sz w:val="24"/>
                <w:szCs w:val="24"/>
              </w:rPr>
            </w:pPr>
          </w:p>
        </w:tc>
        <w:tc>
          <w:tcPr>
            <w:tcW w:w="1260" w:type="dxa"/>
          </w:tcPr>
          <w:p w:rsidR="008A74E6" w:rsidRPr="008A74E6" w:rsidRDefault="008A74E6" w:rsidP="0042468C">
            <w:pPr>
              <w:jc w:val="center"/>
              <w:rPr>
                <w:sz w:val="24"/>
                <w:szCs w:val="24"/>
              </w:rPr>
            </w:pPr>
          </w:p>
        </w:tc>
        <w:tc>
          <w:tcPr>
            <w:tcW w:w="1872" w:type="dxa"/>
          </w:tcPr>
          <w:p w:rsidR="008A74E6" w:rsidRPr="008A74E6" w:rsidRDefault="008A74E6" w:rsidP="0042468C">
            <w:pPr>
              <w:jc w:val="center"/>
              <w:rPr>
                <w:sz w:val="24"/>
                <w:szCs w:val="24"/>
              </w:rPr>
            </w:pP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Amherst </w:t>
            </w:r>
          </w:p>
        </w:tc>
        <w:tc>
          <w:tcPr>
            <w:tcW w:w="1872" w:type="dxa"/>
          </w:tcPr>
          <w:p w:rsidR="00784C6C" w:rsidRPr="008A74E6" w:rsidRDefault="00784C6C" w:rsidP="00307425">
            <w:pPr>
              <w:jc w:val="center"/>
              <w:rPr>
                <w:b/>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1/1/14</w:t>
            </w:r>
          </w:p>
        </w:tc>
        <w:tc>
          <w:tcPr>
            <w:tcW w:w="1260"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Great Barrington </w:t>
            </w:r>
          </w:p>
        </w:tc>
        <w:tc>
          <w:tcPr>
            <w:tcW w:w="1872"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9/1/90</w:t>
            </w: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1/1/14</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Northampton </w:t>
            </w:r>
          </w:p>
        </w:tc>
        <w:tc>
          <w:tcPr>
            <w:tcW w:w="1872"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1/1/16</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Pittsfield </w:t>
            </w:r>
          </w:p>
        </w:tc>
        <w:tc>
          <w:tcPr>
            <w:tcW w:w="1872"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7/16</w:t>
            </w:r>
          </w:p>
        </w:tc>
        <w:tc>
          <w:tcPr>
            <w:tcW w:w="1260"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South Hadley </w:t>
            </w:r>
          </w:p>
        </w:tc>
        <w:tc>
          <w:tcPr>
            <w:tcW w:w="1872"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4/1/15</w:t>
            </w:r>
          </w:p>
        </w:tc>
        <w:tc>
          <w:tcPr>
            <w:tcW w:w="1260"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Williamstown </w:t>
            </w:r>
          </w:p>
        </w:tc>
        <w:tc>
          <w:tcPr>
            <w:tcW w:w="1872"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11/19/15</w:t>
            </w: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11/19/15</w:t>
            </w:r>
          </w:p>
        </w:tc>
      </w:tr>
      <w:tr w:rsidR="00784C6C" w:rsidRPr="008A74E6" w:rsidTr="00802F23">
        <w:trPr>
          <w:jc w:val="center"/>
        </w:trPr>
        <w:tc>
          <w:tcPr>
            <w:tcW w:w="2106" w:type="dxa"/>
          </w:tcPr>
          <w:p w:rsidR="00784C6C" w:rsidRPr="008A74E6" w:rsidRDefault="00784C6C" w:rsidP="0042468C">
            <w:pPr>
              <w:rPr>
                <w:sz w:val="24"/>
                <w:szCs w:val="24"/>
              </w:rPr>
            </w:pPr>
          </w:p>
        </w:tc>
        <w:tc>
          <w:tcPr>
            <w:tcW w:w="1872" w:type="dxa"/>
          </w:tcPr>
          <w:p w:rsidR="00784C6C" w:rsidRPr="008A74E6" w:rsidRDefault="00784C6C" w:rsidP="0042468C">
            <w:pPr>
              <w:jc w:val="center"/>
              <w:rPr>
                <w:sz w:val="24"/>
                <w:szCs w:val="24"/>
              </w:rPr>
            </w:pPr>
          </w:p>
        </w:tc>
        <w:tc>
          <w:tcPr>
            <w:tcW w:w="1872" w:type="dxa"/>
          </w:tcPr>
          <w:p w:rsidR="00784C6C" w:rsidRPr="008A74E6" w:rsidRDefault="00784C6C" w:rsidP="0042468C">
            <w:pPr>
              <w:jc w:val="center"/>
              <w:rPr>
                <w:sz w:val="24"/>
                <w:szCs w:val="24"/>
              </w:rPr>
            </w:pPr>
          </w:p>
        </w:tc>
        <w:tc>
          <w:tcPr>
            <w:tcW w:w="1260" w:type="dxa"/>
          </w:tcPr>
          <w:p w:rsidR="00784C6C" w:rsidRPr="008A74E6" w:rsidRDefault="00784C6C" w:rsidP="0042468C">
            <w:pPr>
              <w:jc w:val="center"/>
              <w:rPr>
                <w:sz w:val="24"/>
                <w:szCs w:val="24"/>
              </w:rPr>
            </w:pPr>
          </w:p>
        </w:tc>
        <w:tc>
          <w:tcPr>
            <w:tcW w:w="1872" w:type="dxa"/>
          </w:tcPr>
          <w:p w:rsidR="00784C6C" w:rsidRPr="008A74E6" w:rsidRDefault="00784C6C" w:rsidP="0042468C">
            <w:pPr>
              <w:jc w:val="center"/>
              <w:rPr>
                <w:sz w:val="24"/>
                <w:szCs w:val="24"/>
              </w:rPr>
            </w:pPr>
          </w:p>
        </w:tc>
      </w:tr>
      <w:tr w:rsidR="00784C6C" w:rsidRPr="008A74E6" w:rsidTr="00802F23">
        <w:trPr>
          <w:jc w:val="center"/>
        </w:trPr>
        <w:tc>
          <w:tcPr>
            <w:tcW w:w="2106" w:type="dxa"/>
          </w:tcPr>
          <w:p w:rsidR="00784C6C" w:rsidRPr="008A74E6" w:rsidRDefault="00784C6C" w:rsidP="00784C6C">
            <w:pPr>
              <w:rPr>
                <w:b/>
                <w:sz w:val="24"/>
                <w:szCs w:val="24"/>
              </w:rPr>
            </w:pPr>
            <w:r>
              <w:rPr>
                <w:b/>
                <w:sz w:val="24"/>
                <w:szCs w:val="24"/>
              </w:rPr>
              <w:t>OTHER MASS MUNICIPALITIES</w:t>
            </w:r>
          </w:p>
        </w:tc>
        <w:tc>
          <w:tcPr>
            <w:tcW w:w="1872" w:type="dxa"/>
          </w:tcPr>
          <w:p w:rsidR="00784C6C" w:rsidRPr="008A74E6" w:rsidRDefault="00784C6C" w:rsidP="0042468C">
            <w:pPr>
              <w:jc w:val="center"/>
              <w:rPr>
                <w:sz w:val="24"/>
                <w:szCs w:val="24"/>
              </w:rPr>
            </w:pPr>
          </w:p>
        </w:tc>
        <w:tc>
          <w:tcPr>
            <w:tcW w:w="1872" w:type="dxa"/>
          </w:tcPr>
          <w:p w:rsidR="00784C6C" w:rsidRPr="008A74E6" w:rsidRDefault="00784C6C" w:rsidP="0042468C">
            <w:pPr>
              <w:jc w:val="center"/>
              <w:rPr>
                <w:sz w:val="24"/>
                <w:szCs w:val="24"/>
              </w:rPr>
            </w:pPr>
          </w:p>
        </w:tc>
        <w:tc>
          <w:tcPr>
            <w:tcW w:w="1260" w:type="dxa"/>
          </w:tcPr>
          <w:p w:rsidR="00784C6C" w:rsidRPr="008A74E6" w:rsidRDefault="00784C6C" w:rsidP="0042468C">
            <w:pPr>
              <w:jc w:val="center"/>
              <w:rPr>
                <w:sz w:val="24"/>
                <w:szCs w:val="24"/>
              </w:rPr>
            </w:pPr>
          </w:p>
        </w:tc>
        <w:tc>
          <w:tcPr>
            <w:tcW w:w="1872" w:type="dxa"/>
          </w:tcPr>
          <w:p w:rsidR="00784C6C" w:rsidRPr="008A74E6" w:rsidRDefault="00784C6C" w:rsidP="0042468C">
            <w:pPr>
              <w:jc w:val="center"/>
              <w:rPr>
                <w:sz w:val="24"/>
                <w:szCs w:val="24"/>
              </w:rPr>
            </w:pP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Barnstable </w:t>
            </w:r>
          </w:p>
        </w:tc>
        <w:tc>
          <w:tcPr>
            <w:tcW w:w="1872"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10/16</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Brookline</w:t>
            </w:r>
          </w:p>
        </w:tc>
        <w:tc>
          <w:tcPr>
            <w:tcW w:w="1872"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12/1/13</w:t>
            </w: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12/1/13</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Cambridge </w:t>
            </w:r>
          </w:p>
        </w:tc>
        <w:tc>
          <w:tcPr>
            <w:tcW w:w="1872"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3/30/16</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Concord</w:t>
            </w:r>
          </w:p>
        </w:tc>
        <w:tc>
          <w:tcPr>
            <w:tcW w:w="1872"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1/1/16</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Falmouth</w:t>
            </w:r>
          </w:p>
        </w:tc>
        <w:tc>
          <w:tcPr>
            <w:tcW w:w="1872"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8/6/16</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 xml:space="preserve">Hamilton </w:t>
            </w:r>
          </w:p>
        </w:tc>
        <w:tc>
          <w:tcPr>
            <w:tcW w:w="1872"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7/27/16</w:t>
            </w: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7/27/16</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Harwich</w:t>
            </w:r>
          </w:p>
        </w:tc>
        <w:tc>
          <w:tcPr>
            <w:tcW w:w="1872"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5/4/16</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Manchester</w:t>
            </w:r>
          </w:p>
        </w:tc>
        <w:tc>
          <w:tcPr>
            <w:tcW w:w="1872" w:type="dxa"/>
          </w:tcPr>
          <w:p w:rsidR="00784C6C" w:rsidRPr="008A74E6" w:rsidRDefault="00784C6C" w:rsidP="00307425">
            <w:pPr>
              <w:jc w:val="center"/>
              <w:rPr>
                <w:sz w:val="24"/>
                <w:szCs w:val="24"/>
              </w:rPr>
            </w:pPr>
          </w:p>
        </w:tc>
        <w:tc>
          <w:tcPr>
            <w:tcW w:w="1872" w:type="dxa"/>
          </w:tcPr>
          <w:p w:rsidR="00784C6C" w:rsidRPr="008A74E6" w:rsidRDefault="00784C6C" w:rsidP="00307425">
            <w:pPr>
              <w:jc w:val="center"/>
              <w:rPr>
                <w:sz w:val="24"/>
                <w:szCs w:val="24"/>
              </w:rPr>
            </w:pP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7/1/13</w:t>
            </w:r>
          </w:p>
        </w:tc>
      </w:tr>
      <w:tr w:rsidR="00784C6C" w:rsidRPr="008A74E6" w:rsidTr="00802F23">
        <w:trPr>
          <w:jc w:val="center"/>
        </w:trPr>
        <w:tc>
          <w:tcPr>
            <w:tcW w:w="2106" w:type="dxa"/>
          </w:tcPr>
          <w:p w:rsidR="00784C6C" w:rsidRPr="008A74E6" w:rsidRDefault="00784C6C" w:rsidP="00307425">
            <w:pPr>
              <w:rPr>
                <w:sz w:val="24"/>
                <w:szCs w:val="24"/>
              </w:rPr>
            </w:pPr>
            <w:r w:rsidRPr="008A74E6">
              <w:rPr>
                <w:sz w:val="24"/>
                <w:szCs w:val="24"/>
              </w:rPr>
              <w:t>Marblehead</w:t>
            </w:r>
          </w:p>
        </w:tc>
        <w:tc>
          <w:tcPr>
            <w:tcW w:w="1872"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5/5/15</w:t>
            </w:r>
          </w:p>
        </w:tc>
        <w:tc>
          <w:tcPr>
            <w:tcW w:w="1260" w:type="dxa"/>
          </w:tcPr>
          <w:p w:rsidR="00784C6C" w:rsidRPr="008A74E6" w:rsidRDefault="00784C6C" w:rsidP="00307425">
            <w:pPr>
              <w:jc w:val="center"/>
              <w:rPr>
                <w:sz w:val="24"/>
                <w:szCs w:val="24"/>
              </w:rPr>
            </w:pPr>
            <w:r w:rsidRPr="008A74E6">
              <w:rPr>
                <w:b/>
                <w:sz w:val="24"/>
                <w:szCs w:val="24"/>
              </w:rPr>
              <w:t>√</w:t>
            </w:r>
          </w:p>
        </w:tc>
        <w:tc>
          <w:tcPr>
            <w:tcW w:w="1872" w:type="dxa"/>
          </w:tcPr>
          <w:p w:rsidR="00784C6C" w:rsidRPr="008A74E6" w:rsidRDefault="00784C6C" w:rsidP="00307425">
            <w:pPr>
              <w:jc w:val="center"/>
              <w:rPr>
                <w:sz w:val="24"/>
                <w:szCs w:val="24"/>
              </w:rPr>
            </w:pPr>
            <w:r w:rsidRPr="008A74E6">
              <w:rPr>
                <w:sz w:val="24"/>
                <w:szCs w:val="24"/>
              </w:rPr>
              <w:t>5/5/15</w:t>
            </w:r>
          </w:p>
        </w:tc>
      </w:tr>
      <w:tr w:rsidR="00802F23" w:rsidRPr="008A74E6" w:rsidTr="00802F23">
        <w:trPr>
          <w:jc w:val="center"/>
        </w:trPr>
        <w:tc>
          <w:tcPr>
            <w:tcW w:w="2106" w:type="dxa"/>
          </w:tcPr>
          <w:p w:rsidR="00802F23" w:rsidRPr="008A74E6" w:rsidRDefault="00802F23" w:rsidP="00307425">
            <w:pPr>
              <w:rPr>
                <w:sz w:val="24"/>
                <w:szCs w:val="24"/>
              </w:rPr>
            </w:pPr>
            <w:r w:rsidRPr="008A74E6">
              <w:rPr>
                <w:sz w:val="24"/>
                <w:szCs w:val="24"/>
              </w:rPr>
              <w:t xml:space="preserve">Nantucket </w:t>
            </w:r>
          </w:p>
        </w:tc>
        <w:tc>
          <w:tcPr>
            <w:tcW w:w="1872" w:type="dxa"/>
          </w:tcPr>
          <w:p w:rsidR="00802F23" w:rsidRPr="008A74E6" w:rsidRDefault="00802F23" w:rsidP="00307425">
            <w:pPr>
              <w:jc w:val="center"/>
              <w:rPr>
                <w:sz w:val="24"/>
                <w:szCs w:val="24"/>
              </w:rPr>
            </w:pPr>
            <w:r w:rsidRPr="008A74E6">
              <w:rPr>
                <w:b/>
                <w:sz w:val="24"/>
                <w:szCs w:val="24"/>
              </w:rPr>
              <w:t>√</w:t>
            </w:r>
          </w:p>
        </w:tc>
        <w:tc>
          <w:tcPr>
            <w:tcW w:w="1872" w:type="dxa"/>
          </w:tcPr>
          <w:p w:rsidR="00802F23" w:rsidRPr="008A74E6" w:rsidRDefault="00802F23" w:rsidP="00307425">
            <w:pPr>
              <w:jc w:val="center"/>
              <w:rPr>
                <w:sz w:val="24"/>
                <w:szCs w:val="24"/>
              </w:rPr>
            </w:pPr>
            <w:r w:rsidRPr="008A74E6">
              <w:rPr>
                <w:sz w:val="24"/>
                <w:szCs w:val="24"/>
              </w:rPr>
              <w:t>4/5/90</w:t>
            </w:r>
          </w:p>
        </w:tc>
        <w:tc>
          <w:tcPr>
            <w:tcW w:w="1260" w:type="dxa"/>
          </w:tcPr>
          <w:p w:rsidR="00802F23" w:rsidRPr="008A74E6" w:rsidRDefault="00802F23" w:rsidP="00307425">
            <w:pPr>
              <w:jc w:val="center"/>
              <w:rPr>
                <w:sz w:val="24"/>
                <w:szCs w:val="24"/>
              </w:rPr>
            </w:pPr>
            <w:r w:rsidRPr="008A74E6">
              <w:rPr>
                <w:b/>
                <w:sz w:val="24"/>
                <w:szCs w:val="24"/>
              </w:rPr>
              <w:t>√</w:t>
            </w:r>
          </w:p>
        </w:tc>
        <w:tc>
          <w:tcPr>
            <w:tcW w:w="1872" w:type="dxa"/>
          </w:tcPr>
          <w:p w:rsidR="00802F23" w:rsidRPr="008A74E6" w:rsidRDefault="00802F23" w:rsidP="00307425">
            <w:pPr>
              <w:jc w:val="center"/>
              <w:rPr>
                <w:sz w:val="24"/>
                <w:szCs w:val="24"/>
              </w:rPr>
            </w:pPr>
            <w:r w:rsidRPr="008A74E6">
              <w:rPr>
                <w:sz w:val="24"/>
                <w:szCs w:val="24"/>
              </w:rPr>
              <w:t>4/5/90</w:t>
            </w:r>
          </w:p>
        </w:tc>
      </w:tr>
      <w:tr w:rsidR="00802F23" w:rsidRPr="008A74E6" w:rsidTr="00802F23">
        <w:trPr>
          <w:jc w:val="center"/>
        </w:trPr>
        <w:tc>
          <w:tcPr>
            <w:tcW w:w="2106" w:type="dxa"/>
          </w:tcPr>
          <w:p w:rsidR="00802F23" w:rsidRPr="008A74E6" w:rsidRDefault="00802F23" w:rsidP="00307425">
            <w:pPr>
              <w:rPr>
                <w:sz w:val="24"/>
                <w:szCs w:val="24"/>
              </w:rPr>
            </w:pPr>
            <w:r w:rsidRPr="008A74E6">
              <w:rPr>
                <w:sz w:val="24"/>
                <w:szCs w:val="24"/>
              </w:rPr>
              <w:t>Newburyport</w:t>
            </w:r>
          </w:p>
        </w:tc>
        <w:tc>
          <w:tcPr>
            <w:tcW w:w="1872" w:type="dxa"/>
          </w:tcPr>
          <w:p w:rsidR="00802F23" w:rsidRPr="008A74E6" w:rsidRDefault="00802F23" w:rsidP="00307425">
            <w:pPr>
              <w:jc w:val="center"/>
              <w:rPr>
                <w:sz w:val="24"/>
                <w:szCs w:val="24"/>
              </w:rPr>
            </w:pPr>
          </w:p>
        </w:tc>
        <w:tc>
          <w:tcPr>
            <w:tcW w:w="1872" w:type="dxa"/>
          </w:tcPr>
          <w:p w:rsidR="00802F23" w:rsidRPr="008A74E6" w:rsidRDefault="00802F23" w:rsidP="00307425">
            <w:pPr>
              <w:jc w:val="center"/>
              <w:rPr>
                <w:sz w:val="24"/>
                <w:szCs w:val="24"/>
              </w:rPr>
            </w:pPr>
          </w:p>
        </w:tc>
        <w:tc>
          <w:tcPr>
            <w:tcW w:w="1260" w:type="dxa"/>
          </w:tcPr>
          <w:p w:rsidR="00802F23" w:rsidRPr="008A74E6" w:rsidRDefault="00802F23" w:rsidP="00307425">
            <w:pPr>
              <w:jc w:val="center"/>
              <w:rPr>
                <w:sz w:val="24"/>
                <w:szCs w:val="24"/>
              </w:rPr>
            </w:pPr>
            <w:r w:rsidRPr="008A74E6">
              <w:rPr>
                <w:b/>
                <w:sz w:val="24"/>
                <w:szCs w:val="24"/>
              </w:rPr>
              <w:t>√</w:t>
            </w:r>
          </w:p>
        </w:tc>
        <w:tc>
          <w:tcPr>
            <w:tcW w:w="1872" w:type="dxa"/>
          </w:tcPr>
          <w:p w:rsidR="00802F23" w:rsidRPr="008A74E6" w:rsidRDefault="00802F23" w:rsidP="00307425">
            <w:pPr>
              <w:jc w:val="center"/>
              <w:rPr>
                <w:sz w:val="24"/>
                <w:szCs w:val="24"/>
              </w:rPr>
            </w:pPr>
            <w:r w:rsidRPr="008A74E6">
              <w:rPr>
                <w:sz w:val="24"/>
                <w:szCs w:val="24"/>
              </w:rPr>
              <w:t>3/29/15</w:t>
            </w:r>
          </w:p>
        </w:tc>
      </w:tr>
      <w:tr w:rsidR="00802F23" w:rsidRPr="008A74E6" w:rsidTr="00802F23">
        <w:trPr>
          <w:jc w:val="center"/>
        </w:trPr>
        <w:tc>
          <w:tcPr>
            <w:tcW w:w="2106" w:type="dxa"/>
          </w:tcPr>
          <w:p w:rsidR="00802F23" w:rsidRPr="008A74E6" w:rsidRDefault="00802F23" w:rsidP="00307425">
            <w:pPr>
              <w:rPr>
                <w:sz w:val="24"/>
                <w:szCs w:val="24"/>
              </w:rPr>
            </w:pPr>
            <w:r w:rsidRPr="008A74E6">
              <w:rPr>
                <w:sz w:val="24"/>
                <w:szCs w:val="24"/>
              </w:rPr>
              <w:t>Newton</w:t>
            </w:r>
          </w:p>
        </w:tc>
        <w:tc>
          <w:tcPr>
            <w:tcW w:w="1872" w:type="dxa"/>
          </w:tcPr>
          <w:p w:rsidR="00802F23" w:rsidRPr="008A74E6" w:rsidRDefault="00802F23" w:rsidP="00307425">
            <w:pPr>
              <w:jc w:val="center"/>
              <w:rPr>
                <w:sz w:val="24"/>
                <w:szCs w:val="24"/>
              </w:rPr>
            </w:pPr>
          </w:p>
        </w:tc>
        <w:tc>
          <w:tcPr>
            <w:tcW w:w="1872" w:type="dxa"/>
          </w:tcPr>
          <w:p w:rsidR="00802F23" w:rsidRPr="008A74E6" w:rsidRDefault="00802F23" w:rsidP="00307425">
            <w:pPr>
              <w:jc w:val="center"/>
              <w:rPr>
                <w:sz w:val="24"/>
                <w:szCs w:val="24"/>
              </w:rPr>
            </w:pPr>
          </w:p>
        </w:tc>
        <w:tc>
          <w:tcPr>
            <w:tcW w:w="1260" w:type="dxa"/>
          </w:tcPr>
          <w:p w:rsidR="00802F23" w:rsidRPr="008A74E6" w:rsidRDefault="00802F23" w:rsidP="00307425">
            <w:pPr>
              <w:jc w:val="center"/>
              <w:rPr>
                <w:sz w:val="24"/>
                <w:szCs w:val="24"/>
              </w:rPr>
            </w:pPr>
            <w:r w:rsidRPr="008A74E6">
              <w:rPr>
                <w:b/>
                <w:sz w:val="24"/>
                <w:szCs w:val="24"/>
              </w:rPr>
              <w:t>√</w:t>
            </w:r>
          </w:p>
        </w:tc>
        <w:tc>
          <w:tcPr>
            <w:tcW w:w="1872" w:type="dxa"/>
          </w:tcPr>
          <w:p w:rsidR="00802F23" w:rsidRPr="008A74E6" w:rsidRDefault="00802F23" w:rsidP="00307425">
            <w:pPr>
              <w:jc w:val="center"/>
              <w:rPr>
                <w:sz w:val="24"/>
                <w:szCs w:val="24"/>
              </w:rPr>
            </w:pPr>
            <w:r w:rsidRPr="008A74E6">
              <w:rPr>
                <w:sz w:val="24"/>
                <w:szCs w:val="24"/>
              </w:rPr>
              <w:t>7/20/15</w:t>
            </w:r>
          </w:p>
        </w:tc>
      </w:tr>
      <w:tr w:rsidR="00802F23" w:rsidRPr="008A74E6" w:rsidTr="00802F23">
        <w:trPr>
          <w:jc w:val="center"/>
        </w:trPr>
        <w:tc>
          <w:tcPr>
            <w:tcW w:w="2106" w:type="dxa"/>
          </w:tcPr>
          <w:p w:rsidR="00802F23" w:rsidRPr="008A74E6" w:rsidRDefault="00802F23" w:rsidP="0042468C">
            <w:pPr>
              <w:rPr>
                <w:sz w:val="24"/>
                <w:szCs w:val="24"/>
              </w:rPr>
            </w:pPr>
            <w:r w:rsidRPr="008A74E6">
              <w:rPr>
                <w:sz w:val="24"/>
                <w:szCs w:val="24"/>
              </w:rPr>
              <w:t>Provincetown</w:t>
            </w:r>
          </w:p>
        </w:tc>
        <w:tc>
          <w:tcPr>
            <w:tcW w:w="1872" w:type="dxa"/>
          </w:tcPr>
          <w:p w:rsidR="00802F23" w:rsidRPr="008A74E6" w:rsidRDefault="00802F23" w:rsidP="0042468C">
            <w:pPr>
              <w:jc w:val="center"/>
              <w:rPr>
                <w:sz w:val="24"/>
                <w:szCs w:val="24"/>
              </w:rPr>
            </w:pPr>
          </w:p>
        </w:tc>
        <w:tc>
          <w:tcPr>
            <w:tcW w:w="1872" w:type="dxa"/>
          </w:tcPr>
          <w:p w:rsidR="00802F23" w:rsidRPr="008A74E6" w:rsidRDefault="00802F23" w:rsidP="0042468C">
            <w:pPr>
              <w:jc w:val="center"/>
              <w:rPr>
                <w:sz w:val="24"/>
                <w:szCs w:val="24"/>
              </w:rPr>
            </w:pPr>
          </w:p>
        </w:tc>
        <w:tc>
          <w:tcPr>
            <w:tcW w:w="1260" w:type="dxa"/>
          </w:tcPr>
          <w:p w:rsidR="00802F23" w:rsidRPr="008A74E6" w:rsidRDefault="00802F23" w:rsidP="0042468C">
            <w:pPr>
              <w:jc w:val="center"/>
              <w:rPr>
                <w:sz w:val="24"/>
                <w:szCs w:val="24"/>
              </w:rPr>
            </w:pPr>
            <w:r w:rsidRPr="008A74E6">
              <w:rPr>
                <w:b/>
                <w:sz w:val="24"/>
                <w:szCs w:val="24"/>
              </w:rPr>
              <w:t>√</w:t>
            </w:r>
          </w:p>
        </w:tc>
        <w:tc>
          <w:tcPr>
            <w:tcW w:w="1872" w:type="dxa"/>
          </w:tcPr>
          <w:p w:rsidR="00802F23" w:rsidRPr="008A74E6" w:rsidRDefault="00802F23" w:rsidP="0042468C">
            <w:pPr>
              <w:jc w:val="center"/>
              <w:rPr>
                <w:sz w:val="24"/>
                <w:szCs w:val="24"/>
              </w:rPr>
            </w:pPr>
            <w:r w:rsidRPr="008A74E6">
              <w:rPr>
                <w:sz w:val="24"/>
                <w:szCs w:val="24"/>
              </w:rPr>
              <w:t>4/15/15</w:t>
            </w:r>
          </w:p>
        </w:tc>
      </w:tr>
      <w:tr w:rsidR="00802F23" w:rsidRPr="008A74E6" w:rsidTr="00802F23">
        <w:trPr>
          <w:jc w:val="center"/>
        </w:trPr>
        <w:tc>
          <w:tcPr>
            <w:tcW w:w="2106" w:type="dxa"/>
          </w:tcPr>
          <w:p w:rsidR="00802F23" w:rsidRPr="008A74E6" w:rsidRDefault="00802F23" w:rsidP="0042468C">
            <w:pPr>
              <w:rPr>
                <w:sz w:val="24"/>
                <w:szCs w:val="24"/>
              </w:rPr>
            </w:pPr>
            <w:r w:rsidRPr="008A74E6">
              <w:rPr>
                <w:sz w:val="24"/>
                <w:szCs w:val="24"/>
              </w:rPr>
              <w:t>Somerville</w:t>
            </w:r>
          </w:p>
        </w:tc>
        <w:tc>
          <w:tcPr>
            <w:tcW w:w="1872" w:type="dxa"/>
          </w:tcPr>
          <w:p w:rsidR="00802F23" w:rsidRPr="008A74E6" w:rsidRDefault="00802F23" w:rsidP="0042468C">
            <w:pPr>
              <w:jc w:val="center"/>
              <w:rPr>
                <w:sz w:val="24"/>
                <w:szCs w:val="24"/>
              </w:rPr>
            </w:pPr>
            <w:r w:rsidRPr="008A74E6">
              <w:rPr>
                <w:b/>
                <w:sz w:val="24"/>
                <w:szCs w:val="24"/>
              </w:rPr>
              <w:t>√</w:t>
            </w:r>
          </w:p>
        </w:tc>
        <w:tc>
          <w:tcPr>
            <w:tcW w:w="1872" w:type="dxa"/>
          </w:tcPr>
          <w:p w:rsidR="00802F23" w:rsidRPr="008A74E6" w:rsidRDefault="00802F23" w:rsidP="0042468C">
            <w:pPr>
              <w:jc w:val="center"/>
              <w:rPr>
                <w:sz w:val="24"/>
                <w:szCs w:val="24"/>
              </w:rPr>
            </w:pPr>
            <w:r w:rsidRPr="008A74E6">
              <w:rPr>
                <w:sz w:val="24"/>
                <w:szCs w:val="24"/>
              </w:rPr>
              <w:t>9/3/14</w:t>
            </w:r>
          </w:p>
        </w:tc>
        <w:tc>
          <w:tcPr>
            <w:tcW w:w="1260" w:type="dxa"/>
          </w:tcPr>
          <w:p w:rsidR="00802F23" w:rsidRPr="008A74E6" w:rsidRDefault="00802F23" w:rsidP="0042468C">
            <w:pPr>
              <w:jc w:val="center"/>
              <w:rPr>
                <w:sz w:val="24"/>
                <w:szCs w:val="24"/>
              </w:rPr>
            </w:pPr>
          </w:p>
        </w:tc>
        <w:tc>
          <w:tcPr>
            <w:tcW w:w="1872" w:type="dxa"/>
          </w:tcPr>
          <w:p w:rsidR="00802F23" w:rsidRPr="008A74E6" w:rsidRDefault="00802F23" w:rsidP="0042468C">
            <w:pPr>
              <w:jc w:val="center"/>
              <w:rPr>
                <w:sz w:val="24"/>
                <w:szCs w:val="24"/>
              </w:rPr>
            </w:pPr>
          </w:p>
        </w:tc>
      </w:tr>
      <w:tr w:rsidR="00802F23" w:rsidRPr="008A74E6" w:rsidTr="00802F23">
        <w:trPr>
          <w:jc w:val="center"/>
        </w:trPr>
        <w:tc>
          <w:tcPr>
            <w:tcW w:w="2106" w:type="dxa"/>
          </w:tcPr>
          <w:p w:rsidR="00802F23" w:rsidRPr="008A74E6" w:rsidRDefault="00802F23" w:rsidP="0042468C">
            <w:pPr>
              <w:rPr>
                <w:sz w:val="24"/>
                <w:szCs w:val="24"/>
              </w:rPr>
            </w:pPr>
            <w:r w:rsidRPr="008A74E6">
              <w:rPr>
                <w:sz w:val="24"/>
                <w:szCs w:val="24"/>
              </w:rPr>
              <w:t xml:space="preserve">Wellfleet </w:t>
            </w:r>
          </w:p>
        </w:tc>
        <w:tc>
          <w:tcPr>
            <w:tcW w:w="1872" w:type="dxa"/>
          </w:tcPr>
          <w:p w:rsidR="00802F23" w:rsidRPr="008A74E6" w:rsidRDefault="00802F23" w:rsidP="0042468C">
            <w:pPr>
              <w:jc w:val="center"/>
              <w:rPr>
                <w:sz w:val="24"/>
                <w:szCs w:val="24"/>
              </w:rPr>
            </w:pPr>
          </w:p>
        </w:tc>
        <w:tc>
          <w:tcPr>
            <w:tcW w:w="1872" w:type="dxa"/>
          </w:tcPr>
          <w:p w:rsidR="00802F23" w:rsidRPr="008A74E6" w:rsidRDefault="00802F23" w:rsidP="0042468C">
            <w:pPr>
              <w:jc w:val="center"/>
              <w:rPr>
                <w:sz w:val="24"/>
                <w:szCs w:val="24"/>
              </w:rPr>
            </w:pPr>
          </w:p>
        </w:tc>
        <w:tc>
          <w:tcPr>
            <w:tcW w:w="1260" w:type="dxa"/>
          </w:tcPr>
          <w:p w:rsidR="00802F23" w:rsidRPr="008A74E6" w:rsidRDefault="00802F23" w:rsidP="0042468C">
            <w:pPr>
              <w:jc w:val="center"/>
              <w:rPr>
                <w:sz w:val="24"/>
                <w:szCs w:val="24"/>
              </w:rPr>
            </w:pPr>
            <w:r w:rsidRPr="008A74E6">
              <w:rPr>
                <w:b/>
                <w:sz w:val="24"/>
                <w:szCs w:val="24"/>
              </w:rPr>
              <w:t>√</w:t>
            </w:r>
          </w:p>
        </w:tc>
        <w:tc>
          <w:tcPr>
            <w:tcW w:w="1872" w:type="dxa"/>
          </w:tcPr>
          <w:p w:rsidR="00802F23" w:rsidRPr="008A74E6" w:rsidRDefault="00802F23" w:rsidP="0042468C">
            <w:pPr>
              <w:jc w:val="center"/>
              <w:rPr>
                <w:sz w:val="24"/>
                <w:szCs w:val="24"/>
              </w:rPr>
            </w:pPr>
            <w:r w:rsidRPr="008A74E6">
              <w:rPr>
                <w:sz w:val="24"/>
                <w:szCs w:val="24"/>
              </w:rPr>
              <w:t>1/1/16</w:t>
            </w:r>
          </w:p>
        </w:tc>
      </w:tr>
      <w:tr w:rsidR="00802F23" w:rsidRPr="008A74E6" w:rsidTr="00802F23">
        <w:trPr>
          <w:jc w:val="center"/>
        </w:trPr>
        <w:tc>
          <w:tcPr>
            <w:tcW w:w="2106" w:type="dxa"/>
          </w:tcPr>
          <w:p w:rsidR="00802F23" w:rsidRPr="008A74E6" w:rsidRDefault="00802F23" w:rsidP="0042468C">
            <w:pPr>
              <w:rPr>
                <w:b/>
                <w:sz w:val="24"/>
                <w:szCs w:val="24"/>
              </w:rPr>
            </w:pPr>
            <w:r w:rsidRPr="008A74E6">
              <w:rPr>
                <w:b/>
                <w:sz w:val="24"/>
                <w:szCs w:val="24"/>
              </w:rPr>
              <w:t>TOTALS</w:t>
            </w:r>
          </w:p>
        </w:tc>
        <w:tc>
          <w:tcPr>
            <w:tcW w:w="1872" w:type="dxa"/>
          </w:tcPr>
          <w:p w:rsidR="00802F23" w:rsidRPr="008A74E6" w:rsidRDefault="00802F23" w:rsidP="0042468C">
            <w:pPr>
              <w:jc w:val="center"/>
              <w:rPr>
                <w:b/>
                <w:sz w:val="24"/>
                <w:szCs w:val="24"/>
              </w:rPr>
            </w:pPr>
            <w:r w:rsidRPr="008A74E6">
              <w:rPr>
                <w:b/>
                <w:sz w:val="24"/>
                <w:szCs w:val="24"/>
              </w:rPr>
              <w:t>10</w:t>
            </w:r>
          </w:p>
        </w:tc>
        <w:tc>
          <w:tcPr>
            <w:tcW w:w="1872" w:type="dxa"/>
          </w:tcPr>
          <w:p w:rsidR="00802F23" w:rsidRPr="008A74E6" w:rsidRDefault="00802F23" w:rsidP="0042468C">
            <w:pPr>
              <w:jc w:val="center"/>
              <w:rPr>
                <w:sz w:val="24"/>
                <w:szCs w:val="24"/>
              </w:rPr>
            </w:pPr>
          </w:p>
        </w:tc>
        <w:tc>
          <w:tcPr>
            <w:tcW w:w="1260" w:type="dxa"/>
          </w:tcPr>
          <w:p w:rsidR="00802F23" w:rsidRPr="008A74E6" w:rsidRDefault="00802F23" w:rsidP="0042468C">
            <w:pPr>
              <w:jc w:val="center"/>
              <w:rPr>
                <w:b/>
                <w:sz w:val="24"/>
                <w:szCs w:val="24"/>
              </w:rPr>
            </w:pPr>
            <w:r w:rsidRPr="008A74E6">
              <w:rPr>
                <w:b/>
                <w:sz w:val="24"/>
                <w:szCs w:val="24"/>
              </w:rPr>
              <w:t>17</w:t>
            </w:r>
          </w:p>
        </w:tc>
        <w:tc>
          <w:tcPr>
            <w:tcW w:w="1872" w:type="dxa"/>
          </w:tcPr>
          <w:p w:rsidR="00802F23" w:rsidRPr="008A74E6" w:rsidRDefault="00802F23" w:rsidP="0042468C">
            <w:pPr>
              <w:jc w:val="center"/>
              <w:rPr>
                <w:sz w:val="24"/>
                <w:szCs w:val="24"/>
              </w:rPr>
            </w:pPr>
          </w:p>
        </w:tc>
      </w:tr>
    </w:tbl>
    <w:p w:rsidR="008A74E6" w:rsidRPr="008A74E6" w:rsidRDefault="008A74E6" w:rsidP="0042468C">
      <w:pPr>
        <w:spacing w:line="240" w:lineRule="auto"/>
      </w:pPr>
    </w:p>
    <w:p w:rsidR="0088181A" w:rsidRDefault="0088181A" w:rsidP="0042468C">
      <w:pPr>
        <w:spacing w:line="240" w:lineRule="auto"/>
        <w:rPr>
          <w:b/>
          <w:sz w:val="28"/>
          <w:szCs w:val="28"/>
        </w:rPr>
      </w:pPr>
      <w:r>
        <w:rPr>
          <w:b/>
          <w:sz w:val="28"/>
          <w:szCs w:val="28"/>
        </w:rPr>
        <w:br w:type="page"/>
      </w:r>
    </w:p>
    <w:p w:rsidR="00970AC1" w:rsidRPr="0088181A" w:rsidRDefault="0088181A" w:rsidP="0042468C">
      <w:pPr>
        <w:spacing w:after="360" w:line="240" w:lineRule="auto"/>
        <w:jc w:val="center"/>
        <w:rPr>
          <w:b/>
          <w:sz w:val="28"/>
          <w:szCs w:val="28"/>
        </w:rPr>
      </w:pPr>
      <w:r w:rsidRPr="0088181A">
        <w:rPr>
          <w:b/>
          <w:sz w:val="28"/>
          <w:szCs w:val="28"/>
        </w:rPr>
        <w:lastRenderedPageBreak/>
        <w:t>ATTACHMENT 2</w:t>
      </w:r>
    </w:p>
    <w:tbl>
      <w:tblPr>
        <w:tblW w:w="10462" w:type="dxa"/>
        <w:jc w:val="center"/>
        <w:tblLook w:val="04A0" w:firstRow="1" w:lastRow="0" w:firstColumn="1" w:lastColumn="0" w:noHBand="0" w:noVBand="1"/>
      </w:tblPr>
      <w:tblGrid>
        <w:gridCol w:w="1833"/>
        <w:gridCol w:w="1910"/>
        <w:gridCol w:w="3064"/>
        <w:gridCol w:w="875"/>
        <w:gridCol w:w="696"/>
        <w:gridCol w:w="884"/>
        <w:gridCol w:w="1324"/>
      </w:tblGrid>
      <w:tr w:rsidR="0088181A" w:rsidRPr="0088181A" w:rsidTr="00605A4D">
        <w:trPr>
          <w:trHeight w:val="370"/>
          <w:jc w:val="center"/>
        </w:trPr>
        <w:tc>
          <w:tcPr>
            <w:tcW w:w="10462" w:type="dxa"/>
            <w:gridSpan w:val="7"/>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sz w:val="28"/>
                <w:szCs w:val="28"/>
              </w:rPr>
            </w:pPr>
            <w:r w:rsidRPr="0088181A">
              <w:rPr>
                <w:rFonts w:ascii="Calibri" w:eastAsia="Times New Roman" w:hAnsi="Calibri" w:cs="Times New Roman"/>
                <w:b/>
                <w:bCs/>
                <w:color w:val="000000"/>
                <w:sz w:val="28"/>
                <w:szCs w:val="28"/>
              </w:rPr>
              <w:t>Sample Products and Pricing: Environmentally Friendly Products</w:t>
            </w:r>
          </w:p>
        </w:tc>
      </w:tr>
      <w:tr w:rsidR="0088181A" w:rsidRPr="0088181A" w:rsidTr="00605A4D">
        <w:trPr>
          <w:trHeight w:val="592"/>
          <w:jc w:val="center"/>
        </w:trPr>
        <w:tc>
          <w:tcPr>
            <w:tcW w:w="10462" w:type="dxa"/>
            <w:gridSpan w:val="7"/>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r w:rsidRPr="0088181A">
              <w:rPr>
                <w:rFonts w:ascii="Calibri" w:eastAsia="Times New Roman" w:hAnsi="Calibri" w:cs="Times New Roman"/>
                <w:color w:val="000000"/>
              </w:rPr>
              <w:t>The following list of available alternatives to Foam Food Containers in no way constitutes or implies an endorsement, recommendation, or favoring by the City of Somerville of any vendor or product included. This list is updated quarterly.</w:t>
            </w:r>
          </w:p>
        </w:tc>
      </w:tr>
      <w:tr w:rsidR="0088181A" w:rsidRPr="0088181A" w:rsidTr="00605A4D">
        <w:trPr>
          <w:trHeight w:val="197"/>
          <w:jc w:val="center"/>
        </w:trPr>
        <w:tc>
          <w:tcPr>
            <w:tcW w:w="1766"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p>
        </w:tc>
        <w:tc>
          <w:tcPr>
            <w:tcW w:w="1910"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p>
        </w:tc>
        <w:tc>
          <w:tcPr>
            <w:tcW w:w="306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p>
        </w:tc>
        <w:tc>
          <w:tcPr>
            <w:tcW w:w="843"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p>
        </w:tc>
        <w:tc>
          <w:tcPr>
            <w:tcW w:w="670"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p>
        </w:tc>
        <w:tc>
          <w:tcPr>
            <w:tcW w:w="88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p>
        </w:tc>
        <w:tc>
          <w:tcPr>
            <w:tcW w:w="132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rPr>
            </w:pPr>
          </w:p>
        </w:tc>
      </w:tr>
      <w:tr w:rsidR="0088181A" w:rsidRPr="0088181A" w:rsidTr="00605A4D">
        <w:trPr>
          <w:trHeight w:val="310"/>
          <w:jc w:val="center"/>
        </w:trPr>
        <w:tc>
          <w:tcPr>
            <w:tcW w:w="1766" w:type="dxa"/>
            <w:tcBorders>
              <w:top w:val="nil"/>
              <w:left w:val="nil"/>
              <w:bottom w:val="single" w:sz="8" w:space="0" w:color="auto"/>
              <w:right w:val="nil"/>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rPr>
            </w:pPr>
            <w:r w:rsidRPr="0088181A">
              <w:rPr>
                <w:rFonts w:ascii="Calibri" w:eastAsia="Times New Roman" w:hAnsi="Calibri" w:cs="Times New Roman"/>
                <w:b/>
                <w:bCs/>
                <w:color w:val="000000"/>
              </w:rPr>
              <w:t>Product Type</w:t>
            </w:r>
          </w:p>
        </w:tc>
        <w:tc>
          <w:tcPr>
            <w:tcW w:w="1910" w:type="dxa"/>
            <w:tcBorders>
              <w:top w:val="nil"/>
              <w:left w:val="single" w:sz="4" w:space="0" w:color="auto"/>
              <w:bottom w:val="single" w:sz="8" w:space="0" w:color="auto"/>
              <w:right w:val="single" w:sz="4" w:space="0" w:color="auto"/>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rPr>
            </w:pPr>
            <w:r w:rsidRPr="0088181A">
              <w:rPr>
                <w:rFonts w:ascii="Calibri" w:eastAsia="Times New Roman" w:hAnsi="Calibri" w:cs="Times New Roman"/>
                <w:b/>
                <w:bCs/>
                <w:color w:val="000000"/>
              </w:rPr>
              <w:t>Standard Sizes</w:t>
            </w:r>
          </w:p>
        </w:tc>
        <w:tc>
          <w:tcPr>
            <w:tcW w:w="3064" w:type="dxa"/>
            <w:tcBorders>
              <w:top w:val="nil"/>
              <w:left w:val="nil"/>
              <w:bottom w:val="single" w:sz="8" w:space="0" w:color="auto"/>
              <w:right w:val="nil"/>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rPr>
            </w:pPr>
            <w:r w:rsidRPr="0088181A">
              <w:rPr>
                <w:rFonts w:ascii="Calibri" w:eastAsia="Times New Roman" w:hAnsi="Calibri" w:cs="Times New Roman"/>
                <w:b/>
                <w:bCs/>
                <w:color w:val="000000"/>
              </w:rPr>
              <w:t>Vendor Name</w:t>
            </w:r>
          </w:p>
        </w:tc>
        <w:tc>
          <w:tcPr>
            <w:tcW w:w="843" w:type="dxa"/>
            <w:tcBorders>
              <w:top w:val="nil"/>
              <w:left w:val="single" w:sz="4" w:space="0" w:color="auto"/>
              <w:bottom w:val="single" w:sz="8" w:space="0" w:color="auto"/>
              <w:right w:val="single" w:sz="4" w:space="0" w:color="auto"/>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rPr>
            </w:pPr>
            <w:r w:rsidRPr="0088181A">
              <w:rPr>
                <w:rFonts w:ascii="Calibri" w:eastAsia="Times New Roman" w:hAnsi="Calibri" w:cs="Times New Roman"/>
                <w:b/>
                <w:bCs/>
                <w:color w:val="000000"/>
              </w:rPr>
              <w:t>Price</w:t>
            </w:r>
          </w:p>
        </w:tc>
        <w:tc>
          <w:tcPr>
            <w:tcW w:w="670" w:type="dxa"/>
            <w:tcBorders>
              <w:top w:val="nil"/>
              <w:left w:val="nil"/>
              <w:bottom w:val="single" w:sz="8" w:space="0" w:color="auto"/>
              <w:right w:val="nil"/>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rPr>
            </w:pPr>
            <w:r w:rsidRPr="0088181A">
              <w:rPr>
                <w:rFonts w:ascii="Calibri" w:eastAsia="Times New Roman" w:hAnsi="Calibri" w:cs="Times New Roman"/>
                <w:b/>
                <w:bCs/>
                <w:color w:val="000000"/>
              </w:rPr>
              <w:t>Units</w:t>
            </w:r>
          </w:p>
        </w:tc>
        <w:tc>
          <w:tcPr>
            <w:tcW w:w="884" w:type="dxa"/>
            <w:tcBorders>
              <w:top w:val="nil"/>
              <w:left w:val="single" w:sz="4" w:space="0" w:color="auto"/>
              <w:bottom w:val="single" w:sz="8" w:space="0" w:color="auto"/>
              <w:right w:val="single" w:sz="4" w:space="0" w:color="auto"/>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rPr>
            </w:pPr>
            <w:r w:rsidRPr="0088181A">
              <w:rPr>
                <w:rFonts w:ascii="Calibri" w:eastAsia="Times New Roman" w:hAnsi="Calibri" w:cs="Times New Roman"/>
                <w:b/>
                <w:bCs/>
                <w:color w:val="000000"/>
              </w:rPr>
              <w:t>Unit Price</w:t>
            </w:r>
          </w:p>
        </w:tc>
        <w:tc>
          <w:tcPr>
            <w:tcW w:w="1324" w:type="dxa"/>
            <w:tcBorders>
              <w:top w:val="nil"/>
              <w:left w:val="nil"/>
              <w:bottom w:val="single" w:sz="8" w:space="0" w:color="auto"/>
              <w:right w:val="nil"/>
            </w:tcBorders>
            <w:shd w:val="clear" w:color="auto" w:fill="auto"/>
            <w:noWrap/>
            <w:vAlign w:val="bottom"/>
            <w:hideMark/>
          </w:tcPr>
          <w:p w:rsidR="0088181A" w:rsidRPr="0088181A" w:rsidRDefault="0088181A" w:rsidP="0042468C">
            <w:pPr>
              <w:spacing w:after="0" w:line="240" w:lineRule="auto"/>
              <w:jc w:val="center"/>
              <w:rPr>
                <w:rFonts w:ascii="Calibri" w:eastAsia="Times New Roman" w:hAnsi="Calibri" w:cs="Times New Roman"/>
                <w:b/>
                <w:bCs/>
                <w:color w:val="000000"/>
              </w:rPr>
            </w:pPr>
            <w:r w:rsidRPr="0088181A">
              <w:rPr>
                <w:rFonts w:ascii="Calibri" w:eastAsia="Times New Roman" w:hAnsi="Calibri" w:cs="Times New Roman"/>
                <w:b/>
                <w:bCs/>
                <w:color w:val="000000"/>
              </w:rPr>
              <w:t>Material Type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Bowl-To-Go W/ Lid</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$60.24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250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$35.71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$72.99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*Costco Online</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$10.03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175</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$83.71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$0.08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Usecoproducts.com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$22.70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$0.05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 surcharge for non-members</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Bowl-To-Go</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$102.30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Bowl-To-Go W/ Lid</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$54.31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250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$0.21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$71.30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400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$0.17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*Biomasspackagingstore.com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$95.96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Bagasse</w:t>
            </w:r>
          </w:p>
        </w:tc>
      </w:tr>
      <w:tr w:rsidR="0088181A" w:rsidRPr="0088181A" w:rsidTr="00605A4D">
        <w:trPr>
          <w:trHeight w:val="518"/>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*Discounts available for orders over $700</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*Biodegradablestore.com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$57.16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*Free shipping for order over $100.</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*Worldcentric.org</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$71.25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Wheatstraw</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*Free shipping for orders over $75.</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*Foodservicewarehouse.com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$63.29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Bagasse</w:t>
            </w:r>
          </w:p>
        </w:tc>
      </w:tr>
      <w:tr w:rsidR="0088181A" w:rsidRPr="0088181A" w:rsidTr="00605A4D">
        <w:trPr>
          <w:trHeight w:val="518"/>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*Free shipping if purchasing at least 5 cases.</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Usecoproducts.com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$62.89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Bagasse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7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*Vegware.us</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$76.02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$0.15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*Free shipping for orders over $400</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7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Usecoproducts.com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$66.59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Corn</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lastRenderedPageBreak/>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inch (3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$36.42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$0.18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inch (3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$55.99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inch (3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*Foodservicewarehouse.com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$40.69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Bagasse</w:t>
            </w:r>
          </w:p>
        </w:tc>
      </w:tr>
      <w:tr w:rsidR="0088181A" w:rsidRPr="0088181A" w:rsidTr="00605A4D">
        <w:trPr>
          <w:trHeight w:val="518"/>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*Buy at least 8 cases for free shipping and handling</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$55.80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250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PET</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$38.46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$55.99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*Foodservicewarehouse.com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$40.69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Bagasse</w:t>
            </w:r>
          </w:p>
        </w:tc>
      </w:tr>
      <w:tr w:rsidR="0088181A" w:rsidRPr="0088181A" w:rsidTr="00605A4D">
        <w:trPr>
          <w:trHeight w:val="518"/>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*Buy at least 8 cases for free shipping and handling</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 (3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$77.50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150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$0.51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PET</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 (3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$46.53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 (3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$68.90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 (3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*Foodservicewarehouse.com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$52.29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Bagasse</w:t>
            </w:r>
          </w:p>
        </w:tc>
      </w:tr>
      <w:tr w:rsidR="0088181A" w:rsidRPr="0088181A" w:rsidTr="00605A4D">
        <w:trPr>
          <w:trHeight w:val="518"/>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*Buy at least 6 cases for free shipping and handling</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$46.87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$68.90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 (1 compartment)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*Foodservicewarehouse.com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$52.29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Bagasse</w:t>
            </w:r>
          </w:p>
        </w:tc>
      </w:tr>
      <w:tr w:rsidR="0088181A" w:rsidRPr="0088181A" w:rsidTr="00605A4D">
        <w:trPr>
          <w:trHeight w:val="518"/>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*Buy at least 6 cases for free shipping and handling</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Clamshell</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Hoagie Style</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$44.10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7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$75.65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7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$63.99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$39.05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$0.07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$37.14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Cardboard</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Costco Online</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$13.38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 surcharge for non-members</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$26.63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lastRenderedPageBreak/>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$84.90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$0.08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$61.78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Cold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$71.90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$25.01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$26.66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$30.13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$0.15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$43.25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$44.74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Fiber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Kraft #1 (5x4.5x2)</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$69.99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450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$0.15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Kraft #2 (8.5x6x2)</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$64.98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$0.32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Kraft #3 (8.5x6x2.5)</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$69.99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$0.35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Kraft #4 (8.75x6.5x3.5)</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$64.99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$0.40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Kraft #5 (6.75x5.5x2.5)</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$69.99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140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$0.49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*Biodegradablestore.com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$59.37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*Biodegradablestore.com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$64.39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$0.21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*Biodegradablestore.com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$64.72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*Biodegradablestore.com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$61.40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$0.30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Box</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*Biodegradablestore.com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$65.28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$0.32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$20.83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$25.99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$0.05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$46.95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$28.17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$31.90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$46.95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32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$38.86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$0.08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32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$49.98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32 oz. (Round)</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$68.82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240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 Lid</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8-32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$16.23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Deli Container Lid</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8-32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$19.99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Plastic</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$28.51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$0.05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12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$56.90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$34.83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$68.99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$0.07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16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FoodpackagingWarehouse.com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$59.99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$0.06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$40.87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$49.98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$0.10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Hot Cup</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20 oz.</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FoodpackagingWarehouse.com</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$44.99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Plate</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7 inch</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$43.18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Plate</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7 inch</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$43.99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$0.04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Plate</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7 inch</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$137.95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$0.29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Plate</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$13.92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1000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$0.02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Paper</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Plate</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$41.99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$0.08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Plate</w:t>
            </w:r>
          </w:p>
        </w:tc>
        <w:tc>
          <w:tcPr>
            <w:tcW w:w="1910"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9 inch</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HR Supply</w:t>
            </w:r>
          </w:p>
        </w:tc>
        <w:tc>
          <w:tcPr>
            <w:tcW w:w="843"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$113.70 </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500</w:t>
            </w:r>
          </w:p>
        </w:tc>
        <w:tc>
          <w:tcPr>
            <w:tcW w:w="884" w:type="dxa"/>
            <w:tcBorders>
              <w:top w:val="nil"/>
              <w:left w:val="single" w:sz="4" w:space="0" w:color="auto"/>
              <w:bottom w:val="nil"/>
              <w:right w:val="single" w:sz="4" w:space="0" w:color="auto"/>
            </w:tcBorders>
            <w:shd w:val="clear" w:color="auto" w:fill="auto"/>
            <w:noWrap/>
            <w:vAlign w:val="bottom"/>
            <w:hideMark/>
          </w:tcPr>
          <w:p w:rsidR="0088181A" w:rsidRPr="0088181A" w:rsidRDefault="0088181A" w:rsidP="0042468C">
            <w:pPr>
              <w:spacing w:after="0" w:line="240" w:lineRule="auto"/>
              <w:jc w:val="right"/>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$0.23 </w:t>
            </w: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Compostable</w:t>
            </w: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Restaurant Depot</w:t>
            </w:r>
          </w:p>
        </w:tc>
        <w:tc>
          <w:tcPr>
            <w:tcW w:w="4974"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(82 Boston Street Everett, MA 02149)</w:t>
            </w:r>
          </w:p>
        </w:tc>
        <w:tc>
          <w:tcPr>
            <w:tcW w:w="1513"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617-889-2244</w:t>
            </w: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BMS Paper</w:t>
            </w:r>
          </w:p>
        </w:tc>
        <w:tc>
          <w:tcPr>
            <w:tcW w:w="4974"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(3390 Washington Street Boston, MA 02130)</w:t>
            </w:r>
          </w:p>
        </w:tc>
        <w:tc>
          <w:tcPr>
            <w:tcW w:w="1513"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617-522-1122</w:t>
            </w: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3676"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Costco Online: www.costco.com</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3676"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Foodpackagingwarehouse.com</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3676"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Biodegradablestore.com</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Worldcentric.org</w:t>
            </w: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Vegware.us</w:t>
            </w: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3676"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Biomasspackaginstore.com</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Usecoproducts.com</w:t>
            </w: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133"/>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8253" w:type="dxa"/>
            <w:gridSpan w:val="5"/>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*All companies also have additional environmentally-friendly products and merchandise for sale.*</w:t>
            </w: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104"/>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7583" w:type="dxa"/>
            <w:gridSpan w:val="4"/>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For additional products, quotes, estimates, and materials, check out these additional companies:</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b/>
                <w:bCs/>
                <w:color w:val="000000"/>
                <w:sz w:val="20"/>
                <w:szCs w:val="20"/>
              </w:rPr>
            </w:pPr>
            <w:r w:rsidRPr="0088181A">
              <w:rPr>
                <w:rFonts w:ascii="Calibri" w:eastAsia="Times New Roman" w:hAnsi="Calibri" w:cs="Times New Roman"/>
                <w:b/>
                <w:bCs/>
                <w:color w:val="000000"/>
                <w:sz w:val="20"/>
                <w:szCs w:val="20"/>
              </w:rPr>
              <w:t>Local Suppliers</w:t>
            </w: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b/>
                <w:bCs/>
                <w:color w:val="000000"/>
                <w:sz w:val="20"/>
                <w:szCs w:val="20"/>
              </w:rPr>
            </w:pPr>
            <w:r w:rsidRPr="0088181A">
              <w:rPr>
                <w:rFonts w:ascii="Calibri" w:eastAsia="Times New Roman" w:hAnsi="Calibri" w:cs="Times New Roman"/>
                <w:b/>
                <w:bCs/>
                <w:color w:val="000000"/>
                <w:sz w:val="20"/>
                <w:szCs w:val="20"/>
              </w:rPr>
              <w:t>Online Suppliers</w:t>
            </w: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3676"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Highland Restaurant Supply: hrsupply.net</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MrTakeOutBags.com</w:t>
            </w: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3676"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TriMark United East: trimarkusa.com</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Begreenpackaging.com</w:t>
            </w: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3676" w:type="dxa"/>
            <w:gridSpan w:val="2"/>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Packaging Specialties: pak-spec.com</w:t>
            </w: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Webstaurantstore.com</w:t>
            </w: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133"/>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6740" w:type="dxa"/>
            <w:gridSpan w:val="3"/>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 xml:space="preserve">For businesses needing any additional help on specific requests, vendor look-up, </w:t>
            </w: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6740" w:type="dxa"/>
            <w:gridSpan w:val="3"/>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or questions/concerns, please contact Max MacCarthy at 617-625-6600 x 2515</w:t>
            </w: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148"/>
          <w:jc w:val="center"/>
        </w:trPr>
        <w:tc>
          <w:tcPr>
            <w:tcW w:w="1766"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91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306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7583" w:type="dxa"/>
            <w:gridSpan w:val="4"/>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*The City of Somerville does not endorse nor encourage any specific business. This information is</w:t>
            </w: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r w:rsidR="0088181A" w:rsidRPr="0088181A" w:rsidTr="00605A4D">
        <w:trPr>
          <w:trHeight w:val="296"/>
          <w:jc w:val="center"/>
        </w:trPr>
        <w:tc>
          <w:tcPr>
            <w:tcW w:w="6740" w:type="dxa"/>
            <w:gridSpan w:val="3"/>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r w:rsidRPr="0088181A">
              <w:rPr>
                <w:rFonts w:ascii="Calibri" w:eastAsia="Times New Roman" w:hAnsi="Calibri" w:cs="Times New Roman"/>
                <w:color w:val="000000"/>
                <w:sz w:val="20"/>
                <w:szCs w:val="20"/>
              </w:rPr>
              <w:t>strictly intended to be educational for Somerville businesses.*</w:t>
            </w:r>
          </w:p>
        </w:tc>
        <w:tc>
          <w:tcPr>
            <w:tcW w:w="843"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670"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88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c>
          <w:tcPr>
            <w:tcW w:w="1324" w:type="dxa"/>
            <w:tcBorders>
              <w:top w:val="nil"/>
              <w:left w:val="nil"/>
              <w:bottom w:val="nil"/>
              <w:right w:val="nil"/>
            </w:tcBorders>
            <w:shd w:val="clear" w:color="auto" w:fill="auto"/>
            <w:noWrap/>
            <w:vAlign w:val="bottom"/>
            <w:hideMark/>
          </w:tcPr>
          <w:p w:rsidR="0088181A" w:rsidRPr="0088181A" w:rsidRDefault="0088181A" w:rsidP="0042468C">
            <w:pPr>
              <w:spacing w:after="0" w:line="240" w:lineRule="auto"/>
              <w:rPr>
                <w:rFonts w:ascii="Calibri" w:eastAsia="Times New Roman" w:hAnsi="Calibri" w:cs="Times New Roman"/>
                <w:color w:val="000000"/>
                <w:sz w:val="20"/>
                <w:szCs w:val="20"/>
              </w:rPr>
            </w:pPr>
          </w:p>
        </w:tc>
      </w:tr>
    </w:tbl>
    <w:p w:rsidR="0088181A" w:rsidRPr="0088181A" w:rsidRDefault="0088181A" w:rsidP="0042468C">
      <w:pPr>
        <w:spacing w:line="240" w:lineRule="auto"/>
        <w:jc w:val="center"/>
        <w:rPr>
          <w:b/>
          <w:sz w:val="24"/>
          <w:szCs w:val="24"/>
        </w:rPr>
      </w:pPr>
      <w:r w:rsidRPr="0088181A">
        <w:rPr>
          <w:b/>
          <w:sz w:val="24"/>
          <w:szCs w:val="24"/>
        </w:rPr>
        <w:br w:type="page"/>
      </w:r>
    </w:p>
    <w:p w:rsidR="00E235F2" w:rsidRPr="00E235F2" w:rsidRDefault="00E235F2" w:rsidP="0042468C">
      <w:pPr>
        <w:spacing w:line="240" w:lineRule="auto"/>
        <w:jc w:val="center"/>
        <w:rPr>
          <w:b/>
          <w:sz w:val="24"/>
          <w:szCs w:val="24"/>
        </w:rPr>
      </w:pPr>
      <w:r w:rsidRPr="00E235F2">
        <w:rPr>
          <w:b/>
          <w:sz w:val="24"/>
          <w:szCs w:val="24"/>
        </w:rPr>
        <w:lastRenderedPageBreak/>
        <w:t xml:space="preserve">ATTACHMENT </w:t>
      </w:r>
      <w:r w:rsidR="00317E22">
        <w:rPr>
          <w:b/>
          <w:sz w:val="24"/>
          <w:szCs w:val="24"/>
        </w:rPr>
        <w:t>3</w:t>
      </w:r>
    </w:p>
    <w:p w:rsidR="00DA23F2" w:rsidRPr="00DA23F2" w:rsidRDefault="004C7F2C" w:rsidP="00802F23">
      <w:pPr>
        <w:spacing w:after="0" w:line="240" w:lineRule="auto"/>
        <w:jc w:val="center"/>
        <w:rPr>
          <w:b/>
        </w:rPr>
      </w:pPr>
      <w:r>
        <w:rPr>
          <w:b/>
        </w:rPr>
        <w:t>POLYSTYRENE</w:t>
      </w:r>
      <w:r w:rsidR="00DA23F2" w:rsidRPr="00DA23F2">
        <w:rPr>
          <w:b/>
        </w:rPr>
        <w:t xml:space="preserve"> WASTE REDUCTION: KEY PARAMETERS AND ASSOCIATED RANGE OF OPTIONS</w:t>
      </w:r>
    </w:p>
    <w:p w:rsidR="00DA23F2" w:rsidRPr="00DA23F2" w:rsidRDefault="00DA23F2" w:rsidP="00802F23">
      <w:pPr>
        <w:spacing w:after="120" w:line="240" w:lineRule="auto"/>
        <w:jc w:val="center"/>
      </w:pPr>
      <w:r w:rsidRPr="00DA23F2">
        <w:t>November 19, 2015/Revised November 23, 2015</w:t>
      </w:r>
    </w:p>
    <w:p w:rsidR="00DA23F2" w:rsidRPr="00DA23F2" w:rsidRDefault="00DA23F2" w:rsidP="0042468C">
      <w:pPr>
        <w:spacing w:line="240" w:lineRule="auto"/>
      </w:pPr>
      <w:r w:rsidRPr="00DA23F2">
        <w:t>Ten Massachusetts municipalities have acted to minimize waste from expanded polystyrene, nine by municipal by-law/code and one by Board of Health regulation. Th</w:t>
      </w:r>
      <w:r w:rsidR="004A2D57">
        <w:t xml:space="preserve">is </w:t>
      </w:r>
      <w:r w:rsidRPr="00DA23F2">
        <w:t>table identifies the key parameters included and their range</w:t>
      </w:r>
      <w:r w:rsidR="00802F23">
        <w:t xml:space="preserve"> (western Massachusetts municipalities are </w:t>
      </w:r>
      <w:r w:rsidR="00802F23" w:rsidRPr="00802F23">
        <w:rPr>
          <w:highlight w:val="yellow"/>
        </w:rPr>
        <w:t>highlighted)</w:t>
      </w:r>
      <w:r w:rsidRPr="00DA23F2">
        <w:t>.</w:t>
      </w:r>
    </w:p>
    <w:tbl>
      <w:tblPr>
        <w:tblStyle w:val="TableGrid"/>
        <w:tblW w:w="0" w:type="auto"/>
        <w:jc w:val="center"/>
        <w:tblLook w:val="04A0" w:firstRow="1" w:lastRow="0" w:firstColumn="1" w:lastColumn="0" w:noHBand="0" w:noVBand="1"/>
      </w:tblPr>
      <w:tblGrid>
        <w:gridCol w:w="1873"/>
        <w:gridCol w:w="7560"/>
      </w:tblGrid>
      <w:tr w:rsidR="00DA23F2" w:rsidRPr="00DA23F2" w:rsidTr="00DA23F2">
        <w:trPr>
          <w:jc w:val="center"/>
        </w:trPr>
        <w:tc>
          <w:tcPr>
            <w:tcW w:w="1873" w:type="dxa"/>
          </w:tcPr>
          <w:p w:rsidR="00DA23F2" w:rsidRPr="00DA23F2" w:rsidRDefault="00DA23F2" w:rsidP="0042468C">
            <w:pPr>
              <w:jc w:val="center"/>
              <w:rPr>
                <w:b/>
              </w:rPr>
            </w:pPr>
            <w:r w:rsidRPr="00DA23F2">
              <w:rPr>
                <w:b/>
              </w:rPr>
              <w:t>Parameter</w:t>
            </w:r>
          </w:p>
        </w:tc>
        <w:tc>
          <w:tcPr>
            <w:tcW w:w="7560" w:type="dxa"/>
          </w:tcPr>
          <w:p w:rsidR="00DA23F2" w:rsidRPr="00DA23F2" w:rsidRDefault="00DA23F2" w:rsidP="0042468C">
            <w:pPr>
              <w:jc w:val="center"/>
              <w:rPr>
                <w:b/>
              </w:rPr>
            </w:pPr>
            <w:r w:rsidRPr="00DA23F2">
              <w:rPr>
                <w:b/>
              </w:rPr>
              <w:t>Specifics and Municipality/ies</w:t>
            </w:r>
          </w:p>
        </w:tc>
      </w:tr>
      <w:tr w:rsidR="00DA23F2" w:rsidRPr="00DA23F2" w:rsidTr="00DA23F2">
        <w:trPr>
          <w:jc w:val="center"/>
        </w:trPr>
        <w:tc>
          <w:tcPr>
            <w:tcW w:w="1873" w:type="dxa"/>
          </w:tcPr>
          <w:p w:rsidR="00DA23F2" w:rsidRPr="00DA23F2" w:rsidRDefault="00DA23F2" w:rsidP="0042468C">
            <w:r w:rsidRPr="00DA23F2">
              <w:t>Definitions</w:t>
            </w:r>
          </w:p>
        </w:tc>
        <w:tc>
          <w:tcPr>
            <w:tcW w:w="7560" w:type="dxa"/>
          </w:tcPr>
          <w:p w:rsidR="00DA23F2" w:rsidRPr="00DA23F2" w:rsidRDefault="00DA23F2" w:rsidP="0042468C">
            <w:r w:rsidRPr="00802F23">
              <w:rPr>
                <w:highlight w:val="yellow"/>
              </w:rPr>
              <w:t>Pittsfield</w:t>
            </w:r>
            <w:r w:rsidRPr="00DA23F2">
              <w:t xml:space="preserve"> (</w:t>
            </w:r>
            <w:r w:rsidR="004A2D57">
              <w:t xml:space="preserve">most others </w:t>
            </w:r>
            <w:r w:rsidRPr="00DA23F2">
              <w:t>include many of these)</w:t>
            </w:r>
          </w:p>
          <w:p w:rsidR="00DA23F2" w:rsidRPr="00DA23F2" w:rsidRDefault="00DA23F2" w:rsidP="0042468C">
            <w:pPr>
              <w:numPr>
                <w:ilvl w:val="0"/>
                <w:numId w:val="3"/>
              </w:numPr>
            </w:pPr>
            <w:r w:rsidRPr="00DA23F2">
              <w:t>Biodegradable Food Service Container</w:t>
            </w:r>
          </w:p>
          <w:p w:rsidR="00DA23F2" w:rsidRPr="00DA23F2" w:rsidRDefault="00DA23F2" w:rsidP="0042468C">
            <w:pPr>
              <w:numPr>
                <w:ilvl w:val="0"/>
                <w:numId w:val="3"/>
              </w:numPr>
            </w:pPr>
            <w:r w:rsidRPr="00DA23F2">
              <w:t>Disposable Food [Service] Container (South Hadley itemized the most)</w:t>
            </w:r>
          </w:p>
          <w:p w:rsidR="00DA23F2" w:rsidRPr="00DA23F2" w:rsidRDefault="00DA23F2" w:rsidP="0042468C">
            <w:pPr>
              <w:numPr>
                <w:ilvl w:val="0"/>
                <w:numId w:val="3"/>
              </w:numPr>
            </w:pPr>
            <w:r w:rsidRPr="00DA23F2">
              <w:t>City (or Town) Facility</w:t>
            </w:r>
          </w:p>
          <w:p w:rsidR="00DA23F2" w:rsidRPr="00DA23F2" w:rsidRDefault="00DA23F2" w:rsidP="0042468C">
            <w:pPr>
              <w:numPr>
                <w:ilvl w:val="0"/>
                <w:numId w:val="3"/>
              </w:numPr>
            </w:pPr>
            <w:r w:rsidRPr="00DA23F2">
              <w:t>City (or Town) Facility User</w:t>
            </w:r>
          </w:p>
          <w:p w:rsidR="00DA23F2" w:rsidRPr="00DA23F2" w:rsidRDefault="00DA23F2" w:rsidP="0042468C">
            <w:pPr>
              <w:numPr>
                <w:ilvl w:val="0"/>
                <w:numId w:val="3"/>
              </w:numPr>
            </w:pPr>
            <w:r w:rsidRPr="00DA23F2">
              <w:rPr>
                <w:rFonts w:eastAsia="Times New Roman" w:cs="Times New Roman"/>
              </w:rPr>
              <w:t>Expanded Polystyrene (EPS)</w:t>
            </w:r>
          </w:p>
          <w:p w:rsidR="00DA23F2" w:rsidRPr="00DA23F2" w:rsidRDefault="00DA23F2" w:rsidP="0042468C">
            <w:pPr>
              <w:numPr>
                <w:ilvl w:val="0"/>
                <w:numId w:val="3"/>
              </w:numPr>
            </w:pPr>
            <w:r w:rsidRPr="00DA23F2">
              <w:rPr>
                <w:rFonts w:eastAsia="Times New Roman" w:cs="Times New Roman"/>
              </w:rPr>
              <w:t>Food Establishment</w:t>
            </w:r>
          </w:p>
          <w:p w:rsidR="00DA23F2" w:rsidRPr="00DA23F2" w:rsidRDefault="00DA23F2" w:rsidP="0042468C">
            <w:pPr>
              <w:numPr>
                <w:ilvl w:val="0"/>
                <w:numId w:val="3"/>
              </w:numPr>
            </w:pPr>
            <w:r w:rsidRPr="00DA23F2">
              <w:t>Polystyrene</w:t>
            </w:r>
          </w:p>
          <w:p w:rsidR="00DA23F2" w:rsidRPr="00DA23F2" w:rsidRDefault="00DA23F2" w:rsidP="0042468C">
            <w:pPr>
              <w:numPr>
                <w:ilvl w:val="0"/>
                <w:numId w:val="3"/>
              </w:numPr>
            </w:pPr>
            <w:r w:rsidRPr="00DA23F2">
              <w:t>Prepared Food</w:t>
            </w:r>
          </w:p>
          <w:p w:rsidR="00DA23F2" w:rsidRPr="00DA23F2" w:rsidRDefault="00DA23F2" w:rsidP="0042468C">
            <w:pPr>
              <w:numPr>
                <w:ilvl w:val="0"/>
                <w:numId w:val="3"/>
              </w:numPr>
            </w:pPr>
            <w:r w:rsidRPr="00DA23F2">
              <w:t>Recyclable Food Service Container</w:t>
            </w:r>
          </w:p>
          <w:p w:rsidR="00DA23F2" w:rsidRPr="00DA23F2" w:rsidRDefault="00DA23F2" w:rsidP="0042468C">
            <w:r w:rsidRPr="00DA23F2">
              <w:t>Plus…</w:t>
            </w:r>
            <w:r w:rsidRPr="00802F23">
              <w:rPr>
                <w:highlight w:val="yellow"/>
              </w:rPr>
              <w:t>Williamstown</w:t>
            </w:r>
            <w:r w:rsidRPr="00DA23F2">
              <w:t>:</w:t>
            </w:r>
          </w:p>
          <w:p w:rsidR="00DA23F2" w:rsidRPr="00DA23F2" w:rsidRDefault="00DA23F2" w:rsidP="0042468C">
            <w:pPr>
              <w:numPr>
                <w:ilvl w:val="0"/>
                <w:numId w:val="3"/>
              </w:numPr>
            </w:pPr>
            <w:r w:rsidRPr="00DA23F2">
              <w:t>ASTM Standard (D6400, D6868, and D7081)</w:t>
            </w:r>
          </w:p>
          <w:p w:rsidR="00DA23F2" w:rsidRPr="00DA23F2" w:rsidRDefault="00DA23F2" w:rsidP="0042468C">
            <w:pPr>
              <w:numPr>
                <w:ilvl w:val="0"/>
                <w:numId w:val="3"/>
              </w:numPr>
            </w:pPr>
            <w:r w:rsidRPr="00DA23F2">
              <w:t>Compostable</w:t>
            </w:r>
          </w:p>
          <w:p w:rsidR="00DA23F2" w:rsidRPr="00DA23F2" w:rsidRDefault="00DA23F2" w:rsidP="0042468C">
            <w:pPr>
              <w:numPr>
                <w:ilvl w:val="0"/>
                <w:numId w:val="3"/>
              </w:numPr>
            </w:pPr>
            <w:r w:rsidRPr="00DA23F2">
              <w:t>Disposable Food Service Ware – goes well beyond containers</w:t>
            </w:r>
          </w:p>
          <w:p w:rsidR="00DA23F2" w:rsidRPr="00DA23F2" w:rsidRDefault="00DA23F2" w:rsidP="0042468C">
            <w:pPr>
              <w:numPr>
                <w:ilvl w:val="0"/>
                <w:numId w:val="3"/>
              </w:numPr>
            </w:pPr>
            <w:r w:rsidRPr="00DA23F2">
              <w:t>Polystyrene Loose Fill Packaging</w:t>
            </w:r>
          </w:p>
          <w:p w:rsidR="00DA23F2" w:rsidRPr="00DA23F2" w:rsidRDefault="00DA23F2" w:rsidP="0042468C">
            <w:pPr>
              <w:numPr>
                <w:ilvl w:val="0"/>
                <w:numId w:val="3"/>
              </w:numPr>
            </w:pPr>
            <w:r w:rsidRPr="00DA23F2">
              <w:t xml:space="preserve">Recyclable </w:t>
            </w:r>
          </w:p>
          <w:p w:rsidR="00DA23F2" w:rsidRPr="00DA23F2" w:rsidRDefault="00DA23F2" w:rsidP="0042468C">
            <w:pPr>
              <w:numPr>
                <w:ilvl w:val="0"/>
                <w:numId w:val="3"/>
              </w:numPr>
            </w:pPr>
            <w:r w:rsidRPr="00DA23F2">
              <w:t>Retail Establishment – broadest definition</w:t>
            </w:r>
          </w:p>
          <w:p w:rsidR="00DA23F2" w:rsidRPr="00DA23F2" w:rsidRDefault="00DA23F2" w:rsidP="0042468C">
            <w:pPr>
              <w:numPr>
                <w:ilvl w:val="0"/>
                <w:numId w:val="3"/>
              </w:numPr>
            </w:pPr>
            <w:r w:rsidRPr="00DA23F2">
              <w:t xml:space="preserve">Reusable </w:t>
            </w:r>
          </w:p>
          <w:p w:rsidR="00DA23F2" w:rsidRPr="00DA23F2" w:rsidRDefault="00DA23F2" w:rsidP="0042468C">
            <w:r w:rsidRPr="00DA23F2">
              <w:t>Plus others:</w:t>
            </w:r>
          </w:p>
          <w:p w:rsidR="00DA23F2" w:rsidRPr="00DA23F2" w:rsidRDefault="00DA23F2" w:rsidP="0042468C">
            <w:pPr>
              <w:numPr>
                <w:ilvl w:val="0"/>
                <w:numId w:val="3"/>
              </w:numPr>
            </w:pPr>
            <w:r w:rsidRPr="00DA23F2">
              <w:t>Restaurant – on- or off-premises consumption, so similar to Food Establishment (Hamilton, Marblehead)</w:t>
            </w:r>
          </w:p>
          <w:p w:rsidR="00DA23F2" w:rsidRPr="00DA23F2" w:rsidRDefault="00DA23F2" w:rsidP="0042468C">
            <w:pPr>
              <w:numPr>
                <w:ilvl w:val="0"/>
                <w:numId w:val="3"/>
              </w:numPr>
            </w:pPr>
            <w:r w:rsidRPr="00DA23F2">
              <w:t>Retail Food Establishment – solely off-premises consumption (Hamilton, Marblehead)</w:t>
            </w:r>
          </w:p>
          <w:p w:rsidR="00DA23F2" w:rsidRPr="00DA23F2" w:rsidRDefault="00DA23F2" w:rsidP="0042468C">
            <w:pPr>
              <w:numPr>
                <w:ilvl w:val="0"/>
                <w:numId w:val="3"/>
              </w:numPr>
            </w:pPr>
            <w:r w:rsidRPr="00DA23F2">
              <w:t>Styrene (</w:t>
            </w:r>
            <w:r w:rsidRPr="00802F23">
              <w:rPr>
                <w:highlight w:val="yellow"/>
              </w:rPr>
              <w:t>South Hadley</w:t>
            </w:r>
            <w:r w:rsidRPr="00DA23F2">
              <w:t>)</w:t>
            </w:r>
          </w:p>
        </w:tc>
      </w:tr>
      <w:tr w:rsidR="00DA23F2" w:rsidRPr="00DA23F2" w:rsidTr="00DA23F2">
        <w:trPr>
          <w:jc w:val="center"/>
        </w:trPr>
        <w:tc>
          <w:tcPr>
            <w:tcW w:w="1873" w:type="dxa"/>
          </w:tcPr>
          <w:p w:rsidR="00DA23F2" w:rsidRPr="00DA23F2" w:rsidRDefault="00DA23F2" w:rsidP="0042468C">
            <w:r w:rsidRPr="00DA23F2">
              <w:t>Regulations</w:t>
            </w:r>
          </w:p>
        </w:tc>
        <w:tc>
          <w:tcPr>
            <w:tcW w:w="7560" w:type="dxa"/>
          </w:tcPr>
          <w:p w:rsidR="00DA23F2" w:rsidRPr="00DA23F2" w:rsidRDefault="00DA23F2" w:rsidP="0042468C">
            <w:pPr>
              <w:numPr>
                <w:ilvl w:val="0"/>
                <w:numId w:val="4"/>
              </w:numPr>
            </w:pPr>
            <w:r w:rsidRPr="00DA23F2">
              <w:t>Prohibits use, purchase, sale, distribution, etc. of containers made from polystyrene or expanded polystyrene by Food Establishments (</w:t>
            </w:r>
            <w:r w:rsidRPr="00802F23">
              <w:rPr>
                <w:highlight w:val="yellow"/>
              </w:rPr>
              <w:t>South Hadley</w:t>
            </w:r>
            <w:r w:rsidRPr="00DA23F2">
              <w:t>)</w:t>
            </w:r>
          </w:p>
          <w:p w:rsidR="00DA23F2" w:rsidRPr="00DA23F2" w:rsidRDefault="00DA23F2" w:rsidP="0042468C">
            <w:pPr>
              <w:numPr>
                <w:ilvl w:val="0"/>
                <w:numId w:val="4"/>
              </w:numPr>
            </w:pPr>
            <w:r w:rsidRPr="00DA23F2">
              <w:t>Expands the prohibition specifically rigid polystyrene and to all retail establishments (</w:t>
            </w:r>
            <w:r w:rsidRPr="00802F23">
              <w:rPr>
                <w:highlight w:val="yellow"/>
              </w:rPr>
              <w:t>Williamstown</w:t>
            </w:r>
            <w:r w:rsidRPr="00DA23F2">
              <w:t>)</w:t>
            </w:r>
          </w:p>
          <w:p w:rsidR="00DA23F2" w:rsidRPr="00DA23F2" w:rsidRDefault="00DA23F2" w:rsidP="0042468C">
            <w:pPr>
              <w:numPr>
                <w:ilvl w:val="0"/>
                <w:numId w:val="4"/>
              </w:numPr>
            </w:pPr>
            <w:r w:rsidRPr="00DA23F2">
              <w:t>Expands the prohibition to the use of food containers that are not biodegradable or recyclable (</w:t>
            </w:r>
            <w:r w:rsidRPr="00802F23">
              <w:rPr>
                <w:highlight w:val="yellow"/>
              </w:rPr>
              <w:t>Pit</w:t>
            </w:r>
            <w:r w:rsidR="004A2D57" w:rsidRPr="00802F23">
              <w:rPr>
                <w:highlight w:val="yellow"/>
              </w:rPr>
              <w:t>t</w:t>
            </w:r>
            <w:r w:rsidRPr="00802F23">
              <w:rPr>
                <w:highlight w:val="yellow"/>
              </w:rPr>
              <w:t>sfield</w:t>
            </w:r>
            <w:r w:rsidRPr="00DA23F2">
              <w:t>) or compostable or reusable (</w:t>
            </w:r>
            <w:r w:rsidRPr="00802F23">
              <w:rPr>
                <w:highlight w:val="yellow"/>
              </w:rPr>
              <w:t>Williamstown</w:t>
            </w:r>
            <w:r w:rsidRPr="00DA23F2">
              <w:t>)</w:t>
            </w:r>
          </w:p>
          <w:p w:rsidR="00DA23F2" w:rsidRPr="00DA23F2" w:rsidRDefault="00DA23F2" w:rsidP="0042468C">
            <w:pPr>
              <w:numPr>
                <w:ilvl w:val="0"/>
                <w:numId w:val="4"/>
              </w:numPr>
            </w:pPr>
            <w:r w:rsidRPr="00DA23F2">
              <w:t>Expands the prohibition to municipal department and agencies (Somerville)</w:t>
            </w:r>
          </w:p>
          <w:p w:rsidR="00DA23F2" w:rsidRPr="00DA23F2" w:rsidRDefault="00DA23F2" w:rsidP="0042468C">
            <w:pPr>
              <w:numPr>
                <w:ilvl w:val="0"/>
                <w:numId w:val="4"/>
              </w:numPr>
            </w:pPr>
            <w:r w:rsidRPr="00DA23F2">
              <w:t>Expands the prohibition to City/Town Facility Users (</w:t>
            </w:r>
            <w:r w:rsidRPr="00802F23">
              <w:rPr>
                <w:highlight w:val="yellow"/>
              </w:rPr>
              <w:t>Amherst</w:t>
            </w:r>
            <w:r w:rsidRPr="00DA23F2">
              <w:t xml:space="preserve">, </w:t>
            </w:r>
            <w:r w:rsidRPr="00802F23">
              <w:rPr>
                <w:highlight w:val="yellow"/>
              </w:rPr>
              <w:t>Pittsfield</w:t>
            </w:r>
            <w:r w:rsidRPr="00DA23F2">
              <w:t>, Somerville – perhaps broadest)</w:t>
            </w:r>
          </w:p>
          <w:p w:rsidR="00DA23F2" w:rsidRPr="00DA23F2" w:rsidRDefault="00DA23F2" w:rsidP="0042468C">
            <w:pPr>
              <w:numPr>
                <w:ilvl w:val="0"/>
                <w:numId w:val="4"/>
              </w:numPr>
            </w:pPr>
            <w:r w:rsidRPr="00DA23F2">
              <w:t>Encourages the use of reusable rather than disposable ware (</w:t>
            </w:r>
            <w:r w:rsidRPr="00802F23">
              <w:rPr>
                <w:highlight w:val="yellow"/>
              </w:rPr>
              <w:t>Williamstown</w:t>
            </w:r>
            <w:r w:rsidRPr="00DA23F2">
              <w:t>)</w:t>
            </w:r>
          </w:p>
          <w:p w:rsidR="00DA23F2" w:rsidRPr="00DA23F2" w:rsidRDefault="00DA23F2" w:rsidP="0042468C">
            <w:pPr>
              <w:numPr>
                <w:ilvl w:val="0"/>
                <w:numId w:val="3"/>
              </w:numPr>
            </w:pPr>
            <w:r w:rsidRPr="00DA23F2">
              <w:t>Prohibits the sale and dispensing by manufacturers of Polystyrene Loose Fill Packaging (</w:t>
            </w:r>
            <w:r w:rsidRPr="00802F23">
              <w:rPr>
                <w:highlight w:val="yellow"/>
              </w:rPr>
              <w:t>Williamstown</w:t>
            </w:r>
            <w:r w:rsidRPr="00DA23F2">
              <w:t>)</w:t>
            </w:r>
          </w:p>
        </w:tc>
      </w:tr>
    </w:tbl>
    <w:p w:rsidR="00DA23F2" w:rsidRDefault="00DA23F2" w:rsidP="0042468C">
      <w:pPr>
        <w:spacing w:line="240" w:lineRule="auto"/>
      </w:pPr>
      <w:r>
        <w:br w:type="page"/>
      </w:r>
    </w:p>
    <w:p w:rsidR="004A2D57" w:rsidRDefault="004A2D57" w:rsidP="0042468C">
      <w:pPr>
        <w:spacing w:line="240" w:lineRule="auto"/>
      </w:pPr>
    </w:p>
    <w:tbl>
      <w:tblPr>
        <w:tblStyle w:val="TableGrid"/>
        <w:tblW w:w="0" w:type="auto"/>
        <w:jc w:val="center"/>
        <w:tblLook w:val="04A0" w:firstRow="1" w:lastRow="0" w:firstColumn="1" w:lastColumn="0" w:noHBand="0" w:noVBand="1"/>
      </w:tblPr>
      <w:tblGrid>
        <w:gridCol w:w="1873"/>
        <w:gridCol w:w="7560"/>
      </w:tblGrid>
      <w:tr w:rsidR="00DA23F2" w:rsidRPr="00DA23F2" w:rsidTr="00DA23F2">
        <w:trPr>
          <w:jc w:val="center"/>
        </w:trPr>
        <w:tc>
          <w:tcPr>
            <w:tcW w:w="1873" w:type="dxa"/>
          </w:tcPr>
          <w:p w:rsidR="00DA23F2" w:rsidRPr="00DA23F2" w:rsidRDefault="00DA23F2" w:rsidP="0042468C">
            <w:pPr>
              <w:jc w:val="center"/>
              <w:rPr>
                <w:b/>
              </w:rPr>
            </w:pPr>
            <w:r w:rsidRPr="00DA23F2">
              <w:rPr>
                <w:b/>
              </w:rPr>
              <w:t>Parameter</w:t>
            </w:r>
          </w:p>
        </w:tc>
        <w:tc>
          <w:tcPr>
            <w:tcW w:w="7560" w:type="dxa"/>
          </w:tcPr>
          <w:p w:rsidR="00DA23F2" w:rsidRPr="00DA23F2" w:rsidRDefault="00DA23F2" w:rsidP="0042468C">
            <w:pPr>
              <w:jc w:val="center"/>
              <w:rPr>
                <w:b/>
              </w:rPr>
            </w:pPr>
            <w:r w:rsidRPr="00DA23F2">
              <w:rPr>
                <w:b/>
              </w:rPr>
              <w:t>Specifics and Municipality/ies</w:t>
            </w:r>
          </w:p>
        </w:tc>
      </w:tr>
      <w:tr w:rsidR="00DA23F2" w:rsidRPr="00DA23F2" w:rsidTr="00DA23F2">
        <w:trPr>
          <w:jc w:val="center"/>
        </w:trPr>
        <w:tc>
          <w:tcPr>
            <w:tcW w:w="1873" w:type="dxa"/>
          </w:tcPr>
          <w:p w:rsidR="00DA23F2" w:rsidRPr="00DA23F2" w:rsidRDefault="00DA23F2" w:rsidP="0042468C">
            <w:r w:rsidRPr="00DA23F2">
              <w:t>Alternatives</w:t>
            </w:r>
          </w:p>
        </w:tc>
        <w:tc>
          <w:tcPr>
            <w:tcW w:w="7560" w:type="dxa"/>
          </w:tcPr>
          <w:p w:rsidR="00DA23F2" w:rsidRPr="00DA23F2" w:rsidRDefault="00DA23F2" w:rsidP="0042468C">
            <w:pPr>
              <w:numPr>
                <w:ilvl w:val="0"/>
                <w:numId w:val="3"/>
              </w:numPr>
            </w:pPr>
            <w:r w:rsidRPr="00DA23F2">
              <w:t>Published and updated list of acceptable alternatives by responsible agency (Hamilton, Marblehead, Somerville)</w:t>
            </w:r>
          </w:p>
        </w:tc>
      </w:tr>
      <w:tr w:rsidR="00DA23F2" w:rsidRPr="00DA23F2" w:rsidTr="00DA23F2">
        <w:trPr>
          <w:jc w:val="center"/>
        </w:trPr>
        <w:tc>
          <w:tcPr>
            <w:tcW w:w="1873" w:type="dxa"/>
          </w:tcPr>
          <w:p w:rsidR="00DA23F2" w:rsidRPr="00DA23F2" w:rsidRDefault="00DA23F2" w:rsidP="0042468C">
            <w:r w:rsidRPr="00DA23F2">
              <w:t>Exemptions</w:t>
            </w:r>
          </w:p>
        </w:tc>
        <w:tc>
          <w:tcPr>
            <w:tcW w:w="7560" w:type="dxa"/>
          </w:tcPr>
          <w:p w:rsidR="00DA23F2" w:rsidRPr="00DA23F2" w:rsidRDefault="00DA23F2" w:rsidP="0042468C">
            <w:pPr>
              <w:numPr>
                <w:ilvl w:val="0"/>
                <w:numId w:val="3"/>
              </w:numPr>
            </w:pPr>
            <w:r w:rsidRPr="00DA23F2">
              <w:t xml:space="preserve">Packaging for unprepared </w:t>
            </w:r>
            <w:r w:rsidR="004A2D57">
              <w:t xml:space="preserve">food </w:t>
            </w:r>
            <w:r w:rsidRPr="00DA23F2">
              <w:t xml:space="preserve"> (</w:t>
            </w:r>
            <w:r w:rsidRPr="00802F23">
              <w:rPr>
                <w:highlight w:val="yellow"/>
              </w:rPr>
              <w:t>South Hadley</w:t>
            </w:r>
            <w:r w:rsidR="004A2D57">
              <w:t>)</w:t>
            </w:r>
            <w:r w:rsidRPr="00DA23F2">
              <w:t xml:space="preserve"> </w:t>
            </w:r>
            <w:r w:rsidR="004A2D57" w:rsidRPr="00DA23F2">
              <w:t>(</w:t>
            </w:r>
            <w:r w:rsidR="004A2D57">
              <w:t>many</w:t>
            </w:r>
            <w:r w:rsidR="004A2D57" w:rsidRPr="00DA23F2">
              <w:t xml:space="preserve"> refer </w:t>
            </w:r>
            <w:r w:rsidR="004A2D57">
              <w:t xml:space="preserve">specifically </w:t>
            </w:r>
            <w:r w:rsidR="004A2D57" w:rsidRPr="00DA23F2">
              <w:t>to uncooked or raw meat, fish, or eggs)</w:t>
            </w:r>
          </w:p>
          <w:p w:rsidR="00DA23F2" w:rsidRPr="00DA23F2" w:rsidRDefault="00DA23F2" w:rsidP="0042468C">
            <w:pPr>
              <w:numPr>
                <w:ilvl w:val="0"/>
                <w:numId w:val="3"/>
              </w:numPr>
            </w:pPr>
            <w:r w:rsidRPr="00DA23F2">
              <w:t>Straws, cup lids, and utensils (</w:t>
            </w:r>
            <w:r w:rsidRPr="00802F23">
              <w:rPr>
                <w:highlight w:val="yellow"/>
              </w:rPr>
              <w:t>South Hadley</w:t>
            </w:r>
            <w:r w:rsidR="004A2D57">
              <w:t>)</w:t>
            </w:r>
            <w:r w:rsidRPr="00DA23F2">
              <w:t xml:space="preserve"> </w:t>
            </w:r>
          </w:p>
          <w:p w:rsidR="00DA23F2" w:rsidRPr="00DA23F2" w:rsidRDefault="00DA23F2" w:rsidP="0042468C">
            <w:pPr>
              <w:numPr>
                <w:ilvl w:val="0"/>
                <w:numId w:val="3"/>
              </w:numPr>
            </w:pPr>
            <w:r w:rsidRPr="00DA23F2">
              <w:t>Food prepared or packaged outside of the municipality (Williamstown)</w:t>
            </w:r>
          </w:p>
          <w:p w:rsidR="00DA23F2" w:rsidRPr="00DA23F2" w:rsidRDefault="00DA23F2" w:rsidP="0042468C">
            <w:pPr>
              <w:numPr>
                <w:ilvl w:val="0"/>
                <w:numId w:val="3"/>
              </w:numPr>
            </w:pPr>
            <w:r w:rsidRPr="00DA23F2">
              <w:t>On a case-by-case basis where a suitable alternative doesn’t exist (</w:t>
            </w:r>
            <w:r w:rsidRPr="00802F23">
              <w:rPr>
                <w:highlight w:val="yellow"/>
              </w:rPr>
              <w:t>Williamstown</w:t>
            </w:r>
            <w:r w:rsidR="004A2D57">
              <w:t>)</w:t>
            </w:r>
          </w:p>
          <w:p w:rsidR="00DA23F2" w:rsidRPr="00DA23F2" w:rsidRDefault="00DA23F2" w:rsidP="0042468C">
            <w:pPr>
              <w:numPr>
                <w:ilvl w:val="0"/>
                <w:numId w:val="3"/>
              </w:numPr>
            </w:pPr>
            <w:r w:rsidRPr="00DA23F2">
              <w:t>Coolers and ice chests intended for reuse (</w:t>
            </w:r>
            <w:r w:rsidRPr="00802F23">
              <w:rPr>
                <w:highlight w:val="yellow"/>
              </w:rPr>
              <w:t>Williamstown</w:t>
            </w:r>
            <w:r w:rsidRPr="00DA23F2">
              <w:t>)</w:t>
            </w:r>
          </w:p>
          <w:p w:rsidR="00DA23F2" w:rsidRPr="00DA23F2" w:rsidRDefault="00DA23F2" w:rsidP="0042468C">
            <w:pPr>
              <w:numPr>
                <w:ilvl w:val="0"/>
                <w:numId w:val="3"/>
              </w:numPr>
            </w:pPr>
            <w:r w:rsidRPr="00DA23F2">
              <w:t>Personal use (Somerville)</w:t>
            </w:r>
          </w:p>
        </w:tc>
      </w:tr>
      <w:tr w:rsidR="00DA23F2" w:rsidRPr="00DA23F2" w:rsidTr="00DA23F2">
        <w:trPr>
          <w:jc w:val="center"/>
        </w:trPr>
        <w:tc>
          <w:tcPr>
            <w:tcW w:w="1873" w:type="dxa"/>
          </w:tcPr>
          <w:p w:rsidR="00DA23F2" w:rsidRPr="00DA23F2" w:rsidRDefault="00DA23F2" w:rsidP="0042468C">
            <w:r w:rsidRPr="00DA23F2">
              <w:t>Deferment/waiver</w:t>
            </w:r>
          </w:p>
        </w:tc>
        <w:tc>
          <w:tcPr>
            <w:tcW w:w="7560" w:type="dxa"/>
          </w:tcPr>
          <w:p w:rsidR="00DA23F2" w:rsidRPr="00DA23F2" w:rsidRDefault="00DA23F2" w:rsidP="0042468C">
            <w:pPr>
              <w:numPr>
                <w:ilvl w:val="0"/>
                <w:numId w:val="5"/>
              </w:numPr>
            </w:pPr>
            <w:r w:rsidRPr="00DA23F2">
              <w:t>When compliance imposes undue hardship – typically up to one-year at a time (Brookline’s is six months) (</w:t>
            </w:r>
            <w:r w:rsidRPr="00802F23">
              <w:rPr>
                <w:highlight w:val="yellow"/>
              </w:rPr>
              <w:t>Amherst</w:t>
            </w:r>
            <w:r w:rsidRPr="00DA23F2">
              <w:t xml:space="preserve">, Brookline, </w:t>
            </w:r>
            <w:r w:rsidRPr="00802F23">
              <w:rPr>
                <w:highlight w:val="yellow"/>
              </w:rPr>
              <w:t>Pittsfield</w:t>
            </w:r>
            <w:r w:rsidRPr="00DA23F2">
              <w:t xml:space="preserve">, </w:t>
            </w:r>
            <w:r w:rsidRPr="00802F23">
              <w:rPr>
                <w:highlight w:val="yellow"/>
              </w:rPr>
              <w:t>South Hadley</w:t>
            </w:r>
            <w:r w:rsidRPr="00DA23F2">
              <w:t xml:space="preserve">, </w:t>
            </w:r>
            <w:r w:rsidRPr="00802F23">
              <w:rPr>
                <w:highlight w:val="yellow"/>
              </w:rPr>
              <w:t>Williamstown</w:t>
            </w:r>
            <w:r w:rsidRPr="00DA23F2">
              <w:t>)</w:t>
            </w:r>
          </w:p>
        </w:tc>
      </w:tr>
      <w:tr w:rsidR="00DA23F2" w:rsidRPr="00DA23F2" w:rsidTr="00DA23F2">
        <w:trPr>
          <w:jc w:val="center"/>
        </w:trPr>
        <w:tc>
          <w:tcPr>
            <w:tcW w:w="1873" w:type="dxa"/>
          </w:tcPr>
          <w:p w:rsidR="00DA23F2" w:rsidRPr="00DA23F2" w:rsidRDefault="00DA23F2" w:rsidP="0042468C">
            <w:r w:rsidRPr="00DA23F2">
              <w:t>Enforcing agency</w:t>
            </w:r>
          </w:p>
        </w:tc>
        <w:tc>
          <w:tcPr>
            <w:tcW w:w="7560" w:type="dxa"/>
          </w:tcPr>
          <w:p w:rsidR="00DA23F2" w:rsidRPr="00DA23F2" w:rsidRDefault="00DA23F2" w:rsidP="0042468C">
            <w:pPr>
              <w:numPr>
                <w:ilvl w:val="0"/>
                <w:numId w:val="5"/>
              </w:numPr>
            </w:pPr>
            <w:r w:rsidRPr="00DA23F2">
              <w:t>Board of Health/Health Department/Health Agent or designee (</w:t>
            </w:r>
            <w:r w:rsidRPr="00802F23">
              <w:rPr>
                <w:highlight w:val="yellow"/>
              </w:rPr>
              <w:t>Amherst</w:t>
            </w:r>
            <w:r w:rsidRPr="00DA23F2">
              <w:t xml:space="preserve">, Brookline, Hamilton, Marblehead, </w:t>
            </w:r>
            <w:r w:rsidRPr="00802F23">
              <w:rPr>
                <w:highlight w:val="yellow"/>
              </w:rPr>
              <w:t>Pittsfield</w:t>
            </w:r>
            <w:r w:rsidRPr="00DA23F2">
              <w:t xml:space="preserve">, Somerville, </w:t>
            </w:r>
            <w:r w:rsidRPr="00802F23">
              <w:rPr>
                <w:highlight w:val="yellow"/>
              </w:rPr>
              <w:t>South Hadley</w:t>
            </w:r>
            <w:r w:rsidRPr="00DA23F2">
              <w:t xml:space="preserve">, </w:t>
            </w:r>
            <w:r w:rsidRPr="00802F23">
              <w:rPr>
                <w:highlight w:val="yellow"/>
              </w:rPr>
              <w:t>Williamstown</w:t>
            </w:r>
            <w:r w:rsidRPr="00DA23F2">
              <w:t>)</w:t>
            </w:r>
          </w:p>
        </w:tc>
      </w:tr>
      <w:tr w:rsidR="00DA23F2" w:rsidRPr="00DA23F2" w:rsidTr="00DA23F2">
        <w:trPr>
          <w:jc w:val="center"/>
        </w:trPr>
        <w:tc>
          <w:tcPr>
            <w:tcW w:w="1873" w:type="dxa"/>
          </w:tcPr>
          <w:p w:rsidR="00DA23F2" w:rsidRPr="00DA23F2" w:rsidRDefault="00DA23F2" w:rsidP="0042468C">
            <w:r w:rsidRPr="00DA23F2">
              <w:t>Enforcement</w:t>
            </w:r>
          </w:p>
        </w:tc>
        <w:tc>
          <w:tcPr>
            <w:tcW w:w="7560" w:type="dxa"/>
          </w:tcPr>
          <w:p w:rsidR="00DA23F2" w:rsidRPr="00DA23F2" w:rsidRDefault="004A2D57" w:rsidP="0042468C">
            <w:pPr>
              <w:numPr>
                <w:ilvl w:val="0"/>
                <w:numId w:val="5"/>
              </w:numPr>
            </w:pPr>
            <w:r>
              <w:t>Annual inspection (</w:t>
            </w:r>
            <w:r w:rsidRPr="00802F23">
              <w:rPr>
                <w:highlight w:val="yellow"/>
              </w:rPr>
              <w:t>Amherst</w:t>
            </w:r>
            <w:r>
              <w:t>)</w:t>
            </w:r>
            <w:r w:rsidR="00DA23F2" w:rsidRPr="00DA23F2">
              <w:t xml:space="preserve"> </w:t>
            </w:r>
          </w:p>
          <w:p w:rsidR="00DA23F2" w:rsidRPr="00DA23F2" w:rsidRDefault="00DA23F2" w:rsidP="0042468C">
            <w:pPr>
              <w:numPr>
                <w:ilvl w:val="0"/>
                <w:numId w:val="5"/>
              </w:numPr>
            </w:pPr>
            <w:r w:rsidRPr="00DA23F2">
              <w:t>Citizen compl</w:t>
            </w:r>
            <w:r w:rsidR="004A2D57">
              <w:t>aint (</w:t>
            </w:r>
            <w:r w:rsidR="004A2D57" w:rsidRPr="00802F23">
              <w:rPr>
                <w:highlight w:val="yellow"/>
              </w:rPr>
              <w:t>Pittsfield</w:t>
            </w:r>
            <w:r w:rsidR="004A2D57">
              <w:t>, South Hadley)</w:t>
            </w:r>
          </w:p>
        </w:tc>
      </w:tr>
      <w:tr w:rsidR="00DA23F2" w:rsidRPr="00DA23F2" w:rsidTr="00DA23F2">
        <w:trPr>
          <w:jc w:val="center"/>
        </w:trPr>
        <w:tc>
          <w:tcPr>
            <w:tcW w:w="1873" w:type="dxa"/>
          </w:tcPr>
          <w:p w:rsidR="00DA23F2" w:rsidRPr="00DA23F2" w:rsidRDefault="00DA23F2" w:rsidP="0042468C">
            <w:r w:rsidRPr="00DA23F2">
              <w:t>Penalties/fines</w:t>
            </w:r>
          </w:p>
        </w:tc>
        <w:tc>
          <w:tcPr>
            <w:tcW w:w="7560" w:type="dxa"/>
          </w:tcPr>
          <w:p w:rsidR="00DA23F2" w:rsidRPr="00DA23F2" w:rsidRDefault="00DA23F2" w:rsidP="0042468C">
            <w:pPr>
              <w:numPr>
                <w:ilvl w:val="0"/>
                <w:numId w:val="5"/>
              </w:numPr>
            </w:pPr>
            <w:r w:rsidRPr="00DA23F2">
              <w:t>Each day a separate offense (virtually all)</w:t>
            </w:r>
          </w:p>
          <w:p w:rsidR="00DA23F2" w:rsidRPr="00DA23F2" w:rsidRDefault="00DA23F2" w:rsidP="0042468C">
            <w:pPr>
              <w:numPr>
                <w:ilvl w:val="0"/>
                <w:numId w:val="5"/>
              </w:numPr>
            </w:pPr>
            <w:r w:rsidRPr="00DA23F2">
              <w:t>$25, $50 (Hamilton, Marblehead)</w:t>
            </w:r>
          </w:p>
          <w:p w:rsidR="00DA23F2" w:rsidRPr="00DA23F2" w:rsidRDefault="00DA23F2" w:rsidP="0042468C">
            <w:pPr>
              <w:numPr>
                <w:ilvl w:val="0"/>
                <w:numId w:val="5"/>
              </w:numPr>
            </w:pPr>
            <w:r w:rsidRPr="00DA23F2">
              <w:t>$50, $100, $200 (</w:t>
            </w:r>
            <w:r w:rsidRPr="00802F23">
              <w:rPr>
                <w:highlight w:val="yellow"/>
              </w:rPr>
              <w:t>Williamstown</w:t>
            </w:r>
            <w:r w:rsidRPr="00DA23F2">
              <w:t>)</w:t>
            </w:r>
          </w:p>
          <w:p w:rsidR="00DA23F2" w:rsidRPr="00DA23F2" w:rsidRDefault="00DA23F2" w:rsidP="0042468C">
            <w:pPr>
              <w:numPr>
                <w:ilvl w:val="0"/>
                <w:numId w:val="5"/>
              </w:numPr>
            </w:pPr>
            <w:r w:rsidRPr="00DA23F2">
              <w:t>$100, $200, $300 (</w:t>
            </w:r>
            <w:r w:rsidRPr="00802F23">
              <w:rPr>
                <w:highlight w:val="yellow"/>
              </w:rPr>
              <w:t>South Hadley</w:t>
            </w:r>
            <w:r w:rsidRPr="00DA23F2">
              <w:t>)</w:t>
            </w:r>
          </w:p>
          <w:p w:rsidR="00DA23F2" w:rsidRPr="00DA23F2" w:rsidRDefault="00DA23F2" w:rsidP="0042468C">
            <w:pPr>
              <w:numPr>
                <w:ilvl w:val="0"/>
                <w:numId w:val="5"/>
              </w:numPr>
            </w:pPr>
            <w:r w:rsidRPr="00DA23F2">
              <w:t>$100, $250 (</w:t>
            </w:r>
            <w:r w:rsidRPr="00802F23">
              <w:rPr>
                <w:highlight w:val="yellow"/>
              </w:rPr>
              <w:t>Amherst</w:t>
            </w:r>
            <w:r w:rsidRPr="00DA23F2">
              <w:t xml:space="preserve">, </w:t>
            </w:r>
            <w:r w:rsidRPr="00802F23">
              <w:rPr>
                <w:highlight w:val="yellow"/>
              </w:rPr>
              <w:t>Pittsfield</w:t>
            </w:r>
            <w:r w:rsidRPr="00DA23F2">
              <w:t>)</w:t>
            </w:r>
          </w:p>
          <w:p w:rsidR="00DA23F2" w:rsidRPr="00DA23F2" w:rsidRDefault="00DA23F2" w:rsidP="0042468C">
            <w:pPr>
              <w:numPr>
                <w:ilvl w:val="0"/>
                <w:numId w:val="5"/>
              </w:numPr>
            </w:pPr>
            <w:r w:rsidRPr="00DA23F2">
              <w:t>$100, $300 (Somerville)</w:t>
            </w:r>
          </w:p>
          <w:p w:rsidR="00DA23F2" w:rsidRPr="00DA23F2" w:rsidRDefault="00DA23F2" w:rsidP="0042468C">
            <w:pPr>
              <w:numPr>
                <w:ilvl w:val="0"/>
                <w:numId w:val="5"/>
              </w:numPr>
            </w:pPr>
            <w:r w:rsidRPr="00DA23F2">
              <w:t>Warning before fine (</w:t>
            </w:r>
            <w:r w:rsidRPr="00802F23">
              <w:rPr>
                <w:highlight w:val="yellow"/>
              </w:rPr>
              <w:t>Amherst</w:t>
            </w:r>
            <w:r w:rsidRPr="00DA23F2">
              <w:t xml:space="preserve">, Hamilton, Marblehead, </w:t>
            </w:r>
            <w:r w:rsidRPr="00802F23">
              <w:rPr>
                <w:highlight w:val="yellow"/>
              </w:rPr>
              <w:t>Pittsfield</w:t>
            </w:r>
            <w:r w:rsidRPr="00DA23F2">
              <w:t xml:space="preserve">, Somerville, </w:t>
            </w:r>
            <w:r w:rsidRPr="00802F23">
              <w:rPr>
                <w:highlight w:val="yellow"/>
              </w:rPr>
              <w:t>Williamstown</w:t>
            </w:r>
            <w:r w:rsidRPr="00DA23F2">
              <w:t>)</w:t>
            </w:r>
          </w:p>
          <w:p w:rsidR="00DA23F2" w:rsidRPr="00DA23F2" w:rsidRDefault="00DA23F2" w:rsidP="0042468C">
            <w:pPr>
              <w:numPr>
                <w:ilvl w:val="0"/>
                <w:numId w:val="5"/>
              </w:numPr>
            </w:pPr>
            <w:r w:rsidRPr="00DA23F2">
              <w:t>Permit suspension/potential loss (</w:t>
            </w:r>
            <w:r w:rsidRPr="00802F23">
              <w:rPr>
                <w:highlight w:val="yellow"/>
              </w:rPr>
              <w:t>Amherst</w:t>
            </w:r>
            <w:r w:rsidRPr="00DA23F2">
              <w:t xml:space="preserve">, </w:t>
            </w:r>
            <w:r w:rsidRPr="00802F23">
              <w:rPr>
                <w:highlight w:val="yellow"/>
              </w:rPr>
              <w:t>Pittsfield</w:t>
            </w:r>
            <w:r w:rsidRPr="00DA23F2">
              <w:t xml:space="preserve">, Somerville, </w:t>
            </w:r>
            <w:r w:rsidRPr="00802F23">
              <w:rPr>
                <w:highlight w:val="yellow"/>
              </w:rPr>
              <w:t>South Hadley</w:t>
            </w:r>
            <w:r w:rsidRPr="00DA23F2">
              <w:t xml:space="preserve">, </w:t>
            </w:r>
            <w:r w:rsidRPr="00802F23">
              <w:rPr>
                <w:highlight w:val="yellow"/>
              </w:rPr>
              <w:t>Williamstown</w:t>
            </w:r>
            <w:r w:rsidRPr="00DA23F2">
              <w:t>)</w:t>
            </w:r>
          </w:p>
        </w:tc>
      </w:tr>
      <w:tr w:rsidR="00DA23F2" w:rsidRPr="00DA23F2" w:rsidTr="00DA23F2">
        <w:trPr>
          <w:jc w:val="center"/>
        </w:trPr>
        <w:tc>
          <w:tcPr>
            <w:tcW w:w="1873" w:type="dxa"/>
          </w:tcPr>
          <w:p w:rsidR="00DA23F2" w:rsidRPr="00DA23F2" w:rsidRDefault="00DA23F2" w:rsidP="0042468C">
            <w:r w:rsidRPr="00DA23F2">
              <w:t>Enforcement delay (post adoption)</w:t>
            </w:r>
          </w:p>
        </w:tc>
        <w:tc>
          <w:tcPr>
            <w:tcW w:w="7560" w:type="dxa"/>
          </w:tcPr>
          <w:p w:rsidR="00DA23F2" w:rsidRPr="00DA23F2" w:rsidRDefault="00DA23F2" w:rsidP="0042468C">
            <w:pPr>
              <w:numPr>
                <w:ilvl w:val="0"/>
                <w:numId w:val="6"/>
              </w:numPr>
            </w:pPr>
            <w:r w:rsidRPr="00DA23F2">
              <w:t>Less than 6 months (</w:t>
            </w:r>
            <w:r w:rsidRPr="00802F23">
              <w:rPr>
                <w:highlight w:val="yellow"/>
              </w:rPr>
              <w:t>Great Barrington</w:t>
            </w:r>
            <w:r w:rsidRPr="00DA23F2">
              <w:t xml:space="preserve">, Nantucket, </w:t>
            </w:r>
            <w:r w:rsidRPr="00802F23">
              <w:rPr>
                <w:highlight w:val="yellow"/>
              </w:rPr>
              <w:t>South Hadley</w:t>
            </w:r>
            <w:r w:rsidRPr="00DA23F2">
              <w:t>)</w:t>
            </w:r>
          </w:p>
          <w:p w:rsidR="00DA23F2" w:rsidRPr="00DA23F2" w:rsidRDefault="00DA23F2" w:rsidP="0042468C">
            <w:pPr>
              <w:numPr>
                <w:ilvl w:val="0"/>
                <w:numId w:val="6"/>
              </w:numPr>
            </w:pPr>
            <w:r w:rsidRPr="00DA23F2">
              <w:t xml:space="preserve">6-12 months (Marblehead, </w:t>
            </w:r>
            <w:r w:rsidRPr="00802F23">
              <w:rPr>
                <w:highlight w:val="yellow"/>
              </w:rPr>
              <w:t>Pittsfield</w:t>
            </w:r>
            <w:r w:rsidRPr="00DA23F2">
              <w:t xml:space="preserve">, </w:t>
            </w:r>
            <w:r w:rsidRPr="00802F23">
              <w:rPr>
                <w:highlight w:val="yellow"/>
              </w:rPr>
              <w:t>Williamstown</w:t>
            </w:r>
            <w:r w:rsidRPr="00DA23F2">
              <w:t>)</w:t>
            </w:r>
          </w:p>
          <w:p w:rsidR="00DA23F2" w:rsidRPr="00DA23F2" w:rsidRDefault="00DA23F2" w:rsidP="0042468C">
            <w:pPr>
              <w:numPr>
                <w:ilvl w:val="0"/>
                <w:numId w:val="6"/>
              </w:numPr>
            </w:pPr>
            <w:r w:rsidRPr="00DA23F2">
              <w:t>12+ months (</w:t>
            </w:r>
            <w:r w:rsidRPr="00802F23">
              <w:rPr>
                <w:highlight w:val="yellow"/>
              </w:rPr>
              <w:t>Amherst</w:t>
            </w:r>
            <w:r w:rsidRPr="00DA23F2">
              <w:t>, Brookline, Hamilton, Somerville)</w:t>
            </w:r>
          </w:p>
        </w:tc>
      </w:tr>
      <w:tr w:rsidR="00DA23F2" w:rsidRPr="00DA23F2" w:rsidTr="00DA23F2">
        <w:trPr>
          <w:jc w:val="center"/>
        </w:trPr>
        <w:tc>
          <w:tcPr>
            <w:tcW w:w="1873" w:type="dxa"/>
          </w:tcPr>
          <w:p w:rsidR="00DA23F2" w:rsidRPr="00DA23F2" w:rsidRDefault="00DA23F2" w:rsidP="0042468C">
            <w:pPr>
              <w:rPr>
                <w:highlight w:val="yellow"/>
              </w:rPr>
            </w:pPr>
            <w:r w:rsidRPr="00DA23F2">
              <w:rPr>
                <w:highlight w:val="yellow"/>
              </w:rPr>
              <w:t>What has not been addressed:</w:t>
            </w:r>
          </w:p>
        </w:tc>
        <w:tc>
          <w:tcPr>
            <w:tcW w:w="7560" w:type="dxa"/>
          </w:tcPr>
          <w:p w:rsidR="00DA23F2" w:rsidRPr="00DA23F2" w:rsidRDefault="00DA23F2" w:rsidP="0042468C">
            <w:pPr>
              <w:numPr>
                <w:ilvl w:val="0"/>
                <w:numId w:val="6"/>
              </w:numPr>
              <w:rPr>
                <w:highlight w:val="yellow"/>
              </w:rPr>
            </w:pPr>
            <w:r w:rsidRPr="00DA23F2">
              <w:rPr>
                <w:highlight w:val="yellow"/>
              </w:rPr>
              <w:t>Restaurants charging for alternative containers</w:t>
            </w:r>
          </w:p>
          <w:p w:rsidR="00DA23F2" w:rsidRDefault="00DA23F2" w:rsidP="0042468C">
            <w:pPr>
              <w:numPr>
                <w:ilvl w:val="0"/>
                <w:numId w:val="6"/>
              </w:numPr>
              <w:rPr>
                <w:highlight w:val="yellow"/>
              </w:rPr>
            </w:pPr>
            <w:r w:rsidRPr="00DA23F2">
              <w:rPr>
                <w:highlight w:val="yellow"/>
              </w:rPr>
              <w:t>Options for unprepared food, especially raw meat, fish, and eggs</w:t>
            </w:r>
          </w:p>
          <w:p w:rsidR="006B2A64" w:rsidRPr="00DA23F2" w:rsidRDefault="006B2A64" w:rsidP="0042468C">
            <w:pPr>
              <w:numPr>
                <w:ilvl w:val="0"/>
                <w:numId w:val="6"/>
              </w:numPr>
              <w:rPr>
                <w:highlight w:val="yellow"/>
              </w:rPr>
            </w:pPr>
            <w:r>
              <w:rPr>
                <w:highlight w:val="yellow"/>
              </w:rPr>
              <w:t>Warnings to consumers re health risks of all polystyrene and information on how to minimize them (e.g., don’t cook food in these containers).</w:t>
            </w:r>
          </w:p>
        </w:tc>
      </w:tr>
    </w:tbl>
    <w:p w:rsidR="00C24670" w:rsidRDefault="00C24670" w:rsidP="0042468C">
      <w:pPr>
        <w:spacing w:line="240" w:lineRule="auto"/>
        <w:jc w:val="center"/>
      </w:pPr>
    </w:p>
    <w:p w:rsidR="00C24670" w:rsidRDefault="00C24670" w:rsidP="0042468C">
      <w:pPr>
        <w:spacing w:line="240" w:lineRule="auto"/>
      </w:pPr>
      <w:r>
        <w:br w:type="page"/>
      </w:r>
    </w:p>
    <w:p w:rsidR="000E3810" w:rsidRDefault="00C24670" w:rsidP="0042468C">
      <w:pPr>
        <w:spacing w:line="240" w:lineRule="auto"/>
        <w:jc w:val="center"/>
        <w:rPr>
          <w:b/>
          <w:sz w:val="24"/>
          <w:szCs w:val="24"/>
        </w:rPr>
      </w:pPr>
      <w:r w:rsidRPr="00C24670">
        <w:rPr>
          <w:b/>
          <w:sz w:val="24"/>
          <w:szCs w:val="24"/>
        </w:rPr>
        <w:lastRenderedPageBreak/>
        <w:t>ATTAC</w:t>
      </w:r>
      <w:r w:rsidR="00317E22">
        <w:rPr>
          <w:b/>
          <w:sz w:val="24"/>
          <w:szCs w:val="24"/>
        </w:rPr>
        <w:t>HMENT 4</w:t>
      </w:r>
    </w:p>
    <w:p w:rsidR="00C24670" w:rsidRPr="00C24670" w:rsidRDefault="000E3810" w:rsidP="0042468C">
      <w:pPr>
        <w:spacing w:line="240" w:lineRule="auto"/>
        <w:jc w:val="center"/>
        <w:rPr>
          <w:b/>
          <w:sz w:val="24"/>
          <w:szCs w:val="24"/>
        </w:rPr>
      </w:pPr>
      <w:r>
        <w:rPr>
          <w:b/>
          <w:noProof/>
          <w:sz w:val="24"/>
          <w:szCs w:val="24"/>
        </w:rPr>
        <w:drawing>
          <wp:inline distT="0" distB="0" distL="0" distR="0" wp14:anchorId="69A6971A" wp14:editId="36FFB243">
            <wp:extent cx="6115904" cy="78837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904" cy="7883746"/>
                    </a:xfrm>
                    <a:prstGeom prst="rect">
                      <a:avLst/>
                    </a:prstGeom>
                    <a:noFill/>
                    <a:ln>
                      <a:noFill/>
                    </a:ln>
                  </pic:spPr>
                </pic:pic>
              </a:graphicData>
            </a:graphic>
          </wp:inline>
        </w:drawing>
      </w:r>
      <w:r w:rsidR="00C24670" w:rsidRPr="00C24670">
        <w:rPr>
          <w:b/>
          <w:sz w:val="24"/>
          <w:szCs w:val="24"/>
        </w:rPr>
        <w:br w:type="page"/>
      </w:r>
    </w:p>
    <w:p w:rsidR="00E235F2" w:rsidRPr="00E235F2" w:rsidRDefault="00E235F2" w:rsidP="0042468C">
      <w:pPr>
        <w:spacing w:line="240" w:lineRule="auto"/>
        <w:jc w:val="center"/>
        <w:rPr>
          <w:b/>
          <w:sz w:val="24"/>
          <w:szCs w:val="24"/>
        </w:rPr>
      </w:pPr>
      <w:r w:rsidRPr="00E235F2">
        <w:rPr>
          <w:b/>
          <w:sz w:val="24"/>
          <w:szCs w:val="24"/>
        </w:rPr>
        <w:lastRenderedPageBreak/>
        <w:t xml:space="preserve">ATTACHMENT </w:t>
      </w:r>
      <w:r w:rsidR="00317E22">
        <w:rPr>
          <w:b/>
          <w:sz w:val="24"/>
          <w:szCs w:val="24"/>
        </w:rPr>
        <w:t>5</w:t>
      </w:r>
    </w:p>
    <w:p w:rsidR="00E945EF" w:rsidRPr="002361D1" w:rsidRDefault="00E945EF" w:rsidP="0042468C">
      <w:pPr>
        <w:spacing w:after="0" w:line="240" w:lineRule="auto"/>
        <w:jc w:val="center"/>
        <w:rPr>
          <w:b/>
        </w:rPr>
      </w:pPr>
      <w:r w:rsidRPr="002361D1">
        <w:rPr>
          <w:b/>
        </w:rPr>
        <w:t xml:space="preserve">SINGLE-USE PLASTIC SHOPPING BAG WASTE REDUCTION: </w:t>
      </w:r>
    </w:p>
    <w:p w:rsidR="00E945EF" w:rsidRPr="002361D1" w:rsidRDefault="00E945EF" w:rsidP="0042468C">
      <w:pPr>
        <w:spacing w:after="0" w:line="240" w:lineRule="auto"/>
        <w:jc w:val="center"/>
        <w:rPr>
          <w:b/>
        </w:rPr>
      </w:pPr>
      <w:r w:rsidRPr="002361D1">
        <w:rPr>
          <w:b/>
        </w:rPr>
        <w:t>KEY PARAMETERS AND ASSOCIATED RANGE OF OPTIONS</w:t>
      </w:r>
    </w:p>
    <w:p w:rsidR="00E945EF" w:rsidRDefault="00E945EF" w:rsidP="0042468C">
      <w:pPr>
        <w:spacing w:line="240" w:lineRule="auto"/>
        <w:jc w:val="center"/>
      </w:pPr>
      <w:r>
        <w:t>November 25, 2015</w:t>
      </w:r>
    </w:p>
    <w:p w:rsidR="00802F23" w:rsidRPr="00DA23F2" w:rsidRDefault="00E945EF" w:rsidP="00802F23">
      <w:pPr>
        <w:spacing w:line="240" w:lineRule="auto"/>
      </w:pPr>
      <w:r>
        <w:t>Seventeen Massachusetts municipalities have acted to ban single-use plastic shopping bags, all of them by municipal by-law changes. The table below identifies the key parameters included and their range</w:t>
      </w:r>
      <w:r w:rsidR="00802F23">
        <w:t xml:space="preserve"> (western Massachusetts municipalities are </w:t>
      </w:r>
      <w:r w:rsidR="00802F23" w:rsidRPr="00802F23">
        <w:rPr>
          <w:highlight w:val="yellow"/>
        </w:rPr>
        <w:t>highlighted)</w:t>
      </w:r>
      <w:r w:rsidR="00802F23" w:rsidRPr="00DA23F2">
        <w:t>.</w:t>
      </w:r>
    </w:p>
    <w:tbl>
      <w:tblPr>
        <w:tblStyle w:val="TableGrid"/>
        <w:tblW w:w="0" w:type="auto"/>
        <w:jc w:val="center"/>
        <w:tblLook w:val="04A0" w:firstRow="1" w:lastRow="0" w:firstColumn="1" w:lastColumn="0" w:noHBand="0" w:noVBand="1"/>
      </w:tblPr>
      <w:tblGrid>
        <w:gridCol w:w="1873"/>
        <w:gridCol w:w="7560"/>
      </w:tblGrid>
      <w:tr w:rsidR="00E945EF" w:rsidTr="00C202DE">
        <w:trPr>
          <w:jc w:val="center"/>
        </w:trPr>
        <w:tc>
          <w:tcPr>
            <w:tcW w:w="1873" w:type="dxa"/>
          </w:tcPr>
          <w:p w:rsidR="00E945EF" w:rsidRPr="002361D1" w:rsidRDefault="00E945EF" w:rsidP="0042468C">
            <w:pPr>
              <w:jc w:val="center"/>
              <w:rPr>
                <w:b/>
              </w:rPr>
            </w:pPr>
            <w:r w:rsidRPr="002361D1">
              <w:rPr>
                <w:b/>
              </w:rPr>
              <w:t>Parameter</w:t>
            </w:r>
          </w:p>
        </w:tc>
        <w:tc>
          <w:tcPr>
            <w:tcW w:w="7560" w:type="dxa"/>
          </w:tcPr>
          <w:p w:rsidR="00E945EF" w:rsidRPr="002361D1" w:rsidRDefault="00E945EF" w:rsidP="0042468C">
            <w:pPr>
              <w:jc w:val="center"/>
              <w:rPr>
                <w:b/>
              </w:rPr>
            </w:pPr>
            <w:r w:rsidRPr="002361D1">
              <w:rPr>
                <w:b/>
              </w:rPr>
              <w:t>Specifics and Municipality/ies</w:t>
            </w:r>
          </w:p>
        </w:tc>
      </w:tr>
      <w:tr w:rsidR="00E945EF" w:rsidTr="00C202DE">
        <w:trPr>
          <w:jc w:val="center"/>
        </w:trPr>
        <w:tc>
          <w:tcPr>
            <w:tcW w:w="1873" w:type="dxa"/>
          </w:tcPr>
          <w:p w:rsidR="00E945EF" w:rsidRDefault="00E945EF" w:rsidP="0042468C">
            <w:r>
              <w:t>Definitions</w:t>
            </w:r>
          </w:p>
        </w:tc>
        <w:tc>
          <w:tcPr>
            <w:tcW w:w="7560" w:type="dxa"/>
          </w:tcPr>
          <w:p w:rsidR="00E945EF" w:rsidRDefault="00E945EF" w:rsidP="0042468C">
            <w:r w:rsidRPr="00802F23">
              <w:rPr>
                <w:highlight w:val="yellow"/>
              </w:rPr>
              <w:t>Williamstown</w:t>
            </w:r>
            <w:r>
              <w:t xml:space="preserve"> (the most comprehensive; others use several of these terms)</w:t>
            </w:r>
          </w:p>
          <w:p w:rsidR="00E945EF" w:rsidRDefault="00E945EF" w:rsidP="0042468C">
            <w:pPr>
              <w:pStyle w:val="ListParagraph"/>
              <w:numPr>
                <w:ilvl w:val="0"/>
                <w:numId w:val="7"/>
              </w:numPr>
            </w:pPr>
            <w:r>
              <w:t>ASTM 6400</w:t>
            </w:r>
          </w:p>
          <w:p w:rsidR="00E945EF" w:rsidRDefault="00E945EF" w:rsidP="0042468C">
            <w:pPr>
              <w:pStyle w:val="ListParagraph"/>
              <w:numPr>
                <w:ilvl w:val="0"/>
                <w:numId w:val="7"/>
              </w:numPr>
            </w:pPr>
            <w:r>
              <w:t>ASTM 7081</w:t>
            </w:r>
          </w:p>
          <w:p w:rsidR="00E945EF" w:rsidRDefault="00E945EF" w:rsidP="0042468C">
            <w:pPr>
              <w:pStyle w:val="ListParagraph"/>
              <w:numPr>
                <w:ilvl w:val="0"/>
                <w:numId w:val="7"/>
              </w:numPr>
            </w:pPr>
            <w:r>
              <w:t>Biodegradable</w:t>
            </w:r>
          </w:p>
          <w:p w:rsidR="00E945EF" w:rsidRDefault="00E945EF" w:rsidP="0042468C">
            <w:pPr>
              <w:pStyle w:val="ListParagraph"/>
              <w:numPr>
                <w:ilvl w:val="0"/>
                <w:numId w:val="7"/>
              </w:numPr>
            </w:pPr>
            <w:r>
              <w:t>Carryout (others use Checkout) Bag</w:t>
            </w:r>
          </w:p>
          <w:p w:rsidR="00E945EF" w:rsidRDefault="00E945EF" w:rsidP="0042468C">
            <w:pPr>
              <w:pStyle w:val="ListParagraph"/>
              <w:numPr>
                <w:ilvl w:val="0"/>
                <w:numId w:val="7"/>
              </w:numPr>
            </w:pPr>
            <w:r>
              <w:t>Compostable Plastic Bag</w:t>
            </w:r>
          </w:p>
          <w:p w:rsidR="00E945EF" w:rsidRDefault="00E945EF" w:rsidP="0042468C">
            <w:pPr>
              <w:pStyle w:val="ListParagraph"/>
              <w:numPr>
                <w:ilvl w:val="0"/>
                <w:numId w:val="7"/>
              </w:numPr>
            </w:pPr>
            <w:r>
              <w:t>Customer</w:t>
            </w:r>
          </w:p>
          <w:p w:rsidR="00E945EF" w:rsidRDefault="00E945EF" w:rsidP="0042468C">
            <w:pPr>
              <w:pStyle w:val="ListParagraph"/>
              <w:numPr>
                <w:ilvl w:val="0"/>
                <w:numId w:val="7"/>
              </w:numPr>
            </w:pPr>
            <w:r>
              <w:t>Marine Degradable Plastic Bab</w:t>
            </w:r>
          </w:p>
          <w:p w:rsidR="00E945EF" w:rsidRDefault="00E945EF" w:rsidP="0042468C">
            <w:pPr>
              <w:pStyle w:val="ListParagraph"/>
              <w:numPr>
                <w:ilvl w:val="0"/>
                <w:numId w:val="7"/>
              </w:numPr>
            </w:pPr>
            <w:r>
              <w:t>Person</w:t>
            </w:r>
          </w:p>
          <w:p w:rsidR="00E945EF" w:rsidRDefault="00E945EF" w:rsidP="0042468C">
            <w:pPr>
              <w:pStyle w:val="ListParagraph"/>
              <w:numPr>
                <w:ilvl w:val="0"/>
                <w:numId w:val="7"/>
              </w:numPr>
            </w:pPr>
            <w:r>
              <w:t>Postconsumer Recycled Material</w:t>
            </w:r>
          </w:p>
          <w:p w:rsidR="00E945EF" w:rsidRDefault="00E945EF" w:rsidP="0042468C">
            <w:pPr>
              <w:pStyle w:val="ListParagraph"/>
              <w:numPr>
                <w:ilvl w:val="0"/>
                <w:numId w:val="7"/>
              </w:numPr>
            </w:pPr>
            <w:r>
              <w:t>Produce Bag or Product Bag</w:t>
            </w:r>
          </w:p>
          <w:p w:rsidR="00E945EF" w:rsidRDefault="00E945EF" w:rsidP="0042468C">
            <w:pPr>
              <w:pStyle w:val="ListParagraph"/>
              <w:numPr>
                <w:ilvl w:val="0"/>
                <w:numId w:val="7"/>
              </w:numPr>
            </w:pPr>
            <w:r>
              <w:t>Recyclable</w:t>
            </w:r>
          </w:p>
          <w:p w:rsidR="00E945EF" w:rsidRDefault="00E945EF" w:rsidP="0042468C">
            <w:pPr>
              <w:pStyle w:val="ListParagraph"/>
              <w:numPr>
                <w:ilvl w:val="0"/>
                <w:numId w:val="7"/>
              </w:numPr>
            </w:pPr>
            <w:r>
              <w:t xml:space="preserve">Recyclable Paper Bag – most cite minimum (typically 40%) post-consumer recycled material content </w:t>
            </w:r>
          </w:p>
          <w:p w:rsidR="00E945EF" w:rsidRDefault="00E945EF" w:rsidP="0042468C">
            <w:pPr>
              <w:pStyle w:val="ListParagraph"/>
              <w:numPr>
                <w:ilvl w:val="0"/>
                <w:numId w:val="7"/>
              </w:numPr>
            </w:pPr>
            <w:r>
              <w:t>Retail Establishment</w:t>
            </w:r>
          </w:p>
          <w:p w:rsidR="00E945EF" w:rsidRDefault="00E945EF" w:rsidP="0042468C">
            <w:pPr>
              <w:pStyle w:val="ListParagraph"/>
              <w:numPr>
                <w:ilvl w:val="0"/>
                <w:numId w:val="7"/>
              </w:numPr>
            </w:pPr>
            <w:r>
              <w:t>Reusable Carryout Bag</w:t>
            </w:r>
          </w:p>
          <w:p w:rsidR="00E945EF" w:rsidRDefault="00E945EF" w:rsidP="0042468C">
            <w:pPr>
              <w:pStyle w:val="ListParagraph"/>
              <w:numPr>
                <w:ilvl w:val="0"/>
                <w:numId w:val="7"/>
              </w:numPr>
            </w:pPr>
            <w:r>
              <w:t>Single-Use Plastic Bag (some add Thin-Film)</w:t>
            </w:r>
          </w:p>
          <w:p w:rsidR="00E945EF" w:rsidRDefault="00E945EF" w:rsidP="0042468C">
            <w:r>
              <w:t xml:space="preserve">Plus </w:t>
            </w:r>
            <w:r w:rsidRPr="00802F23">
              <w:rPr>
                <w:highlight w:val="yellow"/>
              </w:rPr>
              <w:t>Northampton</w:t>
            </w:r>
            <w:r>
              <w:t>:</w:t>
            </w:r>
          </w:p>
          <w:p w:rsidR="00E945EF" w:rsidRDefault="00E945EF" w:rsidP="0042468C">
            <w:pPr>
              <w:pStyle w:val="ListParagraph"/>
              <w:numPr>
                <w:ilvl w:val="0"/>
                <w:numId w:val="9"/>
              </w:numPr>
            </w:pPr>
            <w:r>
              <w:t>Biodegradable Packaging</w:t>
            </w:r>
          </w:p>
          <w:p w:rsidR="00E945EF" w:rsidRDefault="00E945EF" w:rsidP="0042468C">
            <w:pPr>
              <w:pStyle w:val="ListParagraph"/>
              <w:numPr>
                <w:ilvl w:val="0"/>
                <w:numId w:val="9"/>
              </w:numPr>
            </w:pPr>
            <w:r>
              <w:t>Compostable Packaging</w:t>
            </w:r>
          </w:p>
          <w:p w:rsidR="00E945EF" w:rsidRDefault="00E945EF" w:rsidP="0042468C">
            <w:pPr>
              <w:pStyle w:val="ListParagraph"/>
              <w:numPr>
                <w:ilvl w:val="0"/>
                <w:numId w:val="9"/>
              </w:numPr>
            </w:pPr>
            <w:r>
              <w:t>Merchandise</w:t>
            </w:r>
          </w:p>
          <w:p w:rsidR="00E945EF" w:rsidRDefault="00E945EF" w:rsidP="0042468C">
            <w:pPr>
              <w:pStyle w:val="ListParagraph"/>
              <w:numPr>
                <w:ilvl w:val="0"/>
                <w:numId w:val="9"/>
              </w:numPr>
            </w:pPr>
            <w:r>
              <w:t>Retail Food Establishment</w:t>
            </w:r>
          </w:p>
          <w:p w:rsidR="00E945EF" w:rsidRDefault="00E945EF" w:rsidP="0042468C">
            <w:pPr>
              <w:pStyle w:val="ListParagraph"/>
              <w:numPr>
                <w:ilvl w:val="0"/>
                <w:numId w:val="9"/>
              </w:numPr>
            </w:pPr>
            <w:r>
              <w:t>Retail Service Establishment</w:t>
            </w:r>
          </w:p>
          <w:p w:rsidR="00E945EF" w:rsidRDefault="00E945EF" w:rsidP="0042468C">
            <w:r>
              <w:t>Plus others:</w:t>
            </w:r>
          </w:p>
          <w:p w:rsidR="00E945EF" w:rsidRDefault="00E945EF" w:rsidP="0042468C">
            <w:pPr>
              <w:pStyle w:val="ListParagraph"/>
              <w:numPr>
                <w:ilvl w:val="0"/>
                <w:numId w:val="8"/>
              </w:numPr>
            </w:pPr>
            <w:r>
              <w:t>Enforcing Person (Barnstable; others – Brookline, Cambridge, Newburyport –  Department; Marblehead – Director; Cambridge, Newton – Commissioner)</w:t>
            </w:r>
          </w:p>
          <w:p w:rsidR="00E945EF" w:rsidRDefault="00E945EF" w:rsidP="0042468C">
            <w:pPr>
              <w:pStyle w:val="ListParagraph"/>
              <w:numPr>
                <w:ilvl w:val="0"/>
                <w:numId w:val="8"/>
              </w:numPr>
            </w:pPr>
            <w:r>
              <w:t>Grocery Store (Barnstable, Concord)</w:t>
            </w:r>
          </w:p>
          <w:p w:rsidR="00E945EF" w:rsidRDefault="00E945EF" w:rsidP="0042468C">
            <w:pPr>
              <w:pStyle w:val="ListParagraph"/>
              <w:numPr>
                <w:ilvl w:val="0"/>
                <w:numId w:val="8"/>
              </w:numPr>
            </w:pPr>
            <w:r>
              <w:t>Operator (Barnstable)</w:t>
            </w:r>
          </w:p>
          <w:p w:rsidR="00E945EF" w:rsidRDefault="00E945EF" w:rsidP="0042468C">
            <w:pPr>
              <w:pStyle w:val="ListParagraph"/>
              <w:numPr>
                <w:ilvl w:val="0"/>
                <w:numId w:val="8"/>
              </w:numPr>
            </w:pPr>
            <w:r>
              <w:t>Plastic Bag (Barnstable)</w:t>
            </w:r>
          </w:p>
          <w:p w:rsidR="00E945EF" w:rsidRPr="00773427" w:rsidRDefault="00E945EF" w:rsidP="0042468C">
            <w:pPr>
              <w:pStyle w:val="ListParagraph"/>
              <w:numPr>
                <w:ilvl w:val="0"/>
                <w:numId w:val="8"/>
              </w:numPr>
            </w:pPr>
            <w:r>
              <w:t>Retail</w:t>
            </w:r>
          </w:p>
        </w:tc>
      </w:tr>
      <w:tr w:rsidR="00E945EF" w:rsidTr="00C202DE">
        <w:trPr>
          <w:jc w:val="center"/>
        </w:trPr>
        <w:tc>
          <w:tcPr>
            <w:tcW w:w="1873" w:type="dxa"/>
          </w:tcPr>
          <w:p w:rsidR="00E945EF" w:rsidRDefault="00E945EF" w:rsidP="0042468C">
            <w:r>
              <w:t>Single-Use Plastic Bag Thickness</w:t>
            </w:r>
          </w:p>
        </w:tc>
        <w:tc>
          <w:tcPr>
            <w:tcW w:w="7560" w:type="dxa"/>
          </w:tcPr>
          <w:p w:rsidR="00E945EF" w:rsidRDefault="00E945EF" w:rsidP="0042468C">
            <w:pPr>
              <w:pStyle w:val="ListParagraph"/>
              <w:numPr>
                <w:ilvl w:val="0"/>
                <w:numId w:val="4"/>
              </w:numPr>
            </w:pPr>
            <w:r>
              <w:t>&lt;1.5 mils (Provincetown)</w:t>
            </w:r>
          </w:p>
          <w:p w:rsidR="00E945EF" w:rsidRDefault="00E945EF" w:rsidP="0042468C">
            <w:pPr>
              <w:pStyle w:val="ListParagraph"/>
              <w:numPr>
                <w:ilvl w:val="0"/>
                <w:numId w:val="4"/>
              </w:numPr>
            </w:pPr>
            <w:r>
              <w:t>&lt;2.25 mils (Brookline)</w:t>
            </w:r>
          </w:p>
          <w:p w:rsidR="00E945EF" w:rsidRDefault="00E945EF" w:rsidP="0042468C">
            <w:pPr>
              <w:pStyle w:val="ListParagraph"/>
              <w:numPr>
                <w:ilvl w:val="0"/>
                <w:numId w:val="4"/>
              </w:numPr>
            </w:pPr>
            <w:r>
              <w:t>&lt;2.5 mils (Falmouth)</w:t>
            </w:r>
          </w:p>
          <w:p w:rsidR="00E945EF" w:rsidRPr="008B0068" w:rsidRDefault="00E945EF" w:rsidP="0042468C">
            <w:pPr>
              <w:pStyle w:val="ListParagraph"/>
              <w:numPr>
                <w:ilvl w:val="0"/>
                <w:numId w:val="4"/>
              </w:numPr>
              <w:rPr>
                <w:u w:val="single"/>
              </w:rPr>
            </w:pPr>
            <w:r w:rsidRPr="008B0068">
              <w:rPr>
                <w:u w:val="single"/>
              </w:rPr>
              <w:t>&lt;</w:t>
            </w:r>
            <w:r w:rsidRPr="008B0068">
              <w:t>2</w:t>
            </w:r>
            <w:r>
              <w:t xml:space="preserve">.5 mils (Concord, </w:t>
            </w:r>
            <w:r w:rsidRPr="000A1169">
              <w:rPr>
                <w:highlight w:val="yellow"/>
              </w:rPr>
              <w:t>Great Barrington</w:t>
            </w:r>
            <w:r>
              <w:t>, Harwich, Manchester)</w:t>
            </w:r>
          </w:p>
          <w:p w:rsidR="00E945EF" w:rsidRDefault="00E945EF" w:rsidP="0042468C">
            <w:pPr>
              <w:pStyle w:val="ListParagraph"/>
              <w:numPr>
                <w:ilvl w:val="0"/>
                <w:numId w:val="4"/>
              </w:numPr>
            </w:pPr>
            <w:r>
              <w:t>&lt;3.0 mils (Barnstable, Cambridge, Hamilton, Marblehead, Newton )</w:t>
            </w:r>
          </w:p>
          <w:p w:rsidR="00E945EF" w:rsidRDefault="00E945EF" w:rsidP="0042468C">
            <w:pPr>
              <w:pStyle w:val="ListParagraph"/>
              <w:numPr>
                <w:ilvl w:val="0"/>
                <w:numId w:val="4"/>
              </w:numPr>
            </w:pPr>
            <w:r w:rsidRPr="00B1713B">
              <w:rPr>
                <w:u w:val="single"/>
              </w:rPr>
              <w:t>&lt;</w:t>
            </w:r>
            <w:r>
              <w:t xml:space="preserve">3.0 mils (Newburyport, </w:t>
            </w:r>
            <w:r w:rsidRPr="000A1169">
              <w:rPr>
                <w:highlight w:val="yellow"/>
              </w:rPr>
              <w:t>Northampton</w:t>
            </w:r>
            <w:r>
              <w:t>)</w:t>
            </w:r>
          </w:p>
          <w:p w:rsidR="00E945EF" w:rsidRDefault="00E945EF" w:rsidP="0042468C">
            <w:pPr>
              <w:pStyle w:val="ListParagraph"/>
              <w:numPr>
                <w:ilvl w:val="0"/>
                <w:numId w:val="4"/>
              </w:numPr>
            </w:pPr>
            <w:r w:rsidRPr="00B742C3">
              <w:t>&lt;3.5 mils (We</w:t>
            </w:r>
            <w:r>
              <w:t>l</w:t>
            </w:r>
            <w:r w:rsidRPr="00B742C3">
              <w:t>lfleet)</w:t>
            </w:r>
          </w:p>
          <w:p w:rsidR="00E945EF" w:rsidRDefault="00E945EF" w:rsidP="0042468C">
            <w:pPr>
              <w:pStyle w:val="ListParagraph"/>
              <w:numPr>
                <w:ilvl w:val="0"/>
                <w:numId w:val="4"/>
              </w:numPr>
            </w:pPr>
            <w:r w:rsidRPr="00B742C3">
              <w:t>&lt;4.0 mils (</w:t>
            </w:r>
            <w:r w:rsidRPr="000A1169">
              <w:rPr>
                <w:highlight w:val="yellow"/>
              </w:rPr>
              <w:t>Williamstown</w:t>
            </w:r>
            <w:r>
              <w:t>)</w:t>
            </w:r>
          </w:p>
        </w:tc>
      </w:tr>
    </w:tbl>
    <w:p w:rsidR="00E945EF" w:rsidRDefault="00E945EF" w:rsidP="0042468C">
      <w:pPr>
        <w:spacing w:line="240" w:lineRule="auto"/>
      </w:pPr>
    </w:p>
    <w:p w:rsidR="00E235F2" w:rsidRDefault="00E235F2" w:rsidP="0042468C">
      <w:pPr>
        <w:spacing w:line="240" w:lineRule="auto"/>
      </w:pPr>
    </w:p>
    <w:tbl>
      <w:tblPr>
        <w:tblStyle w:val="TableGrid"/>
        <w:tblW w:w="0" w:type="auto"/>
        <w:tblInd w:w="686" w:type="dxa"/>
        <w:tblLook w:val="04A0" w:firstRow="1" w:lastRow="0" w:firstColumn="1" w:lastColumn="0" w:noHBand="0" w:noVBand="1"/>
      </w:tblPr>
      <w:tblGrid>
        <w:gridCol w:w="1873"/>
        <w:gridCol w:w="7560"/>
      </w:tblGrid>
      <w:tr w:rsidR="00E945EF" w:rsidTr="00C202DE">
        <w:tc>
          <w:tcPr>
            <w:tcW w:w="1873" w:type="dxa"/>
          </w:tcPr>
          <w:p w:rsidR="00E945EF" w:rsidRPr="002361D1" w:rsidRDefault="00E945EF" w:rsidP="0042468C">
            <w:pPr>
              <w:jc w:val="center"/>
              <w:rPr>
                <w:b/>
              </w:rPr>
            </w:pPr>
            <w:r w:rsidRPr="002361D1">
              <w:rPr>
                <w:b/>
              </w:rPr>
              <w:t>Parameter</w:t>
            </w:r>
          </w:p>
        </w:tc>
        <w:tc>
          <w:tcPr>
            <w:tcW w:w="7560" w:type="dxa"/>
          </w:tcPr>
          <w:p w:rsidR="00E945EF" w:rsidRPr="002361D1" w:rsidRDefault="00E945EF" w:rsidP="0042468C">
            <w:pPr>
              <w:jc w:val="center"/>
              <w:rPr>
                <w:b/>
              </w:rPr>
            </w:pPr>
            <w:r w:rsidRPr="002361D1">
              <w:rPr>
                <w:b/>
              </w:rPr>
              <w:t>Specifics and Municipality/ies</w:t>
            </w:r>
          </w:p>
        </w:tc>
      </w:tr>
      <w:tr w:rsidR="00E945EF" w:rsidTr="00C202DE">
        <w:tc>
          <w:tcPr>
            <w:tcW w:w="1873" w:type="dxa"/>
          </w:tcPr>
          <w:p w:rsidR="00E945EF" w:rsidRDefault="00E945EF" w:rsidP="0042468C">
            <w:r>
              <w:t>Regulations</w:t>
            </w:r>
          </w:p>
        </w:tc>
        <w:tc>
          <w:tcPr>
            <w:tcW w:w="7560" w:type="dxa"/>
          </w:tcPr>
          <w:p w:rsidR="00E945EF" w:rsidRDefault="00E945EF" w:rsidP="0042468C">
            <w:pPr>
              <w:pStyle w:val="ListParagraph"/>
              <w:numPr>
                <w:ilvl w:val="0"/>
                <w:numId w:val="3"/>
              </w:numPr>
            </w:pPr>
            <w:r>
              <w:t>Prohibits any establishment from selling, providing, or distributing single-use plastic bags to customers (</w:t>
            </w:r>
            <w:r w:rsidR="00455EE6">
              <w:t>a</w:t>
            </w:r>
            <w:r>
              <w:t>ll but Nantucket – which bans all plastic - have this or something similar)</w:t>
            </w:r>
          </w:p>
          <w:p w:rsidR="00E945EF" w:rsidRDefault="00E945EF" w:rsidP="0042468C">
            <w:pPr>
              <w:pStyle w:val="ListParagraph"/>
              <w:numPr>
                <w:ilvl w:val="0"/>
                <w:numId w:val="3"/>
              </w:numPr>
            </w:pPr>
            <w:r>
              <w:t xml:space="preserve">Establishments may and are strongly encouraged to distribute paper bags, reusable bags and boxes to customers with or without charge and to promote washable reusable bags (Barnstable, Falmouth, </w:t>
            </w:r>
            <w:r w:rsidRPr="000A1169">
              <w:rPr>
                <w:highlight w:val="yellow"/>
              </w:rPr>
              <w:t>Great Barrington</w:t>
            </w:r>
            <w:r>
              <w:t xml:space="preserve"> and Manchester – note reusable or biodegradable thick plastic, fabric, other types, as well as paper, Harwich, Manchester, Newburyport – biodegradable or reusable, Newton and Provincetown – paper or reusable, Wellfleet </w:t>
            </w:r>
          </w:p>
          <w:p w:rsidR="00E945EF" w:rsidRDefault="00E945EF" w:rsidP="0042468C">
            <w:pPr>
              <w:pStyle w:val="ListParagraph"/>
              <w:numPr>
                <w:ilvl w:val="0"/>
                <w:numId w:val="3"/>
              </w:numPr>
            </w:pPr>
            <w:r>
              <w:t>Retail establishments may provide or sell reusable bags (</w:t>
            </w:r>
            <w:r w:rsidRPr="000A1169">
              <w:rPr>
                <w:highlight w:val="yellow"/>
              </w:rPr>
              <w:t>Williamstown</w:t>
            </w:r>
            <w:r>
              <w:t>)</w:t>
            </w:r>
          </w:p>
          <w:p w:rsidR="00E945EF" w:rsidRDefault="00E945EF" w:rsidP="0042468C">
            <w:pPr>
              <w:pStyle w:val="ListParagraph"/>
              <w:numPr>
                <w:ilvl w:val="0"/>
                <w:numId w:val="3"/>
              </w:numPr>
            </w:pPr>
            <w:r>
              <w:t>Retail establishments must have prominent displays advising customers to sanitize reusable bags (Cambridge)</w:t>
            </w:r>
          </w:p>
          <w:p w:rsidR="00E945EF" w:rsidRDefault="00E945EF" w:rsidP="0042468C">
            <w:pPr>
              <w:pStyle w:val="ListParagraph"/>
              <w:numPr>
                <w:ilvl w:val="0"/>
                <w:numId w:val="3"/>
              </w:numPr>
            </w:pPr>
            <w:r>
              <w:t>Retail establishments must encourage customers to bring their own bags (Concord)</w:t>
            </w:r>
          </w:p>
          <w:p w:rsidR="00E945EF" w:rsidRDefault="00E945EF" w:rsidP="0042468C">
            <w:pPr>
              <w:pStyle w:val="ListParagraph"/>
              <w:numPr>
                <w:ilvl w:val="0"/>
                <w:numId w:val="3"/>
              </w:numPr>
            </w:pPr>
            <w:r>
              <w:t xml:space="preserve">Customers encouraged to bring their own bags (Concord, </w:t>
            </w:r>
            <w:r w:rsidRPr="000A1169">
              <w:rPr>
                <w:highlight w:val="yellow"/>
              </w:rPr>
              <w:t>Great Barrington</w:t>
            </w:r>
            <w:r>
              <w:t>, Harwich, Manchester, Provincetown)</w:t>
            </w:r>
          </w:p>
          <w:p w:rsidR="00E945EF" w:rsidRDefault="00E945EF" w:rsidP="0042468C">
            <w:pPr>
              <w:pStyle w:val="ListParagraph"/>
              <w:numPr>
                <w:ilvl w:val="0"/>
                <w:numId w:val="3"/>
              </w:numPr>
            </w:pPr>
            <w:r>
              <w:t xml:space="preserve">NOTE: most authorize development of rules and regulations to implement </w:t>
            </w:r>
          </w:p>
        </w:tc>
      </w:tr>
      <w:tr w:rsidR="00E945EF" w:rsidTr="00C202DE">
        <w:tc>
          <w:tcPr>
            <w:tcW w:w="1873" w:type="dxa"/>
          </w:tcPr>
          <w:p w:rsidR="00E945EF" w:rsidRDefault="00E945EF" w:rsidP="0042468C">
            <w:r>
              <w:t>Alternatives</w:t>
            </w:r>
          </w:p>
        </w:tc>
        <w:tc>
          <w:tcPr>
            <w:tcW w:w="7560" w:type="dxa"/>
          </w:tcPr>
          <w:p w:rsidR="00E945EF" w:rsidRDefault="00E945EF" w:rsidP="0042468C">
            <w:r>
              <w:t xml:space="preserve">Barnstable, Brookline, Hamilton, Marblehead, </w:t>
            </w:r>
            <w:r w:rsidRPr="000A1169">
              <w:rPr>
                <w:highlight w:val="yellow"/>
              </w:rPr>
              <w:t>Williamstown</w:t>
            </w:r>
            <w:r>
              <w:t xml:space="preserve">; </w:t>
            </w:r>
            <w:r w:rsidRPr="000A1169">
              <w:rPr>
                <w:highlight w:val="yellow"/>
              </w:rPr>
              <w:t>Northampton</w:t>
            </w:r>
            <w:r>
              <w:t xml:space="preserve"> – without paper, </w:t>
            </w:r>
          </w:p>
          <w:p w:rsidR="00E945EF" w:rsidRDefault="00E945EF" w:rsidP="0042468C">
            <w:pPr>
              <w:pStyle w:val="ListParagraph"/>
              <w:numPr>
                <w:ilvl w:val="0"/>
                <w:numId w:val="3"/>
              </w:numPr>
            </w:pPr>
            <w:r>
              <w:t>If any establishment provides carryout bags, produce bags, or product bags to customers, the bags must be one of the following:</w:t>
            </w:r>
          </w:p>
          <w:p w:rsidR="00E945EF" w:rsidRDefault="00E945EF" w:rsidP="0042468C">
            <w:pPr>
              <w:pStyle w:val="ListParagraph"/>
              <w:numPr>
                <w:ilvl w:val="1"/>
                <w:numId w:val="3"/>
              </w:numPr>
            </w:pPr>
            <w:r>
              <w:t>Recyclable Paper Bag, or</w:t>
            </w:r>
          </w:p>
          <w:p w:rsidR="00E945EF" w:rsidRDefault="00E945EF" w:rsidP="0042468C">
            <w:pPr>
              <w:pStyle w:val="ListParagraph"/>
              <w:numPr>
                <w:ilvl w:val="1"/>
                <w:numId w:val="3"/>
              </w:numPr>
            </w:pPr>
            <w:r>
              <w:t>Reusable Carryout Bag, or (Concord, Falmouth only have this)</w:t>
            </w:r>
          </w:p>
          <w:p w:rsidR="00E945EF" w:rsidRDefault="00E945EF" w:rsidP="0042468C">
            <w:pPr>
              <w:pStyle w:val="ListParagraph"/>
              <w:numPr>
                <w:ilvl w:val="1"/>
                <w:numId w:val="3"/>
              </w:numPr>
            </w:pPr>
            <w:r>
              <w:t>Compostable Plastic Bag (meeting ASTM D6400), or (Brookline and Marblehead say and)</w:t>
            </w:r>
          </w:p>
          <w:p w:rsidR="00E945EF" w:rsidRDefault="00E945EF" w:rsidP="0042468C">
            <w:pPr>
              <w:pStyle w:val="ListParagraph"/>
              <w:numPr>
                <w:ilvl w:val="1"/>
                <w:numId w:val="3"/>
              </w:numPr>
            </w:pPr>
            <w:r>
              <w:t>Marine Degradable Plastic Bag (meeting ASTM 7081)</w:t>
            </w:r>
          </w:p>
          <w:p w:rsidR="00E945EF" w:rsidRDefault="00E945EF" w:rsidP="0042468C">
            <w:r>
              <w:t>Cambridge</w:t>
            </w:r>
          </w:p>
          <w:p w:rsidR="00E945EF" w:rsidRDefault="00E945EF" w:rsidP="0042468C">
            <w:pPr>
              <w:pStyle w:val="ListParagraph"/>
              <w:numPr>
                <w:ilvl w:val="0"/>
                <w:numId w:val="3"/>
              </w:numPr>
            </w:pPr>
            <w:r>
              <w:t>Only Recyclable Paper Bags and Reusable Bags</w:t>
            </w:r>
          </w:p>
        </w:tc>
      </w:tr>
      <w:tr w:rsidR="00E945EF" w:rsidTr="00C202DE">
        <w:tc>
          <w:tcPr>
            <w:tcW w:w="1873" w:type="dxa"/>
          </w:tcPr>
          <w:p w:rsidR="00E945EF" w:rsidRDefault="00E945EF" w:rsidP="0042468C">
            <w:r>
              <w:t>Charging for Alternative Bags</w:t>
            </w:r>
          </w:p>
        </w:tc>
        <w:tc>
          <w:tcPr>
            <w:tcW w:w="7560" w:type="dxa"/>
          </w:tcPr>
          <w:p w:rsidR="00E945EF" w:rsidRDefault="00E945EF" w:rsidP="0042468C">
            <w:pPr>
              <w:pStyle w:val="ListParagraph"/>
              <w:numPr>
                <w:ilvl w:val="0"/>
                <w:numId w:val="3"/>
              </w:numPr>
            </w:pPr>
            <w:r>
              <w:t xml:space="preserve">Retail establishments may or may not charge (Falmouth, </w:t>
            </w:r>
            <w:r w:rsidRPr="000A1169">
              <w:rPr>
                <w:highlight w:val="yellow"/>
              </w:rPr>
              <w:t>Great Barrington</w:t>
            </w:r>
            <w:r>
              <w:t>, Harwich, Manchester, Provincetown, Wellfleet)</w:t>
            </w:r>
          </w:p>
          <w:p w:rsidR="00E945EF" w:rsidRDefault="00E945EF" w:rsidP="0042468C">
            <w:pPr>
              <w:pStyle w:val="ListParagraph"/>
              <w:numPr>
                <w:ilvl w:val="0"/>
                <w:numId w:val="3"/>
              </w:numPr>
            </w:pPr>
            <w:r>
              <w:t xml:space="preserve">Retail establishments must charge no less than the amount set forth in regulations - $0.10 (Cambridge, </w:t>
            </w:r>
            <w:r w:rsidRPr="000A1169">
              <w:rPr>
                <w:highlight w:val="yellow"/>
              </w:rPr>
              <w:t>Williamstown</w:t>
            </w:r>
            <w:r>
              <w:t xml:space="preserve">) </w:t>
            </w:r>
          </w:p>
          <w:p w:rsidR="00E945EF" w:rsidRDefault="00E945EF" w:rsidP="0042468C">
            <w:pPr>
              <w:pStyle w:val="ListParagraph"/>
              <w:numPr>
                <w:ilvl w:val="0"/>
                <w:numId w:val="3"/>
              </w:numPr>
            </w:pPr>
            <w:r>
              <w:t>Retail establishments must separately itemize the charge on receipts (Cambridge)</w:t>
            </w:r>
          </w:p>
          <w:p w:rsidR="00E945EF" w:rsidRDefault="00E945EF" w:rsidP="0042468C">
            <w:pPr>
              <w:pStyle w:val="ListParagraph"/>
              <w:numPr>
                <w:ilvl w:val="0"/>
                <w:numId w:val="3"/>
              </w:numPr>
            </w:pPr>
            <w:r>
              <w:t xml:space="preserve">Retail establishments keep the revenues from these charges (Cambridge, Provincetown, Wellfleet, </w:t>
            </w:r>
            <w:r w:rsidRPr="000A1169">
              <w:rPr>
                <w:highlight w:val="yellow"/>
              </w:rPr>
              <w:t>Williamstown</w:t>
            </w:r>
            <w:r>
              <w:t>)</w:t>
            </w:r>
          </w:p>
          <w:p w:rsidR="00E945EF" w:rsidRDefault="00E945EF" w:rsidP="0042468C">
            <w:pPr>
              <w:pStyle w:val="ListParagraph"/>
              <w:numPr>
                <w:ilvl w:val="0"/>
                <w:numId w:val="3"/>
              </w:numPr>
            </w:pPr>
            <w:r>
              <w:t>A reasonable price (Concord, Harwich)</w:t>
            </w:r>
          </w:p>
          <w:p w:rsidR="00E945EF" w:rsidRDefault="00E945EF" w:rsidP="0042468C">
            <w:pPr>
              <w:pStyle w:val="ListParagraph"/>
              <w:numPr>
                <w:ilvl w:val="0"/>
                <w:numId w:val="3"/>
              </w:numPr>
            </w:pPr>
            <w:r>
              <w:t>No charge for reusable bags for customers with a voucher issued under WIC (Barnstable)</w:t>
            </w:r>
          </w:p>
        </w:tc>
      </w:tr>
    </w:tbl>
    <w:p w:rsidR="00E945EF" w:rsidRDefault="00E945EF" w:rsidP="0042468C">
      <w:pPr>
        <w:spacing w:line="240" w:lineRule="auto"/>
      </w:pPr>
      <w:r>
        <w:br w:type="page"/>
      </w:r>
    </w:p>
    <w:p w:rsidR="00E945EF" w:rsidRDefault="00E945EF" w:rsidP="0042468C">
      <w:pPr>
        <w:spacing w:line="240" w:lineRule="auto"/>
      </w:pPr>
    </w:p>
    <w:tbl>
      <w:tblPr>
        <w:tblStyle w:val="TableGrid"/>
        <w:tblW w:w="0" w:type="auto"/>
        <w:jc w:val="center"/>
        <w:tblLook w:val="04A0" w:firstRow="1" w:lastRow="0" w:firstColumn="1" w:lastColumn="0" w:noHBand="0" w:noVBand="1"/>
      </w:tblPr>
      <w:tblGrid>
        <w:gridCol w:w="1873"/>
        <w:gridCol w:w="7560"/>
      </w:tblGrid>
      <w:tr w:rsidR="00E945EF" w:rsidTr="00C202DE">
        <w:trPr>
          <w:jc w:val="center"/>
        </w:trPr>
        <w:tc>
          <w:tcPr>
            <w:tcW w:w="1873" w:type="dxa"/>
          </w:tcPr>
          <w:p w:rsidR="00E945EF" w:rsidRPr="002361D1" w:rsidRDefault="00E945EF" w:rsidP="0042468C">
            <w:pPr>
              <w:jc w:val="center"/>
              <w:rPr>
                <w:b/>
              </w:rPr>
            </w:pPr>
            <w:r w:rsidRPr="002361D1">
              <w:rPr>
                <w:b/>
              </w:rPr>
              <w:t>Parameter</w:t>
            </w:r>
          </w:p>
        </w:tc>
        <w:tc>
          <w:tcPr>
            <w:tcW w:w="7560" w:type="dxa"/>
          </w:tcPr>
          <w:p w:rsidR="00E945EF" w:rsidRPr="002361D1" w:rsidRDefault="00E945EF" w:rsidP="0042468C">
            <w:pPr>
              <w:jc w:val="center"/>
              <w:rPr>
                <w:b/>
              </w:rPr>
            </w:pPr>
            <w:r w:rsidRPr="002361D1">
              <w:rPr>
                <w:b/>
              </w:rPr>
              <w:t>Specifics and Municipality/ies</w:t>
            </w:r>
          </w:p>
        </w:tc>
      </w:tr>
      <w:tr w:rsidR="00E945EF" w:rsidTr="00C202DE">
        <w:trPr>
          <w:jc w:val="center"/>
        </w:trPr>
        <w:tc>
          <w:tcPr>
            <w:tcW w:w="1873" w:type="dxa"/>
          </w:tcPr>
          <w:p w:rsidR="00E945EF" w:rsidRDefault="00E945EF" w:rsidP="0042468C">
            <w:r>
              <w:t>Exemptions</w:t>
            </w:r>
          </w:p>
        </w:tc>
        <w:tc>
          <w:tcPr>
            <w:tcW w:w="7560" w:type="dxa"/>
          </w:tcPr>
          <w:p w:rsidR="00E945EF" w:rsidRDefault="00E945EF" w:rsidP="0042468C">
            <w:r>
              <w:t xml:space="preserve">Barnstable, Cambridge, Falmouth, </w:t>
            </w:r>
            <w:r w:rsidRPr="000A1169">
              <w:rPr>
                <w:highlight w:val="yellow"/>
              </w:rPr>
              <w:t>Great Barrington</w:t>
            </w:r>
            <w:r>
              <w:t xml:space="preserve">, Hamilton, Harwich, Manchester, Marblehead, Newton, </w:t>
            </w:r>
            <w:r w:rsidRPr="000A1169">
              <w:rPr>
                <w:highlight w:val="yellow"/>
              </w:rPr>
              <w:t>Northampton</w:t>
            </w:r>
            <w:r>
              <w:t xml:space="preserve">, Provincetown, Wellfleet, </w:t>
            </w:r>
            <w:r w:rsidRPr="000A1169">
              <w:rPr>
                <w:highlight w:val="yellow"/>
              </w:rPr>
              <w:t>Williamstown</w:t>
            </w:r>
          </w:p>
          <w:p w:rsidR="00E945EF" w:rsidRDefault="00E945EF" w:rsidP="0042468C">
            <w:pPr>
              <w:pStyle w:val="ListParagraph"/>
              <w:numPr>
                <w:ilvl w:val="0"/>
                <w:numId w:val="3"/>
              </w:numPr>
            </w:pPr>
            <w:r>
              <w:t>Bags used by customers inside establishments to:</w:t>
            </w:r>
          </w:p>
          <w:p w:rsidR="00E945EF" w:rsidRDefault="00E945EF" w:rsidP="0042468C">
            <w:pPr>
              <w:pStyle w:val="ListParagraph"/>
              <w:numPr>
                <w:ilvl w:val="1"/>
                <w:numId w:val="3"/>
              </w:numPr>
            </w:pPr>
            <w:r>
              <w:t>package bulk items, such as fruit, vegetables, nuts, grains, candy or small hardware items; (Brookline, Concord only allows this)</w:t>
            </w:r>
          </w:p>
          <w:p w:rsidR="00E945EF" w:rsidRDefault="00E945EF" w:rsidP="0042468C">
            <w:pPr>
              <w:pStyle w:val="ListParagraph"/>
              <w:numPr>
                <w:ilvl w:val="1"/>
                <w:numId w:val="3"/>
              </w:numPr>
            </w:pPr>
            <w:r>
              <w:t>contain or wrap frozen foods, meat, or fish, whether packaged or not;</w:t>
            </w:r>
          </w:p>
          <w:p w:rsidR="00E945EF" w:rsidRDefault="00E945EF" w:rsidP="0042468C">
            <w:pPr>
              <w:pStyle w:val="ListParagraph"/>
              <w:numPr>
                <w:ilvl w:val="1"/>
                <w:numId w:val="3"/>
              </w:numPr>
            </w:pPr>
            <w:r>
              <w:t>contain or wrap flowers, potted plants, or other items where dampness may be a problem;</w:t>
            </w:r>
          </w:p>
          <w:p w:rsidR="00E945EF" w:rsidRDefault="00E945EF" w:rsidP="0042468C">
            <w:pPr>
              <w:pStyle w:val="ListParagraph"/>
              <w:numPr>
                <w:ilvl w:val="0"/>
                <w:numId w:val="3"/>
              </w:numPr>
            </w:pPr>
            <w:r>
              <w:t>Laundry or dry-cleaning bags or bags sold in packages containing multiple bags intended to be used for home food storage, garbage, waste, pet waste or yard waste.</w:t>
            </w:r>
          </w:p>
          <w:p w:rsidR="00E945EF" w:rsidRDefault="00E945EF" w:rsidP="0042468C">
            <w:pPr>
              <w:pStyle w:val="ListParagraph"/>
              <w:numPr>
                <w:ilvl w:val="0"/>
                <w:numId w:val="10"/>
              </w:numPr>
            </w:pPr>
            <w:r>
              <w:t>Product bags.</w:t>
            </w:r>
          </w:p>
          <w:p w:rsidR="00E945EF" w:rsidRDefault="00E945EF" w:rsidP="0042468C">
            <w:pPr>
              <w:pStyle w:val="ListParagraph"/>
              <w:numPr>
                <w:ilvl w:val="0"/>
                <w:numId w:val="3"/>
              </w:numPr>
            </w:pPr>
            <w:r>
              <w:t>Bags of any type brought by customers</w:t>
            </w:r>
          </w:p>
          <w:p w:rsidR="00E945EF" w:rsidRDefault="00E945EF" w:rsidP="0042468C">
            <w:r>
              <w:t>Plus:</w:t>
            </w:r>
          </w:p>
          <w:p w:rsidR="00E945EF" w:rsidRDefault="00E945EF" w:rsidP="0042468C">
            <w:pPr>
              <w:pStyle w:val="ListParagraph"/>
              <w:numPr>
                <w:ilvl w:val="0"/>
                <w:numId w:val="3"/>
              </w:numPr>
            </w:pPr>
            <w:r>
              <w:t>Newspaper bags (Cambridge, Hamilton, Provincetown, Wellfleet)</w:t>
            </w:r>
          </w:p>
          <w:p w:rsidR="00E945EF" w:rsidRDefault="00E945EF" w:rsidP="0042468C">
            <w:pPr>
              <w:pStyle w:val="ListParagraph"/>
              <w:numPr>
                <w:ilvl w:val="0"/>
                <w:numId w:val="3"/>
              </w:numPr>
            </w:pPr>
            <w:r>
              <w:t>Retail establishments &lt;2500 sq. ft., single pharmacies, or self-service supermarkets with &lt;$1 million in revenues (Brookline)</w:t>
            </w:r>
          </w:p>
          <w:p w:rsidR="00E945EF" w:rsidRDefault="00E945EF" w:rsidP="0042468C">
            <w:pPr>
              <w:pStyle w:val="ListParagraph"/>
              <w:numPr>
                <w:ilvl w:val="0"/>
                <w:numId w:val="3"/>
              </w:numPr>
            </w:pPr>
            <w:r>
              <w:rPr>
                <w:rFonts w:cs="Times New Roman"/>
              </w:rPr>
              <w:t>N</w:t>
            </w:r>
            <w:r w:rsidRPr="008220DB">
              <w:rPr>
                <w:rFonts w:cs="Times New Roman"/>
              </w:rPr>
              <w:t>on-profit corporation or other charity to</w:t>
            </w:r>
            <w:r>
              <w:rPr>
                <w:rFonts w:cs="Times New Roman"/>
              </w:rPr>
              <w:t xml:space="preserve"> </w:t>
            </w:r>
            <w:r w:rsidRPr="00174895">
              <w:rPr>
                <w:rFonts w:cs="Times New Roman"/>
              </w:rPr>
              <w:t>distribute food, grocery products, clothing, or other household items to clients</w:t>
            </w:r>
            <w:r>
              <w:rPr>
                <w:rFonts w:cs="Times New Roman"/>
              </w:rPr>
              <w:t xml:space="preserve"> (</w:t>
            </w:r>
            <w:r w:rsidRPr="000A1169">
              <w:rPr>
                <w:rFonts w:cs="Times New Roman"/>
                <w:highlight w:val="yellow"/>
              </w:rPr>
              <w:t>Williamstown</w:t>
            </w:r>
            <w:r>
              <w:rPr>
                <w:rFonts w:cs="Times New Roman"/>
              </w:rPr>
              <w:t>)</w:t>
            </w:r>
            <w:r>
              <w:t xml:space="preserve"> </w:t>
            </w:r>
          </w:p>
        </w:tc>
      </w:tr>
      <w:tr w:rsidR="00E945EF" w:rsidTr="00C202DE">
        <w:trPr>
          <w:jc w:val="center"/>
        </w:trPr>
        <w:tc>
          <w:tcPr>
            <w:tcW w:w="1873" w:type="dxa"/>
          </w:tcPr>
          <w:p w:rsidR="00E945EF" w:rsidRDefault="00E945EF" w:rsidP="0042468C">
            <w:r>
              <w:t>Deferment/waiver</w:t>
            </w:r>
          </w:p>
        </w:tc>
        <w:tc>
          <w:tcPr>
            <w:tcW w:w="7560" w:type="dxa"/>
          </w:tcPr>
          <w:p w:rsidR="00E945EF" w:rsidRDefault="00E945EF" w:rsidP="0042468C">
            <w:pPr>
              <w:pStyle w:val="ListParagraph"/>
              <w:numPr>
                <w:ilvl w:val="0"/>
                <w:numId w:val="5"/>
              </w:numPr>
            </w:pPr>
            <w:r>
              <w:t>When compliance imposes a unique undue hardship – typically up to one-year maximum (Barnstable)</w:t>
            </w:r>
          </w:p>
          <w:p w:rsidR="00E945EF" w:rsidRDefault="00E945EF" w:rsidP="0042468C">
            <w:pPr>
              <w:pStyle w:val="ListParagraph"/>
              <w:numPr>
                <w:ilvl w:val="1"/>
                <w:numId w:val="5"/>
              </w:numPr>
            </w:pPr>
            <w:r>
              <w:t>Six months with max six month additional (Brookline, Newton – just six, Northampton)</w:t>
            </w:r>
          </w:p>
          <w:p w:rsidR="00E945EF" w:rsidRDefault="00E945EF" w:rsidP="0042468C">
            <w:pPr>
              <w:pStyle w:val="ListParagraph"/>
              <w:numPr>
                <w:ilvl w:val="1"/>
                <w:numId w:val="5"/>
              </w:numPr>
            </w:pPr>
            <w:r>
              <w:t>Up to two years, repeatable (Cambridge)</w:t>
            </w:r>
          </w:p>
          <w:p w:rsidR="00E945EF" w:rsidRDefault="00E945EF" w:rsidP="0042468C">
            <w:pPr>
              <w:pStyle w:val="ListParagraph"/>
              <w:numPr>
                <w:ilvl w:val="0"/>
                <w:numId w:val="5"/>
              </w:numPr>
            </w:pPr>
            <w:r>
              <w:t>Note: often driven by inventory of prohibited bags</w:t>
            </w:r>
          </w:p>
        </w:tc>
      </w:tr>
      <w:tr w:rsidR="00E945EF" w:rsidTr="00C202DE">
        <w:trPr>
          <w:jc w:val="center"/>
        </w:trPr>
        <w:tc>
          <w:tcPr>
            <w:tcW w:w="1873" w:type="dxa"/>
          </w:tcPr>
          <w:p w:rsidR="00E945EF" w:rsidRDefault="00E945EF" w:rsidP="0042468C">
            <w:r>
              <w:t>Enforcing agency</w:t>
            </w:r>
          </w:p>
        </w:tc>
        <w:tc>
          <w:tcPr>
            <w:tcW w:w="7560" w:type="dxa"/>
          </w:tcPr>
          <w:p w:rsidR="00E945EF" w:rsidRDefault="00E945EF" w:rsidP="0042468C">
            <w:pPr>
              <w:pStyle w:val="ListParagraph"/>
              <w:numPr>
                <w:ilvl w:val="0"/>
                <w:numId w:val="5"/>
              </w:numPr>
            </w:pPr>
            <w:r>
              <w:t>Board of Health/Health Department/Health Agent or designee (Brookline, Falmouth, Hamilton, Harwich, Marblehead, Newton, Wellfleet)</w:t>
            </w:r>
          </w:p>
          <w:p w:rsidR="00E945EF" w:rsidRDefault="00E945EF" w:rsidP="0042468C">
            <w:pPr>
              <w:pStyle w:val="ListParagraph"/>
              <w:numPr>
                <w:ilvl w:val="0"/>
                <w:numId w:val="5"/>
              </w:numPr>
            </w:pPr>
            <w:r>
              <w:t xml:space="preserve">Health Department or Mayor’s designee – </w:t>
            </w:r>
            <w:r w:rsidRPr="000A1169">
              <w:rPr>
                <w:highlight w:val="yellow"/>
              </w:rPr>
              <w:t>Northampton)</w:t>
            </w:r>
          </w:p>
          <w:p w:rsidR="00E945EF" w:rsidRDefault="00E945EF" w:rsidP="0042468C">
            <w:pPr>
              <w:pStyle w:val="ListParagraph"/>
              <w:numPr>
                <w:ilvl w:val="0"/>
                <w:numId w:val="5"/>
              </w:numPr>
            </w:pPr>
            <w:r>
              <w:t xml:space="preserve">The City/Town – Newburyport, </w:t>
            </w:r>
            <w:r w:rsidRPr="000A1169">
              <w:rPr>
                <w:highlight w:val="yellow"/>
              </w:rPr>
              <w:t>Williamstown</w:t>
            </w:r>
            <w:r>
              <w:t>)</w:t>
            </w:r>
          </w:p>
          <w:p w:rsidR="00E945EF" w:rsidRDefault="00E945EF" w:rsidP="0042468C">
            <w:pPr>
              <w:pStyle w:val="ListParagraph"/>
              <w:numPr>
                <w:ilvl w:val="0"/>
                <w:numId w:val="5"/>
              </w:numPr>
            </w:pPr>
            <w:r>
              <w:t>Town Manager or designee (Concord)</w:t>
            </w:r>
          </w:p>
          <w:p w:rsidR="00E945EF" w:rsidRPr="00322339" w:rsidRDefault="00E945EF" w:rsidP="0042468C">
            <w:pPr>
              <w:pStyle w:val="ListParagraph"/>
              <w:numPr>
                <w:ilvl w:val="0"/>
                <w:numId w:val="5"/>
              </w:numPr>
            </w:pPr>
            <w:r>
              <w:t xml:space="preserve">Police (Falmouth, Great Barrington – changed to Health Dept, Harwich, Manchester, Provincetown, Wellfleet)   </w:t>
            </w:r>
          </w:p>
          <w:p w:rsidR="00E945EF" w:rsidRPr="00F37602" w:rsidRDefault="00E945EF" w:rsidP="0042468C">
            <w:pPr>
              <w:pStyle w:val="ListParagraph"/>
              <w:numPr>
                <w:ilvl w:val="0"/>
                <w:numId w:val="5"/>
              </w:numPr>
            </w:pPr>
            <w:r w:rsidRPr="005E723C">
              <w:rPr>
                <w:rFonts w:eastAsia="Times New Roman" w:cs="Helvetica"/>
                <w:color w:val="333333"/>
              </w:rPr>
              <w:t>Commissioner of the Department of Public Works, the Executive Director of the License Commission, the Executive Director of Inspectional Services Department and the Commis</w:t>
            </w:r>
            <w:r>
              <w:rPr>
                <w:rFonts w:eastAsia="Times New Roman" w:cs="Helvetica"/>
                <w:color w:val="333333"/>
              </w:rPr>
              <w:t>sioner of the Health Commission (Cambridge)</w:t>
            </w:r>
          </w:p>
          <w:p w:rsidR="00E945EF" w:rsidRPr="00C30627" w:rsidRDefault="00E945EF" w:rsidP="0042468C">
            <w:pPr>
              <w:pStyle w:val="ListParagraph"/>
              <w:numPr>
                <w:ilvl w:val="0"/>
                <w:numId w:val="5"/>
              </w:numPr>
            </w:pPr>
            <w:r w:rsidRPr="00C30627">
              <w:rPr>
                <w:rFonts w:cs="Times New Roman"/>
              </w:rPr>
              <w:t>Enforcement officer or agent of the Board of Health or Licensing Department - Provincetown</w:t>
            </w:r>
          </w:p>
          <w:p w:rsidR="00E945EF" w:rsidRPr="005E723C" w:rsidRDefault="00E945EF" w:rsidP="0042468C">
            <w:pPr>
              <w:pStyle w:val="ListParagraph"/>
              <w:numPr>
                <w:ilvl w:val="0"/>
                <w:numId w:val="5"/>
              </w:numPr>
            </w:pPr>
            <w:r>
              <w:rPr>
                <w:rFonts w:eastAsia="Times New Roman" w:cs="Helvetica"/>
                <w:color w:val="333333"/>
              </w:rPr>
              <w:t>Defined by municipality’s general code (Barnstable)</w:t>
            </w:r>
          </w:p>
        </w:tc>
      </w:tr>
      <w:tr w:rsidR="00E945EF" w:rsidTr="00C202DE">
        <w:trPr>
          <w:jc w:val="center"/>
        </w:trPr>
        <w:tc>
          <w:tcPr>
            <w:tcW w:w="1873" w:type="dxa"/>
          </w:tcPr>
          <w:p w:rsidR="00E945EF" w:rsidRDefault="00E945EF" w:rsidP="0042468C">
            <w:r>
              <w:t>Enforcement</w:t>
            </w:r>
          </w:p>
        </w:tc>
        <w:tc>
          <w:tcPr>
            <w:tcW w:w="7560" w:type="dxa"/>
          </w:tcPr>
          <w:p w:rsidR="00E945EF" w:rsidRDefault="00E945EF" w:rsidP="0042468C">
            <w:pPr>
              <w:pStyle w:val="ListParagraph"/>
              <w:numPr>
                <w:ilvl w:val="0"/>
                <w:numId w:val="5"/>
              </w:numPr>
            </w:pPr>
            <w:r>
              <w:t xml:space="preserve">Any authorized person may conduct inspections at any time (Barnstable)  </w:t>
            </w:r>
          </w:p>
        </w:tc>
      </w:tr>
    </w:tbl>
    <w:p w:rsidR="00E945EF" w:rsidRDefault="00E945EF" w:rsidP="0042468C">
      <w:pPr>
        <w:spacing w:line="240" w:lineRule="auto"/>
      </w:pPr>
      <w:r>
        <w:br w:type="page"/>
      </w:r>
    </w:p>
    <w:tbl>
      <w:tblPr>
        <w:tblStyle w:val="TableGrid"/>
        <w:tblW w:w="0" w:type="auto"/>
        <w:jc w:val="center"/>
        <w:tblLook w:val="04A0" w:firstRow="1" w:lastRow="0" w:firstColumn="1" w:lastColumn="0" w:noHBand="0" w:noVBand="1"/>
      </w:tblPr>
      <w:tblGrid>
        <w:gridCol w:w="1873"/>
        <w:gridCol w:w="7560"/>
      </w:tblGrid>
      <w:tr w:rsidR="00E945EF" w:rsidTr="00C202DE">
        <w:trPr>
          <w:jc w:val="center"/>
        </w:trPr>
        <w:tc>
          <w:tcPr>
            <w:tcW w:w="1873" w:type="dxa"/>
          </w:tcPr>
          <w:p w:rsidR="00E945EF" w:rsidRPr="002361D1" w:rsidRDefault="00E945EF" w:rsidP="0042468C">
            <w:pPr>
              <w:jc w:val="center"/>
              <w:rPr>
                <w:b/>
              </w:rPr>
            </w:pPr>
            <w:r w:rsidRPr="002361D1">
              <w:rPr>
                <w:b/>
              </w:rPr>
              <w:lastRenderedPageBreak/>
              <w:t>Parameter</w:t>
            </w:r>
          </w:p>
        </w:tc>
        <w:tc>
          <w:tcPr>
            <w:tcW w:w="7560" w:type="dxa"/>
          </w:tcPr>
          <w:p w:rsidR="00E945EF" w:rsidRPr="002361D1" w:rsidRDefault="00E945EF" w:rsidP="0042468C">
            <w:pPr>
              <w:jc w:val="center"/>
              <w:rPr>
                <w:b/>
              </w:rPr>
            </w:pPr>
            <w:r w:rsidRPr="002361D1">
              <w:rPr>
                <w:b/>
              </w:rPr>
              <w:t>Specifics and Municipality/ies</w:t>
            </w:r>
          </w:p>
        </w:tc>
      </w:tr>
      <w:tr w:rsidR="00E945EF" w:rsidTr="00C202DE">
        <w:trPr>
          <w:jc w:val="center"/>
        </w:trPr>
        <w:tc>
          <w:tcPr>
            <w:tcW w:w="1873" w:type="dxa"/>
          </w:tcPr>
          <w:p w:rsidR="00E945EF" w:rsidRDefault="00E945EF" w:rsidP="0042468C">
            <w:r>
              <w:t>Penalties/fines</w:t>
            </w:r>
          </w:p>
        </w:tc>
        <w:tc>
          <w:tcPr>
            <w:tcW w:w="7560" w:type="dxa"/>
          </w:tcPr>
          <w:p w:rsidR="00E945EF" w:rsidRDefault="00E945EF" w:rsidP="0042468C">
            <w:pPr>
              <w:pStyle w:val="ListParagraph"/>
              <w:numPr>
                <w:ilvl w:val="0"/>
                <w:numId w:val="5"/>
              </w:numPr>
            </w:pPr>
            <w:r>
              <w:t>Each day a separate offense (virtually all)</w:t>
            </w:r>
          </w:p>
          <w:p w:rsidR="00E945EF" w:rsidRDefault="00E945EF" w:rsidP="0042468C">
            <w:pPr>
              <w:pStyle w:val="ListParagraph"/>
              <w:numPr>
                <w:ilvl w:val="0"/>
                <w:numId w:val="5"/>
              </w:numPr>
            </w:pPr>
            <w:r>
              <w:t>$25, $50 (Concord, Hamilton, Marblehead)</w:t>
            </w:r>
          </w:p>
          <w:p w:rsidR="00E945EF" w:rsidRDefault="00E945EF" w:rsidP="0042468C">
            <w:pPr>
              <w:pStyle w:val="ListParagraph"/>
              <w:numPr>
                <w:ilvl w:val="0"/>
                <w:numId w:val="5"/>
              </w:numPr>
            </w:pPr>
            <w:r>
              <w:t xml:space="preserve">$50, $100 (Brookline, </w:t>
            </w:r>
            <w:r w:rsidRPr="000A1169">
              <w:rPr>
                <w:highlight w:val="yellow"/>
              </w:rPr>
              <w:t>Northampton</w:t>
            </w:r>
            <w:r>
              <w:t>)</w:t>
            </w:r>
          </w:p>
          <w:p w:rsidR="00E945EF" w:rsidRDefault="00E945EF" w:rsidP="0042468C">
            <w:pPr>
              <w:pStyle w:val="ListParagraph"/>
              <w:numPr>
                <w:ilvl w:val="0"/>
                <w:numId w:val="5"/>
              </w:numPr>
            </w:pPr>
            <w:r>
              <w:t xml:space="preserve">$50, $100, $200 (Falmouth, Great Barrington, Harwich, Manchester, Provincetown, Wellfleet, </w:t>
            </w:r>
            <w:r w:rsidRPr="000A1169">
              <w:rPr>
                <w:highlight w:val="yellow"/>
              </w:rPr>
              <w:t>Williamstown</w:t>
            </w:r>
            <w:r>
              <w:t>)</w:t>
            </w:r>
          </w:p>
          <w:p w:rsidR="00E945EF" w:rsidRDefault="00E945EF" w:rsidP="0042468C">
            <w:pPr>
              <w:pStyle w:val="ListParagraph"/>
              <w:numPr>
                <w:ilvl w:val="0"/>
                <w:numId w:val="5"/>
              </w:numPr>
            </w:pPr>
            <w:r>
              <w:t>$100, $200 (Barnstable)</w:t>
            </w:r>
          </w:p>
          <w:p w:rsidR="00E945EF" w:rsidRDefault="00E945EF" w:rsidP="0042468C">
            <w:pPr>
              <w:pStyle w:val="ListParagraph"/>
              <w:numPr>
                <w:ilvl w:val="0"/>
                <w:numId w:val="5"/>
              </w:numPr>
            </w:pPr>
            <w:r>
              <w:t>$100, $200, $300 (Newburyport, Newton)</w:t>
            </w:r>
          </w:p>
          <w:p w:rsidR="00E945EF" w:rsidRDefault="00E945EF" w:rsidP="0042468C">
            <w:pPr>
              <w:pStyle w:val="ListParagraph"/>
              <w:numPr>
                <w:ilvl w:val="0"/>
                <w:numId w:val="5"/>
              </w:numPr>
            </w:pPr>
            <w:r>
              <w:t xml:space="preserve">$300 (Cambridge) </w:t>
            </w:r>
          </w:p>
          <w:p w:rsidR="00E945EF" w:rsidRDefault="00E945EF" w:rsidP="0042468C">
            <w:pPr>
              <w:pStyle w:val="ListParagraph"/>
              <w:numPr>
                <w:ilvl w:val="0"/>
                <w:numId w:val="5"/>
              </w:numPr>
            </w:pPr>
            <w:r>
              <w:t xml:space="preserve">Warning before fine (Barnstable, Brookline, Concord, Hamilton, Marblehead, Newburyport, Newton, </w:t>
            </w:r>
            <w:r w:rsidRPr="000A1169">
              <w:rPr>
                <w:highlight w:val="yellow"/>
              </w:rPr>
              <w:t>Northampton</w:t>
            </w:r>
            <w:r>
              <w:t xml:space="preserve">, </w:t>
            </w:r>
            <w:r w:rsidRPr="000A1169">
              <w:rPr>
                <w:highlight w:val="yellow"/>
              </w:rPr>
              <w:t>Williamstown</w:t>
            </w:r>
            <w:r>
              <w:t>)</w:t>
            </w:r>
          </w:p>
          <w:p w:rsidR="00E945EF" w:rsidRDefault="00E945EF" w:rsidP="0042468C">
            <w:pPr>
              <w:pStyle w:val="ListParagraph"/>
              <w:numPr>
                <w:ilvl w:val="0"/>
                <w:numId w:val="5"/>
              </w:numPr>
            </w:pPr>
            <w:r>
              <w:t>Permit/license suspension/revoke/deny (</w:t>
            </w:r>
            <w:r w:rsidRPr="000A1169">
              <w:rPr>
                <w:highlight w:val="yellow"/>
              </w:rPr>
              <w:t>Williamstown</w:t>
            </w:r>
            <w:r>
              <w:t>)</w:t>
            </w:r>
          </w:p>
        </w:tc>
      </w:tr>
      <w:tr w:rsidR="00E945EF" w:rsidTr="00C202DE">
        <w:trPr>
          <w:jc w:val="center"/>
        </w:trPr>
        <w:tc>
          <w:tcPr>
            <w:tcW w:w="1873" w:type="dxa"/>
          </w:tcPr>
          <w:p w:rsidR="00E945EF" w:rsidRDefault="00E945EF" w:rsidP="0042468C">
            <w:r>
              <w:t>Enforcement delay (post adoption)</w:t>
            </w:r>
          </w:p>
        </w:tc>
        <w:tc>
          <w:tcPr>
            <w:tcW w:w="7560" w:type="dxa"/>
          </w:tcPr>
          <w:p w:rsidR="00E945EF" w:rsidRDefault="00E945EF" w:rsidP="0042468C">
            <w:pPr>
              <w:pStyle w:val="ListParagraph"/>
              <w:numPr>
                <w:ilvl w:val="0"/>
                <w:numId w:val="6"/>
              </w:numPr>
            </w:pPr>
            <w:r>
              <w:t>Less than 6 months (</w:t>
            </w:r>
            <w:r w:rsidRPr="000A1169">
              <w:rPr>
                <w:highlight w:val="yellow"/>
              </w:rPr>
              <w:t>Great Barrington</w:t>
            </w:r>
            <w:r>
              <w:t>, Manchester, Provincetown</w:t>
            </w:r>
          </w:p>
          <w:p w:rsidR="00E945EF" w:rsidRDefault="00E945EF" w:rsidP="0042468C">
            <w:pPr>
              <w:pStyle w:val="ListParagraph"/>
              <w:numPr>
                <w:ilvl w:val="0"/>
                <w:numId w:val="6"/>
              </w:numPr>
            </w:pPr>
            <w:r>
              <w:t xml:space="preserve">6-&lt;12 months (Concord?, Northampton, Wellfleet; Newburyport, Newton, </w:t>
            </w:r>
            <w:r w:rsidRPr="000A1169">
              <w:rPr>
                <w:highlight w:val="yellow"/>
              </w:rPr>
              <w:t>Williamstown</w:t>
            </w:r>
            <w:r>
              <w:t xml:space="preserve"> = 6)</w:t>
            </w:r>
          </w:p>
          <w:p w:rsidR="00E945EF" w:rsidRDefault="00E945EF" w:rsidP="0042468C">
            <w:pPr>
              <w:pStyle w:val="ListParagraph"/>
              <w:numPr>
                <w:ilvl w:val="0"/>
                <w:numId w:val="6"/>
              </w:numPr>
            </w:pPr>
            <w:r>
              <w:t>12-18 months (Brookline, Cambridge; Barnstable, Hamilton, Harwich, Marblehead = 12)</w:t>
            </w:r>
          </w:p>
          <w:p w:rsidR="00E945EF" w:rsidRDefault="00E945EF" w:rsidP="0042468C">
            <w:pPr>
              <w:pStyle w:val="ListParagraph"/>
              <w:numPr>
                <w:ilvl w:val="0"/>
                <w:numId w:val="6"/>
              </w:numPr>
            </w:pPr>
            <w:r>
              <w:t>18 months (Falmouth)</w:t>
            </w:r>
          </w:p>
        </w:tc>
      </w:tr>
      <w:tr w:rsidR="00E945EF" w:rsidTr="00C202DE">
        <w:trPr>
          <w:jc w:val="center"/>
        </w:trPr>
        <w:tc>
          <w:tcPr>
            <w:tcW w:w="1873" w:type="dxa"/>
          </w:tcPr>
          <w:p w:rsidR="00E945EF" w:rsidRPr="00A622F3" w:rsidRDefault="00E945EF" w:rsidP="0042468C">
            <w:pPr>
              <w:rPr>
                <w:highlight w:val="yellow"/>
              </w:rPr>
            </w:pPr>
            <w:r w:rsidRPr="00A622F3">
              <w:rPr>
                <w:highlight w:val="yellow"/>
              </w:rPr>
              <w:t>What has not been addressed:</w:t>
            </w:r>
          </w:p>
        </w:tc>
        <w:tc>
          <w:tcPr>
            <w:tcW w:w="7560" w:type="dxa"/>
          </w:tcPr>
          <w:p w:rsidR="00E945EF" w:rsidRPr="00A622F3" w:rsidRDefault="00E945EF" w:rsidP="0042468C">
            <w:pPr>
              <w:pStyle w:val="ListParagraph"/>
              <w:numPr>
                <w:ilvl w:val="0"/>
                <w:numId w:val="6"/>
              </w:numPr>
              <w:rPr>
                <w:highlight w:val="yellow"/>
              </w:rPr>
            </w:pPr>
            <w:r w:rsidRPr="00A622F3">
              <w:rPr>
                <w:highlight w:val="yellow"/>
              </w:rPr>
              <w:t>Prohibition on using paper bags made from old growth trees</w:t>
            </w:r>
          </w:p>
          <w:p w:rsidR="00E945EF" w:rsidRDefault="00E945EF" w:rsidP="0042468C">
            <w:pPr>
              <w:pStyle w:val="ListParagraph"/>
              <w:numPr>
                <w:ilvl w:val="0"/>
                <w:numId w:val="6"/>
              </w:numPr>
              <w:rPr>
                <w:highlight w:val="yellow"/>
              </w:rPr>
            </w:pPr>
            <w:r w:rsidRPr="00A622F3">
              <w:rPr>
                <w:highlight w:val="yellow"/>
              </w:rPr>
              <w:t>Dyes used on bags – must be safe for health and the environment</w:t>
            </w:r>
          </w:p>
          <w:p w:rsidR="000553B6" w:rsidRPr="00A622F3" w:rsidRDefault="000553B6" w:rsidP="0042468C">
            <w:pPr>
              <w:pStyle w:val="ListParagraph"/>
              <w:numPr>
                <w:ilvl w:val="0"/>
                <w:numId w:val="6"/>
              </w:numPr>
              <w:rPr>
                <w:highlight w:val="yellow"/>
              </w:rPr>
            </w:pPr>
            <w:r>
              <w:rPr>
                <w:highlight w:val="yellow"/>
              </w:rPr>
              <w:t xml:space="preserve">By most: the </w:t>
            </w:r>
            <w:r w:rsidR="002C3117">
              <w:rPr>
                <w:highlight w:val="yellow"/>
              </w:rPr>
              <w:t xml:space="preserve">potential </w:t>
            </w:r>
            <w:r>
              <w:rPr>
                <w:highlight w:val="yellow"/>
              </w:rPr>
              <w:t>negative implications of “biodegradable” and “compostable” bags</w:t>
            </w:r>
          </w:p>
        </w:tc>
      </w:tr>
    </w:tbl>
    <w:p w:rsidR="00E945EF" w:rsidRDefault="00E945EF" w:rsidP="0042468C">
      <w:pPr>
        <w:spacing w:line="240" w:lineRule="auto"/>
      </w:pPr>
      <w:r>
        <w:t xml:space="preserve"> </w:t>
      </w:r>
    </w:p>
    <w:p w:rsidR="00DA23F2" w:rsidRDefault="00DA23F2" w:rsidP="0042468C">
      <w:pPr>
        <w:spacing w:line="240" w:lineRule="auto"/>
        <w:jc w:val="center"/>
      </w:pPr>
    </w:p>
    <w:sectPr w:rsidR="00DA23F2" w:rsidSect="00692C7D">
      <w:footerReference w:type="default" r:id="rId47"/>
      <w:footerReference w:type="first" r:id="rId4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113" w:rsidRDefault="00043113" w:rsidP="00DA23F2">
      <w:pPr>
        <w:spacing w:after="0" w:line="240" w:lineRule="auto"/>
      </w:pPr>
      <w:r>
        <w:separator/>
      </w:r>
    </w:p>
  </w:endnote>
  <w:endnote w:type="continuationSeparator" w:id="0">
    <w:p w:rsidR="00043113" w:rsidRDefault="00043113" w:rsidP="00DA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Roman">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073" w:rsidRDefault="002A3073">
    <w:pPr>
      <w:pStyle w:val="Footer"/>
      <w:jc w:val="right"/>
    </w:pPr>
  </w:p>
  <w:p w:rsidR="002A3073" w:rsidRDefault="002A30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073" w:rsidRDefault="002A3073">
    <w:pPr>
      <w:pStyle w:val="Footer"/>
      <w:jc w:val="right"/>
    </w:pPr>
  </w:p>
  <w:p w:rsidR="002A3073" w:rsidRDefault="002A30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337752"/>
      <w:docPartObj>
        <w:docPartGallery w:val="Page Numbers (Bottom of Page)"/>
        <w:docPartUnique/>
      </w:docPartObj>
    </w:sdtPr>
    <w:sdtEndPr>
      <w:rPr>
        <w:noProof/>
      </w:rPr>
    </w:sdtEndPr>
    <w:sdtContent>
      <w:p w:rsidR="002A3073" w:rsidRDefault="002A3073">
        <w:pPr>
          <w:pStyle w:val="Footer"/>
          <w:jc w:val="right"/>
        </w:pPr>
        <w:r>
          <w:fldChar w:fldCharType="begin"/>
        </w:r>
        <w:r>
          <w:instrText xml:space="preserve"> PAGE   \* MERGEFORMAT </w:instrText>
        </w:r>
        <w:r>
          <w:fldChar w:fldCharType="separate"/>
        </w:r>
        <w:r w:rsidR="00223254">
          <w:rPr>
            <w:noProof/>
          </w:rPr>
          <w:t>19</w:t>
        </w:r>
        <w:r>
          <w:rPr>
            <w:noProof/>
          </w:rPr>
          <w:fldChar w:fldCharType="end"/>
        </w:r>
      </w:p>
    </w:sdtContent>
  </w:sdt>
  <w:p w:rsidR="002A3073" w:rsidRDefault="002A30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018180"/>
      <w:docPartObj>
        <w:docPartGallery w:val="Page Numbers (Bottom of Page)"/>
        <w:docPartUnique/>
      </w:docPartObj>
    </w:sdtPr>
    <w:sdtEndPr>
      <w:rPr>
        <w:noProof/>
      </w:rPr>
    </w:sdtEndPr>
    <w:sdtContent>
      <w:p w:rsidR="002A3073" w:rsidRDefault="002A307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2A3073" w:rsidRDefault="002A3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113" w:rsidRDefault="00043113" w:rsidP="00DA23F2">
      <w:pPr>
        <w:spacing w:after="0" w:line="240" w:lineRule="auto"/>
      </w:pPr>
      <w:r>
        <w:separator/>
      </w:r>
    </w:p>
  </w:footnote>
  <w:footnote w:type="continuationSeparator" w:id="0">
    <w:p w:rsidR="00043113" w:rsidRDefault="00043113" w:rsidP="00DA23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76FC"/>
    <w:multiLevelType w:val="hybridMultilevel"/>
    <w:tmpl w:val="A1BE8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0144C"/>
    <w:multiLevelType w:val="hybridMultilevel"/>
    <w:tmpl w:val="D9C29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E10C2"/>
    <w:multiLevelType w:val="hybridMultilevel"/>
    <w:tmpl w:val="07F4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0D6E06"/>
    <w:multiLevelType w:val="hybridMultilevel"/>
    <w:tmpl w:val="E544E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00F92"/>
    <w:multiLevelType w:val="hybridMultilevel"/>
    <w:tmpl w:val="07FA4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050ACD"/>
    <w:multiLevelType w:val="hybridMultilevel"/>
    <w:tmpl w:val="36A01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30078D"/>
    <w:multiLevelType w:val="hybridMultilevel"/>
    <w:tmpl w:val="42CE2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585209"/>
    <w:multiLevelType w:val="hybridMultilevel"/>
    <w:tmpl w:val="ED267A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1747D9"/>
    <w:multiLevelType w:val="hybridMultilevel"/>
    <w:tmpl w:val="E27A0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5">
      <w:start w:val="1"/>
      <w:numFmt w:val="bullet"/>
      <w:lvlText w:val=""/>
      <w:lvlJc w:val="left"/>
      <w:pPr>
        <w:ind w:left="3240" w:hanging="360"/>
      </w:pPr>
      <w:rPr>
        <w:rFonts w:ascii="Wingdings" w:hAnsi="Wingdings" w:hint="default"/>
      </w:rPr>
    </w:lvl>
    <w:lvl w:ilvl="5" w:tplc="04090003">
      <w:start w:val="1"/>
      <w:numFmt w:val="bullet"/>
      <w:lvlText w:val="o"/>
      <w:lvlJc w:val="left"/>
      <w:pPr>
        <w:ind w:left="3960" w:hanging="360"/>
      </w:pPr>
      <w:rPr>
        <w:rFonts w:ascii="Courier New" w:hAnsi="Courier New" w:cs="Courier New"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911DF3"/>
    <w:multiLevelType w:val="hybridMultilevel"/>
    <w:tmpl w:val="32544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B054CD"/>
    <w:multiLevelType w:val="hybridMultilevel"/>
    <w:tmpl w:val="F5207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9DE7ED6"/>
    <w:multiLevelType w:val="hybridMultilevel"/>
    <w:tmpl w:val="99E4411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9E933D3"/>
    <w:multiLevelType w:val="hybridMultilevel"/>
    <w:tmpl w:val="285CE024"/>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1">
      <w:start w:val="1"/>
      <w:numFmt w:val="bullet"/>
      <w:lvlText w:val=""/>
      <w:lvlJc w:val="left"/>
      <w:pPr>
        <w:ind w:left="3600" w:hanging="360"/>
      </w:pPr>
      <w:rPr>
        <w:rFonts w:ascii="Symbol" w:hAnsi="Symbol"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20764"/>
    <w:multiLevelType w:val="hybridMultilevel"/>
    <w:tmpl w:val="4E1CFD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0535957"/>
    <w:multiLevelType w:val="hybridMultilevel"/>
    <w:tmpl w:val="427273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0E000D"/>
    <w:multiLevelType w:val="hybridMultilevel"/>
    <w:tmpl w:val="35A09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FF59BB"/>
    <w:multiLevelType w:val="hybridMultilevel"/>
    <w:tmpl w:val="928A472C"/>
    <w:lvl w:ilvl="0" w:tplc="04090003">
      <w:start w:val="1"/>
      <w:numFmt w:val="bullet"/>
      <w:lvlText w:val="o"/>
      <w:lvlJc w:val="left"/>
      <w:pPr>
        <w:ind w:left="2520" w:hanging="360"/>
      </w:pPr>
      <w:rPr>
        <w:rFonts w:ascii="Courier New" w:hAnsi="Courier New" w:cs="Courier New" w:hint="default"/>
      </w:rPr>
    </w:lvl>
    <w:lvl w:ilvl="1" w:tplc="04090001">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351D6389"/>
    <w:multiLevelType w:val="hybridMultilevel"/>
    <w:tmpl w:val="A3C2F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BB1F7A"/>
    <w:multiLevelType w:val="hybridMultilevel"/>
    <w:tmpl w:val="ABDC949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CE1045"/>
    <w:multiLevelType w:val="hybridMultilevel"/>
    <w:tmpl w:val="B0FC2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78D1E08"/>
    <w:multiLevelType w:val="hybridMultilevel"/>
    <w:tmpl w:val="792E5DE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82F6E3F"/>
    <w:multiLevelType w:val="hybridMultilevel"/>
    <w:tmpl w:val="8014F5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9896271"/>
    <w:multiLevelType w:val="hybridMultilevel"/>
    <w:tmpl w:val="A850B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27A4D"/>
    <w:multiLevelType w:val="hybridMultilevel"/>
    <w:tmpl w:val="3AA8BCB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783E3A70"/>
    <w:multiLevelType w:val="hybridMultilevel"/>
    <w:tmpl w:val="1DEC7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A0142F2"/>
    <w:multiLevelType w:val="hybridMultilevel"/>
    <w:tmpl w:val="1172C9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3"/>
  </w:num>
  <w:num w:numId="4">
    <w:abstractNumId w:val="24"/>
  </w:num>
  <w:num w:numId="5">
    <w:abstractNumId w:val="5"/>
  </w:num>
  <w:num w:numId="6">
    <w:abstractNumId w:val="9"/>
  </w:num>
  <w:num w:numId="7">
    <w:abstractNumId w:val="19"/>
  </w:num>
  <w:num w:numId="8">
    <w:abstractNumId w:val="10"/>
  </w:num>
  <w:num w:numId="9">
    <w:abstractNumId w:val="4"/>
  </w:num>
  <w:num w:numId="10">
    <w:abstractNumId w:val="6"/>
  </w:num>
  <w:num w:numId="11">
    <w:abstractNumId w:val="21"/>
  </w:num>
  <w:num w:numId="12">
    <w:abstractNumId w:val="18"/>
  </w:num>
  <w:num w:numId="13">
    <w:abstractNumId w:val="7"/>
  </w:num>
  <w:num w:numId="14">
    <w:abstractNumId w:val="25"/>
  </w:num>
  <w:num w:numId="15">
    <w:abstractNumId w:val="14"/>
  </w:num>
  <w:num w:numId="16">
    <w:abstractNumId w:val="11"/>
  </w:num>
  <w:num w:numId="17">
    <w:abstractNumId w:val="15"/>
  </w:num>
  <w:num w:numId="18">
    <w:abstractNumId w:val="22"/>
  </w:num>
  <w:num w:numId="19">
    <w:abstractNumId w:val="2"/>
  </w:num>
  <w:num w:numId="20">
    <w:abstractNumId w:val="1"/>
  </w:num>
  <w:num w:numId="21">
    <w:abstractNumId w:val="20"/>
  </w:num>
  <w:num w:numId="22">
    <w:abstractNumId w:val="16"/>
  </w:num>
  <w:num w:numId="23">
    <w:abstractNumId w:val="12"/>
  </w:num>
  <w:num w:numId="24">
    <w:abstractNumId w:val="0"/>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F3"/>
    <w:rsid w:val="000345AC"/>
    <w:rsid w:val="00043113"/>
    <w:rsid w:val="0005174E"/>
    <w:rsid w:val="00052F8B"/>
    <w:rsid w:val="000553B6"/>
    <w:rsid w:val="0006554B"/>
    <w:rsid w:val="000A1169"/>
    <w:rsid w:val="000A7D54"/>
    <w:rsid w:val="000E3810"/>
    <w:rsid w:val="00124296"/>
    <w:rsid w:val="00141AEA"/>
    <w:rsid w:val="00177CC0"/>
    <w:rsid w:val="00197D58"/>
    <w:rsid w:val="00223254"/>
    <w:rsid w:val="0025297A"/>
    <w:rsid w:val="00262769"/>
    <w:rsid w:val="0026647D"/>
    <w:rsid w:val="00285010"/>
    <w:rsid w:val="002A3073"/>
    <w:rsid w:val="002A55B4"/>
    <w:rsid w:val="002A5E30"/>
    <w:rsid w:val="002A71C5"/>
    <w:rsid w:val="002B70F3"/>
    <w:rsid w:val="002C3117"/>
    <w:rsid w:val="00307425"/>
    <w:rsid w:val="00317323"/>
    <w:rsid w:val="00317E22"/>
    <w:rsid w:val="00320A0C"/>
    <w:rsid w:val="00326602"/>
    <w:rsid w:val="00331607"/>
    <w:rsid w:val="003347B8"/>
    <w:rsid w:val="0037512C"/>
    <w:rsid w:val="00376860"/>
    <w:rsid w:val="00377275"/>
    <w:rsid w:val="003925E1"/>
    <w:rsid w:val="0039569C"/>
    <w:rsid w:val="00397012"/>
    <w:rsid w:val="003B0E27"/>
    <w:rsid w:val="003D32B8"/>
    <w:rsid w:val="0042468C"/>
    <w:rsid w:val="00437293"/>
    <w:rsid w:val="00447DA8"/>
    <w:rsid w:val="004521DE"/>
    <w:rsid w:val="00455EE6"/>
    <w:rsid w:val="00462F30"/>
    <w:rsid w:val="004756E2"/>
    <w:rsid w:val="00477CA3"/>
    <w:rsid w:val="0049288A"/>
    <w:rsid w:val="004A2D57"/>
    <w:rsid w:val="004A3255"/>
    <w:rsid w:val="004C7F2C"/>
    <w:rsid w:val="004D316F"/>
    <w:rsid w:val="004E0D3D"/>
    <w:rsid w:val="004F337F"/>
    <w:rsid w:val="00501D43"/>
    <w:rsid w:val="0050241F"/>
    <w:rsid w:val="00521DBE"/>
    <w:rsid w:val="00535EFB"/>
    <w:rsid w:val="00543071"/>
    <w:rsid w:val="0058170C"/>
    <w:rsid w:val="005B2F67"/>
    <w:rsid w:val="005D1754"/>
    <w:rsid w:val="005D1FE0"/>
    <w:rsid w:val="005D78C2"/>
    <w:rsid w:val="005D7F28"/>
    <w:rsid w:val="00605A4D"/>
    <w:rsid w:val="0060797E"/>
    <w:rsid w:val="00617F7B"/>
    <w:rsid w:val="006277D4"/>
    <w:rsid w:val="00637EDE"/>
    <w:rsid w:val="006745CD"/>
    <w:rsid w:val="00677F01"/>
    <w:rsid w:val="00692C7D"/>
    <w:rsid w:val="006B2A64"/>
    <w:rsid w:val="006D5309"/>
    <w:rsid w:val="006F278F"/>
    <w:rsid w:val="00724101"/>
    <w:rsid w:val="007362F1"/>
    <w:rsid w:val="00760A22"/>
    <w:rsid w:val="00770719"/>
    <w:rsid w:val="00770FDA"/>
    <w:rsid w:val="00784C6C"/>
    <w:rsid w:val="00793381"/>
    <w:rsid w:val="007C12DC"/>
    <w:rsid w:val="007E0EF5"/>
    <w:rsid w:val="0080016A"/>
    <w:rsid w:val="00802463"/>
    <w:rsid w:val="00802F23"/>
    <w:rsid w:val="00806E5D"/>
    <w:rsid w:val="0081139A"/>
    <w:rsid w:val="008145C3"/>
    <w:rsid w:val="008254F9"/>
    <w:rsid w:val="008528DB"/>
    <w:rsid w:val="00866D1B"/>
    <w:rsid w:val="008741AE"/>
    <w:rsid w:val="0088181A"/>
    <w:rsid w:val="008A74E6"/>
    <w:rsid w:val="008C27F5"/>
    <w:rsid w:val="00926A08"/>
    <w:rsid w:val="00970AC1"/>
    <w:rsid w:val="00974614"/>
    <w:rsid w:val="0099747D"/>
    <w:rsid w:val="009A0E23"/>
    <w:rsid w:val="009A4957"/>
    <w:rsid w:val="009C58A9"/>
    <w:rsid w:val="009E4A05"/>
    <w:rsid w:val="009F6126"/>
    <w:rsid w:val="00A1032B"/>
    <w:rsid w:val="00A204A1"/>
    <w:rsid w:val="00A53636"/>
    <w:rsid w:val="00AA4EAD"/>
    <w:rsid w:val="00AC0F98"/>
    <w:rsid w:val="00AD1101"/>
    <w:rsid w:val="00B31D1E"/>
    <w:rsid w:val="00B35D44"/>
    <w:rsid w:val="00B37089"/>
    <w:rsid w:val="00B635BF"/>
    <w:rsid w:val="00B921F5"/>
    <w:rsid w:val="00BB000E"/>
    <w:rsid w:val="00BB1486"/>
    <w:rsid w:val="00BC7542"/>
    <w:rsid w:val="00BE10CE"/>
    <w:rsid w:val="00BF445F"/>
    <w:rsid w:val="00C04FEE"/>
    <w:rsid w:val="00C202DE"/>
    <w:rsid w:val="00C24670"/>
    <w:rsid w:val="00C62398"/>
    <w:rsid w:val="00C73FD5"/>
    <w:rsid w:val="00CA33FE"/>
    <w:rsid w:val="00CB3A06"/>
    <w:rsid w:val="00CC2D38"/>
    <w:rsid w:val="00CC43AB"/>
    <w:rsid w:val="00CD112E"/>
    <w:rsid w:val="00CE534F"/>
    <w:rsid w:val="00D24532"/>
    <w:rsid w:val="00D5312C"/>
    <w:rsid w:val="00D55610"/>
    <w:rsid w:val="00D7085B"/>
    <w:rsid w:val="00D90D6B"/>
    <w:rsid w:val="00DA23F2"/>
    <w:rsid w:val="00DB50ED"/>
    <w:rsid w:val="00DD00BF"/>
    <w:rsid w:val="00E049DF"/>
    <w:rsid w:val="00E16950"/>
    <w:rsid w:val="00E235F2"/>
    <w:rsid w:val="00E9439E"/>
    <w:rsid w:val="00E945EF"/>
    <w:rsid w:val="00EC6B42"/>
    <w:rsid w:val="00EC6DB8"/>
    <w:rsid w:val="00EF69BD"/>
    <w:rsid w:val="00EF731B"/>
    <w:rsid w:val="00F33107"/>
    <w:rsid w:val="00F75BD3"/>
    <w:rsid w:val="00F90BCC"/>
    <w:rsid w:val="00F933EE"/>
    <w:rsid w:val="00FA2CE1"/>
    <w:rsid w:val="00FB36A1"/>
    <w:rsid w:val="00FE2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29DCA-E128-4278-B387-9DE04C9B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0F3"/>
    <w:pPr>
      <w:ind w:left="720"/>
      <w:contextualSpacing/>
    </w:pPr>
  </w:style>
  <w:style w:type="character" w:styleId="Hyperlink">
    <w:name w:val="Hyperlink"/>
    <w:basedOn w:val="DefaultParagraphFont"/>
    <w:uiPriority w:val="99"/>
    <w:semiHidden/>
    <w:unhideWhenUsed/>
    <w:rsid w:val="004521DE"/>
    <w:rPr>
      <w:color w:val="0000FF"/>
      <w:u w:val="single"/>
    </w:rPr>
  </w:style>
  <w:style w:type="character" w:styleId="FollowedHyperlink">
    <w:name w:val="FollowedHyperlink"/>
    <w:basedOn w:val="DefaultParagraphFont"/>
    <w:uiPriority w:val="99"/>
    <w:semiHidden/>
    <w:unhideWhenUsed/>
    <w:rsid w:val="004521DE"/>
    <w:rPr>
      <w:color w:val="800080"/>
      <w:u w:val="single"/>
    </w:rPr>
  </w:style>
  <w:style w:type="paragraph" w:customStyle="1" w:styleId="xl65">
    <w:name w:val="xl65"/>
    <w:basedOn w:val="Normal"/>
    <w:rsid w:val="004521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521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4521DE"/>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8">
    <w:name w:val="xl68"/>
    <w:basedOn w:val="Normal"/>
    <w:rsid w:val="004521DE"/>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4521DE"/>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4521D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4521D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DA2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2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3F2"/>
  </w:style>
  <w:style w:type="paragraph" w:styleId="Footer">
    <w:name w:val="footer"/>
    <w:basedOn w:val="Normal"/>
    <w:link w:val="FooterChar"/>
    <w:uiPriority w:val="99"/>
    <w:unhideWhenUsed/>
    <w:rsid w:val="00DA2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3F2"/>
  </w:style>
  <w:style w:type="paragraph" w:styleId="BalloonText">
    <w:name w:val="Balloon Text"/>
    <w:basedOn w:val="Normal"/>
    <w:link w:val="BalloonTextChar"/>
    <w:uiPriority w:val="99"/>
    <w:semiHidden/>
    <w:unhideWhenUsed/>
    <w:rsid w:val="000E3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810"/>
    <w:rPr>
      <w:rFonts w:ascii="Tahoma" w:hAnsi="Tahoma" w:cs="Tahoma"/>
      <w:sz w:val="16"/>
      <w:szCs w:val="16"/>
    </w:rPr>
  </w:style>
  <w:style w:type="table" w:customStyle="1" w:styleId="TableGrid1">
    <w:name w:val="Table Grid1"/>
    <w:basedOn w:val="TableNormal"/>
    <w:next w:val="TableGrid"/>
    <w:uiPriority w:val="59"/>
    <w:rsid w:val="008A7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A53636"/>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customStyle="1" w:styleId="Default">
    <w:name w:val="Default"/>
    <w:rsid w:val="00A53636"/>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character" w:customStyle="1" w:styleId="Hyperlink0">
    <w:name w:val="Hyperlink.0"/>
    <w:basedOn w:val="DefaultParagraphFont"/>
    <w:rsid w:val="00A53636"/>
    <w:rPr>
      <w:rFonts w:ascii="Helvetica" w:eastAsia="Helvetica" w:hAnsi="Helvetica" w:cs="Helvetica"/>
      <w:sz w:val="22"/>
      <w:szCs w:val="22"/>
      <w:u w:val="single"/>
    </w:rPr>
  </w:style>
  <w:style w:type="character" w:customStyle="1" w:styleId="Hyperlink1">
    <w:name w:val="Hyperlink.1"/>
    <w:basedOn w:val="DefaultParagraphFont"/>
    <w:rsid w:val="00A53636"/>
    <w:rPr>
      <w:rFonts w:ascii="Arial" w:eastAsia="Arial" w:hAnsi="Arial" w:cs="Arial"/>
      <w:color w:val="213644"/>
      <w:sz w:val="22"/>
      <w:szCs w:val="22"/>
      <w:u w:val="single" w:color="213644"/>
      <w:lang w:val="en-US"/>
    </w:rPr>
  </w:style>
  <w:style w:type="character" w:customStyle="1" w:styleId="Hyperlink2">
    <w:name w:val="Hyperlink.2"/>
    <w:basedOn w:val="DefaultParagraphFont"/>
    <w:rsid w:val="00A53636"/>
    <w:rPr>
      <w:rFonts w:ascii="Arial Bold" w:eastAsia="Arial Bold" w:hAnsi="Arial Bold" w:cs="Arial Bold"/>
      <w:color w:val="213644"/>
      <w:u w:val="single" w:color="213644"/>
    </w:rPr>
  </w:style>
  <w:style w:type="character" w:customStyle="1" w:styleId="Hyperlink3">
    <w:name w:val="Hyperlink.3"/>
    <w:basedOn w:val="DefaultParagraphFont"/>
    <w:rsid w:val="00A53636"/>
    <w:rPr>
      <w:rFonts w:ascii="Helvetica" w:eastAsia="Helvetica" w:hAnsi="Helvetica" w:cs="Helvetica"/>
      <w:i/>
      <w:iCs/>
      <w:color w:val="0544AD"/>
      <w:sz w:val="22"/>
      <w:szCs w:val="22"/>
      <w:u w:color="0544AD"/>
      <w:lang w:val="en-US"/>
    </w:rPr>
  </w:style>
  <w:style w:type="character" w:customStyle="1" w:styleId="Hyperlink4">
    <w:name w:val="Hyperlink.4"/>
    <w:basedOn w:val="DefaultParagraphFont"/>
    <w:rsid w:val="00A53636"/>
    <w:rPr>
      <w:rFonts w:ascii="Helvetica" w:eastAsia="Helvetica" w:hAnsi="Helvetica" w:cs="Helvetica"/>
      <w:color w:val="0544AD"/>
      <w:sz w:val="22"/>
      <w:szCs w:val="22"/>
      <w:u w:color="0544AD"/>
    </w:rPr>
  </w:style>
  <w:style w:type="character" w:customStyle="1" w:styleId="Hyperlink5">
    <w:name w:val="Hyperlink.5"/>
    <w:basedOn w:val="DefaultParagraphFont"/>
    <w:rsid w:val="00A53636"/>
    <w:rPr>
      <w:rFonts w:ascii="Helvetica" w:eastAsia="Helvetica" w:hAnsi="Helvetica" w:cs="Helvetica"/>
      <w:color w:val="252525"/>
      <w:sz w:val="22"/>
      <w:szCs w:val="22"/>
      <w:u w:color="252525"/>
      <w:lang w:val="en-US"/>
    </w:rPr>
  </w:style>
  <w:style w:type="character" w:styleId="CommentReference">
    <w:name w:val="annotation reference"/>
    <w:basedOn w:val="DefaultParagraphFont"/>
    <w:uiPriority w:val="99"/>
    <w:semiHidden/>
    <w:unhideWhenUsed/>
    <w:rsid w:val="002A55B4"/>
    <w:rPr>
      <w:sz w:val="16"/>
      <w:szCs w:val="16"/>
    </w:rPr>
  </w:style>
  <w:style w:type="paragraph" w:styleId="CommentText">
    <w:name w:val="annotation text"/>
    <w:basedOn w:val="Normal"/>
    <w:link w:val="CommentTextChar"/>
    <w:uiPriority w:val="99"/>
    <w:semiHidden/>
    <w:unhideWhenUsed/>
    <w:rsid w:val="002A55B4"/>
    <w:pPr>
      <w:spacing w:line="240" w:lineRule="auto"/>
    </w:pPr>
    <w:rPr>
      <w:sz w:val="20"/>
      <w:szCs w:val="20"/>
    </w:rPr>
  </w:style>
  <w:style w:type="character" w:customStyle="1" w:styleId="CommentTextChar">
    <w:name w:val="Comment Text Char"/>
    <w:basedOn w:val="DefaultParagraphFont"/>
    <w:link w:val="CommentText"/>
    <w:uiPriority w:val="99"/>
    <w:semiHidden/>
    <w:rsid w:val="002A55B4"/>
    <w:rPr>
      <w:sz w:val="20"/>
      <w:szCs w:val="20"/>
    </w:rPr>
  </w:style>
  <w:style w:type="paragraph" w:styleId="CommentSubject">
    <w:name w:val="annotation subject"/>
    <w:basedOn w:val="CommentText"/>
    <w:next w:val="CommentText"/>
    <w:link w:val="CommentSubjectChar"/>
    <w:uiPriority w:val="99"/>
    <w:semiHidden/>
    <w:unhideWhenUsed/>
    <w:rsid w:val="002A55B4"/>
    <w:rPr>
      <w:b/>
      <w:bCs/>
    </w:rPr>
  </w:style>
  <w:style w:type="character" w:customStyle="1" w:styleId="CommentSubjectChar">
    <w:name w:val="Comment Subject Char"/>
    <w:basedOn w:val="CommentTextChar"/>
    <w:link w:val="CommentSubject"/>
    <w:uiPriority w:val="99"/>
    <w:semiHidden/>
    <w:rsid w:val="002A55B4"/>
    <w:rPr>
      <w:b/>
      <w:bCs/>
      <w:sz w:val="20"/>
      <w:szCs w:val="20"/>
    </w:rPr>
  </w:style>
  <w:style w:type="paragraph" w:customStyle="1" w:styleId="Body">
    <w:name w:val="Body"/>
    <w:rsid w:val="00EC6DB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25150">
      <w:bodyDiv w:val="1"/>
      <w:marLeft w:val="0"/>
      <w:marRight w:val="0"/>
      <w:marTop w:val="0"/>
      <w:marBottom w:val="0"/>
      <w:divBdr>
        <w:top w:val="none" w:sz="0" w:space="0" w:color="auto"/>
        <w:left w:val="none" w:sz="0" w:space="0" w:color="auto"/>
        <w:bottom w:val="none" w:sz="0" w:space="0" w:color="auto"/>
        <w:right w:val="none" w:sz="0" w:space="0" w:color="auto"/>
      </w:divBdr>
    </w:div>
    <w:div w:id="455029475">
      <w:bodyDiv w:val="1"/>
      <w:marLeft w:val="0"/>
      <w:marRight w:val="0"/>
      <w:marTop w:val="0"/>
      <w:marBottom w:val="0"/>
      <w:divBdr>
        <w:top w:val="none" w:sz="0" w:space="0" w:color="auto"/>
        <w:left w:val="none" w:sz="0" w:space="0" w:color="auto"/>
        <w:bottom w:val="none" w:sz="0" w:space="0" w:color="auto"/>
        <w:right w:val="none" w:sz="0" w:space="0" w:color="auto"/>
      </w:divBdr>
    </w:div>
    <w:div w:id="1420833550">
      <w:bodyDiv w:val="1"/>
      <w:marLeft w:val="0"/>
      <w:marRight w:val="0"/>
      <w:marTop w:val="0"/>
      <w:marBottom w:val="0"/>
      <w:divBdr>
        <w:top w:val="none" w:sz="0" w:space="0" w:color="auto"/>
        <w:left w:val="none" w:sz="0" w:space="0" w:color="auto"/>
        <w:bottom w:val="none" w:sz="0" w:space="0" w:color="auto"/>
        <w:right w:val="none" w:sz="0" w:space="0" w:color="auto"/>
      </w:divBdr>
    </w:div>
    <w:div w:id="1549881374">
      <w:bodyDiv w:val="1"/>
      <w:marLeft w:val="0"/>
      <w:marRight w:val="0"/>
      <w:marTop w:val="0"/>
      <w:marBottom w:val="0"/>
      <w:divBdr>
        <w:top w:val="none" w:sz="0" w:space="0" w:color="auto"/>
        <w:left w:val="none" w:sz="0" w:space="0" w:color="auto"/>
        <w:bottom w:val="none" w:sz="0" w:space="0" w:color="auto"/>
        <w:right w:val="none" w:sz="0" w:space="0" w:color="auto"/>
      </w:divBdr>
    </w:div>
    <w:div w:id="167209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ncelab.com/msds.php?msdsId=9925112" TargetMode="External"/><Relationship Id="rId18" Type="http://schemas.openxmlformats.org/officeDocument/2006/relationships/hyperlink" Target="http://www.atsdr.cdc.gov/tfacts53.pdf" TargetMode="External"/><Relationship Id="rId26" Type="http://schemas.openxmlformats.org/officeDocument/2006/relationships/hyperlink" Target="http://www.ncbi.nlm.nih.gov/pmc/articles/PMC1312247/" TargetMode="External"/><Relationship Id="rId39" Type="http://schemas.openxmlformats.org/officeDocument/2006/relationships/hyperlink" Target="http://www.cleanair.org/program/waste_and_recycling/recyclenow_philadelphia/waste_and_recycling_facts" TargetMode="External"/><Relationship Id="rId21" Type="http://schemas.openxmlformats.org/officeDocument/2006/relationships/hyperlink" Target="http://dge.stanford.edu/SCOPE/SCOPE_52/SCOPE_52_2.01_Beland_29-56.pdf" TargetMode="External"/><Relationship Id="rId34" Type="http://schemas.openxmlformats.org/officeDocument/2006/relationships/hyperlink" Target="https://dx.doi.org/10.1002%2F14356007.a21_487" TargetMode="External"/><Relationship Id="rId42" Type="http://schemas.openxmlformats.org/officeDocument/2006/relationships/hyperlink" Target="http://www.environmentmassachusetts.org/sites/environment/files/reports/Bag%20Ban%20Fact%20Sheet%20_0.pdf"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a.gov/chemfact/styre-sd.pdf" TargetMode="External"/><Relationship Id="rId29" Type="http://schemas.openxmlformats.org/officeDocument/2006/relationships/hyperlink" Target="https://en.wikipedia.org/wiki/DNA_adduct" TargetMode="External"/><Relationship Id="rId11" Type="http://schemas.openxmlformats.org/officeDocument/2006/relationships/hyperlink" Target="https://en.wikipedia.org/wiki/Ullmann%2527s_Encyclopedia_of_Industrial_Chemistry" TargetMode="External"/><Relationship Id="rId24" Type="http://schemas.openxmlformats.org/officeDocument/2006/relationships/hyperlink" Target="http://informahealthcare.com/doi/abs/10.1080/15376510802510299" TargetMode="External"/><Relationship Id="rId32" Type="http://schemas.openxmlformats.org/officeDocument/2006/relationships/hyperlink" Target="https://en.wikipedia.org/wiki/Special:BookSources/978-3-527-31455-3" TargetMode="External"/><Relationship Id="rId37" Type="http://schemas.openxmlformats.org/officeDocument/2006/relationships/hyperlink" Target="http://www.environmentmassachusetts.org/sites/environment/files/reports/Bag%20Ban%20Fact%20Sheet%20_0.pdf" TargetMode="External"/><Relationship Id="rId40" Type="http://schemas.openxmlformats.org/officeDocument/2006/relationships/hyperlink" Target="http://www.earth-policy.org/press_room/C68/plastic_bags_fact_sheet" TargetMode="External"/><Relationship Id="rId45" Type="http://schemas.openxmlformats.org/officeDocument/2006/relationships/hyperlink" Target="http://www.huffingtonpost.com/entry/toxic-chemicals-pregnancy-infertility_5627c4dfe4b02f6a900f0bc8" TargetMode="External"/><Relationship Id="rId5" Type="http://schemas.openxmlformats.org/officeDocument/2006/relationships/webSettings" Target="webSettings.xml"/><Relationship Id="rId15" Type="http://schemas.openxmlformats.org/officeDocument/2006/relationships/hyperlink" Target="https://en.wikipedia.org/wiki/US_EPA" TargetMode="External"/><Relationship Id="rId23" Type="http://schemas.openxmlformats.org/officeDocument/2006/relationships/hyperlink" Target="http://ntp.niehs.nih.gov/ntp/roc/content/profiles/styrene.pdf" TargetMode="External"/><Relationship Id="rId28" Type="http://schemas.openxmlformats.org/officeDocument/2006/relationships/hyperlink" Target="http://www.merriam-webster.com/medical/lymphohematopoietic" TargetMode="External"/><Relationship Id="rId36" Type="http://schemas.openxmlformats.org/officeDocument/2006/relationships/hyperlink" Target="http://www.sierraclub.org/massachusetts/plastic-bags-0" TargetMode="External"/><Relationship Id="rId49" Type="http://schemas.openxmlformats.org/officeDocument/2006/relationships/fontTable" Target="fontTable.xml"/><Relationship Id="rId10" Type="http://schemas.openxmlformats.org/officeDocument/2006/relationships/hyperlink" Target="http://www1.eere.energy.gov/office_eere/pdfs/exelus_case_study.pdf" TargetMode="External"/><Relationship Id="rId19" Type="http://schemas.openxmlformats.org/officeDocument/2006/relationships/hyperlink" Target="http://ntp.niehs.nih.gov/ntp/roc/content/profiles/styrene.pdf" TargetMode="External"/><Relationship Id="rId31" Type="http://schemas.openxmlformats.org/officeDocument/2006/relationships/hyperlink" Target="https://en.wikipedia.org/wiki/International_Standard_Book_Number" TargetMode="External"/><Relationship Id="rId44" Type="http://schemas.openxmlformats.org/officeDocument/2006/relationships/hyperlink" Target="http://www.gesamp.org/data/gesamp/files/media/Publications/Reports_and_studies_90/gallery_2230/object_2500_large.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n.wikipedia.org/wiki/MSDS" TargetMode="External"/><Relationship Id="rId22" Type="http://schemas.openxmlformats.org/officeDocument/2006/relationships/hyperlink" Target="http://www.atsdr.cdc.gov/substances/toxsubstance.asp?toxid=74" TargetMode="External"/><Relationship Id="rId27" Type="http://schemas.openxmlformats.org/officeDocument/2006/relationships/hyperlink" Target="http://medical-dictionary.thefreedictionary.com/isozyme" TargetMode="External"/><Relationship Id="rId30" Type="http://schemas.openxmlformats.org/officeDocument/2006/relationships/hyperlink" Target="http://books.google.com/?id=UbOFgsNEHbAC" TargetMode="External"/><Relationship Id="rId35" Type="http://schemas.openxmlformats.org/officeDocument/2006/relationships/hyperlink" Target="http://www.earth-policy.org/press_room/C68/plastic_bags_fact_sheet" TargetMode="External"/><Relationship Id="rId43" Type="http://schemas.openxmlformats.org/officeDocument/2006/relationships/hyperlink" Target="http://www.earth-policy.org/press_room/C68/plastic_bags_fact_sheet" TargetMode="External"/><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n.wikipedia.org/wiki/MSDS" TargetMode="External"/><Relationship Id="rId17" Type="http://schemas.openxmlformats.org/officeDocument/2006/relationships/hyperlink" Target="https://en.wikipedia.org/wiki/US_EPA" TargetMode="External"/><Relationship Id="rId25" Type="http://schemas.openxmlformats.org/officeDocument/2006/relationships/hyperlink" Target="http://isites.harvard.edu/fs/docs/icb.topic967858.files/PolystyreneFactSheets.pdf" TargetMode="External"/><Relationship Id="rId33" Type="http://schemas.openxmlformats.org/officeDocument/2006/relationships/hyperlink" Target="https://en.wikipedia.org/wiki/Digital_object_identifier" TargetMode="External"/><Relationship Id="rId38" Type="http://schemas.openxmlformats.org/officeDocument/2006/relationships/hyperlink" Target="http://www.earth-policy.org/press_room/C68/plastic_bags_fact_sheet" TargetMode="External"/><Relationship Id="rId46" Type="http://schemas.openxmlformats.org/officeDocument/2006/relationships/image" Target="media/image1.emf"/><Relationship Id="rId20" Type="http://schemas.openxmlformats.org/officeDocument/2006/relationships/hyperlink" Target="http://ntp.niehs.nih.gov/pubhealth/roc/roc13/index.html" TargetMode="External"/><Relationship Id="rId41" Type="http://schemas.openxmlformats.org/officeDocument/2006/relationships/hyperlink" Target="http://ecowatch.com/2014/04/07/22-facts-plastic-pollution-10-things-can-do-about-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B7B27-6B8D-4141-B762-D30C2B460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10149</Words>
  <Characters>57851</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Brad Verter</cp:lastModifiedBy>
  <cp:revision>2</cp:revision>
  <cp:lastPrinted>2015-12-03T20:32:00Z</cp:lastPrinted>
  <dcterms:created xsi:type="dcterms:W3CDTF">2016-06-16T15:40:00Z</dcterms:created>
  <dcterms:modified xsi:type="dcterms:W3CDTF">2016-06-16T15:40:00Z</dcterms:modified>
</cp:coreProperties>
</file>