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CHARITABLE FUNDRAISER CHAIRMAN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Coordinates fundraisers sponsored by the HSC.  Arranges any and all subcommittees needed to accomplish the work of the Fundraiser.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Constitution, By-Laws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Designates separate Charity Auction and Golf Scramble Chairmen at the beginning of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year.  These individuals can serve as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hairmen to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position and may serve as proxies at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Oversees the Charity Auction and Golf Scramble fundraisers via the co-chairmen.  Is the responsible party for making facility and legal arrangements.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the Fundraising Vendor Contract and makes any needed changes.  Has changes approved with Base Legal office.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Ensures incoming Charitable Fundraiser Chairman has a list of names, addresses, and phone numbers of all the previous year’s vendors.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Coordinates publicity for all charitable fundraisers with Publicity Chairman.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copy of base regulations for conducting fundraisers on Hurlburt Field.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detailed information about each fundraiser.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12:00pm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Fundraiser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Fundraiser also submits a separate “After Action Report” to the President,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list of donors for Charity Auction, costs to put on Charity Auction, attendance numbers for fundraisers, and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chairman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(Revised 02/16)</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HSC Fundraiser Chairman Job Description</w:t>
      <w:tab/>
      <w:tab/>
      <w:tab/>
      <w:tab/>
      <w:tab/>
      <w:t xml:space="preserve">                   </w:t>
      <w:tab/>
      <w:tab/>
      <w:tab/>
      <w:tab/>
      <w:t xml:space="preserve">                 </w:t>
    </w:r>
    <w:fldSimple w:instr="PAGE" w:fldLock="0" w:dirty="0">
      <w:r w:rsidDel="00000000" w:rsidR="00000000" w:rsidRPr="00000000">
        <w:rPr>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