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043A" w14:textId="7FED683B" w:rsidR="00A73BB8" w:rsidRDefault="00A73BB8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A73BB8">
        <w:rPr>
          <w:noProof/>
        </w:rPr>
        <w:drawing>
          <wp:inline distT="0" distB="0" distL="0" distR="0" wp14:anchorId="2ED4CB1B" wp14:editId="7E7F97BF">
            <wp:extent cx="5730240" cy="1310640"/>
            <wp:effectExtent l="0" t="0" r="0" b="0"/>
            <wp:docPr id="777667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8CA61" w14:textId="124CCD92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5CF21722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 xml:space="preserve">, this policy was adopted by </w:t>
      </w:r>
      <w:r w:rsidR="000470AD">
        <w:rPr>
          <w:b w:val="0"/>
          <w:sz w:val="22"/>
          <w:szCs w:val="22"/>
        </w:rPr>
        <w:t>Vicky Oliver of Little Trees pre-school</w:t>
      </w:r>
      <w:r w:rsidRPr="0049232B">
        <w:rPr>
          <w:b w:val="0"/>
          <w:sz w:val="22"/>
          <w:szCs w:val="22"/>
        </w:rPr>
        <w:t xml:space="preserve"> on </w:t>
      </w:r>
      <w:r w:rsidR="000470AD">
        <w:rPr>
          <w:b w:val="0"/>
          <w:sz w:val="22"/>
          <w:szCs w:val="22"/>
        </w:rPr>
        <w:t>4</w:t>
      </w:r>
      <w:r w:rsidR="000470AD" w:rsidRPr="000470AD">
        <w:rPr>
          <w:b w:val="0"/>
          <w:sz w:val="22"/>
          <w:szCs w:val="22"/>
          <w:vertAlign w:val="superscript"/>
        </w:rPr>
        <w:t>th</w:t>
      </w:r>
      <w:r w:rsidR="000470AD">
        <w:rPr>
          <w:b w:val="0"/>
          <w:sz w:val="22"/>
          <w:szCs w:val="22"/>
        </w:rPr>
        <w:t xml:space="preserve"> September 2023</w:t>
      </w:r>
      <w:r>
        <w:rPr>
          <w:b w:val="0"/>
          <w:sz w:val="22"/>
          <w:szCs w:val="22"/>
        </w:rPr>
        <w:t>.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757ECE92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06EB2558" w:rsidR="00395ECF" w:rsidRPr="00395ECF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snacks which promote health and reduce the risk of obesity and heart disease that may begin in childhood. </w:t>
      </w:r>
    </w:p>
    <w:p w14:paraId="0007B6FB" w14:textId="79F36028" w:rsidR="00395ECF" w:rsidRPr="00395ECF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eat, </w:t>
      </w:r>
      <w:r w:rsidR="00446A70" w:rsidRPr="00395ECF">
        <w:rPr>
          <w:rFonts w:ascii="Arial" w:hAnsi="Arial" w:cs="Arial"/>
          <w:sz w:val="22"/>
          <w:szCs w:val="22"/>
        </w:rPr>
        <w:t>fish,</w:t>
      </w:r>
      <w:r w:rsidR="00395ECF" w:rsidRPr="00395ECF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5ECF" w:rsidRPr="00395ECF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B81D1D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="00395ECF" w:rsidRPr="00B81D1D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26A85955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P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lastRenderedPageBreak/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68AA7768" w14:textId="77777777" w:rsidR="009D08F3" w:rsidRPr="000C088F" w:rsidRDefault="009D08F3" w:rsidP="00706CD4">
      <w:pPr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6B6FB6D4" w14:textId="77777777" w:rsidR="00D70837" w:rsidRDefault="005021B7" w:rsidP="00D7083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history="1">
        <w:r w:rsidR="009D08F3" w:rsidRPr="00124C78">
          <w:rPr>
            <w:rStyle w:val="Hyperlink"/>
            <w:rFonts w:ascii="Arial" w:hAnsi="Arial" w:cs="Arial"/>
            <w:i/>
            <w:sz w:val="22"/>
            <w:szCs w:val="22"/>
          </w:rPr>
          <w:t>Safer Food Better Business</w:t>
        </w:r>
        <w:r w:rsidR="009D08F3" w:rsidRPr="00124C7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E5950" w:rsidRPr="00124C78">
          <w:rPr>
            <w:rStyle w:val="Hyperlink"/>
            <w:rFonts w:ascii="Arial" w:hAnsi="Arial" w:cs="Arial"/>
            <w:sz w:val="22"/>
            <w:szCs w:val="22"/>
          </w:rPr>
          <w:t>for Caterers</w:t>
        </w:r>
      </w:hyperlink>
      <w:r w:rsidR="00CE5950">
        <w:rPr>
          <w:rFonts w:ascii="Arial" w:hAnsi="Arial" w:cs="Arial"/>
          <w:sz w:val="22"/>
          <w:szCs w:val="22"/>
        </w:rPr>
        <w:t xml:space="preserve">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</w:p>
    <w:p w14:paraId="534A3B63" w14:textId="09BE7A8A" w:rsidR="00D70837" w:rsidRDefault="00D70837" w:rsidP="00D7083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61D53428" w14:textId="77777777" w:rsidR="00D70837" w:rsidRDefault="00D70837" w:rsidP="00D7083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3ABEE68F" w14:textId="4B3ED1A6" w:rsidR="000968FA" w:rsidRDefault="000968F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E7330CC" w14:textId="77777777" w:rsidR="00D70837" w:rsidRDefault="00D70837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5057B853" w14:textId="77777777" w:rsidR="00D70837" w:rsidRDefault="00D70837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sectPr w:rsidR="00D70837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7D96" w14:textId="77777777" w:rsidR="00536A45" w:rsidRDefault="00536A45" w:rsidP="00E07382">
      <w:r>
        <w:separator/>
      </w:r>
    </w:p>
  </w:endnote>
  <w:endnote w:type="continuationSeparator" w:id="0">
    <w:p w14:paraId="1FA47BE5" w14:textId="77777777" w:rsidR="00536A45" w:rsidRDefault="00536A45" w:rsidP="00E07382">
      <w:r>
        <w:continuationSeparator/>
      </w:r>
    </w:p>
  </w:endnote>
  <w:endnote w:type="continuationNotice" w:id="1">
    <w:p w14:paraId="02C64D49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3710" w14:textId="042829B3" w:rsidR="00621306" w:rsidRPr="000322F5" w:rsidRDefault="00621306" w:rsidP="00621306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0322F5">
      <w:rPr>
        <w:rFonts w:ascii="Arial" w:hAnsi="Arial" w:cs="Arial"/>
        <w:i/>
        <w:iCs/>
        <w:sz w:val="20"/>
        <w:szCs w:val="20"/>
      </w:rPr>
      <w:t>Policies &amp; Procedures for the EYFS 2021</w:t>
    </w:r>
    <w:r w:rsidRPr="000322F5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F3A0" w14:textId="77777777" w:rsidR="00536A45" w:rsidRDefault="00536A45" w:rsidP="00E07382">
      <w:r>
        <w:separator/>
      </w:r>
    </w:p>
  </w:footnote>
  <w:footnote w:type="continuationSeparator" w:id="0">
    <w:p w14:paraId="0657F16C" w14:textId="77777777" w:rsidR="00536A45" w:rsidRDefault="00536A45" w:rsidP="00E07382">
      <w:r>
        <w:continuationSeparator/>
      </w:r>
    </w:p>
  </w:footnote>
  <w:footnote w:type="continuationNotice" w:id="1">
    <w:p w14:paraId="7398FCE4" w14:textId="77777777" w:rsidR="00536A45" w:rsidRDefault="00536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1730150">
    <w:abstractNumId w:val="84"/>
  </w:num>
  <w:num w:numId="2" w16cid:durableId="575475327">
    <w:abstractNumId w:val="45"/>
  </w:num>
  <w:num w:numId="3" w16cid:durableId="874125832">
    <w:abstractNumId w:val="75"/>
  </w:num>
  <w:num w:numId="4" w16cid:durableId="1738093877">
    <w:abstractNumId w:val="74"/>
  </w:num>
  <w:num w:numId="5" w16cid:durableId="275210330">
    <w:abstractNumId w:val="64"/>
  </w:num>
  <w:num w:numId="6" w16cid:durableId="617756318">
    <w:abstractNumId w:val="29"/>
  </w:num>
  <w:num w:numId="7" w16cid:durableId="2138257361">
    <w:abstractNumId w:val="65"/>
  </w:num>
  <w:num w:numId="8" w16cid:durableId="225531917">
    <w:abstractNumId w:val="83"/>
  </w:num>
  <w:num w:numId="9" w16cid:durableId="2016036588">
    <w:abstractNumId w:val="37"/>
  </w:num>
  <w:num w:numId="10" w16cid:durableId="1665401916">
    <w:abstractNumId w:val="38"/>
  </w:num>
  <w:num w:numId="11" w16cid:durableId="1612391900">
    <w:abstractNumId w:val="80"/>
  </w:num>
  <w:num w:numId="12" w16cid:durableId="870412200">
    <w:abstractNumId w:val="33"/>
  </w:num>
  <w:num w:numId="13" w16cid:durableId="236134770">
    <w:abstractNumId w:val="18"/>
  </w:num>
  <w:num w:numId="14" w16cid:durableId="595017370">
    <w:abstractNumId w:val="49"/>
  </w:num>
  <w:num w:numId="15" w16cid:durableId="495190992">
    <w:abstractNumId w:val="68"/>
  </w:num>
  <w:num w:numId="16" w16cid:durableId="1310131913">
    <w:abstractNumId w:val="67"/>
  </w:num>
  <w:num w:numId="17" w16cid:durableId="1024748466">
    <w:abstractNumId w:val="46"/>
  </w:num>
  <w:num w:numId="18" w16cid:durableId="1998460477">
    <w:abstractNumId w:val="41"/>
  </w:num>
  <w:num w:numId="19" w16cid:durableId="2083873198">
    <w:abstractNumId w:val="16"/>
  </w:num>
  <w:num w:numId="20" w16cid:durableId="541214016">
    <w:abstractNumId w:val="25"/>
  </w:num>
  <w:num w:numId="21" w16cid:durableId="282082071">
    <w:abstractNumId w:val="47"/>
  </w:num>
  <w:num w:numId="22" w16cid:durableId="2125036923">
    <w:abstractNumId w:val="66"/>
  </w:num>
  <w:num w:numId="23" w16cid:durableId="1984040523">
    <w:abstractNumId w:val="26"/>
  </w:num>
  <w:num w:numId="24" w16cid:durableId="1336104112">
    <w:abstractNumId w:val="35"/>
  </w:num>
  <w:num w:numId="25" w16cid:durableId="778069806">
    <w:abstractNumId w:val="17"/>
  </w:num>
  <w:num w:numId="26" w16cid:durableId="717894446">
    <w:abstractNumId w:val="34"/>
  </w:num>
  <w:num w:numId="27" w16cid:durableId="2035836967">
    <w:abstractNumId w:val="1"/>
  </w:num>
  <w:num w:numId="28" w16cid:durableId="50077695">
    <w:abstractNumId w:val="71"/>
  </w:num>
  <w:num w:numId="29" w16cid:durableId="1105998142">
    <w:abstractNumId w:val="54"/>
  </w:num>
  <w:num w:numId="30" w16cid:durableId="226648480">
    <w:abstractNumId w:val="76"/>
  </w:num>
  <w:num w:numId="31" w16cid:durableId="1340696482">
    <w:abstractNumId w:val="7"/>
  </w:num>
  <w:num w:numId="32" w16cid:durableId="1436052895">
    <w:abstractNumId w:val="4"/>
  </w:num>
  <w:num w:numId="33" w16cid:durableId="1153958066">
    <w:abstractNumId w:val="32"/>
  </w:num>
  <w:num w:numId="34" w16cid:durableId="647783032">
    <w:abstractNumId w:val="14"/>
  </w:num>
  <w:num w:numId="35" w16cid:durableId="761877816">
    <w:abstractNumId w:val="60"/>
  </w:num>
  <w:num w:numId="36" w16cid:durableId="126166505">
    <w:abstractNumId w:val="19"/>
  </w:num>
  <w:num w:numId="37" w16cid:durableId="1166750405">
    <w:abstractNumId w:val="50"/>
  </w:num>
  <w:num w:numId="38" w16cid:durableId="1010837802">
    <w:abstractNumId w:val="72"/>
  </w:num>
  <w:num w:numId="39" w16cid:durableId="1721586546">
    <w:abstractNumId w:val="10"/>
  </w:num>
  <w:num w:numId="40" w16cid:durableId="1690137280">
    <w:abstractNumId w:val="2"/>
  </w:num>
  <w:num w:numId="41" w16cid:durableId="154959409">
    <w:abstractNumId w:val="15"/>
  </w:num>
  <w:num w:numId="42" w16cid:durableId="819733081">
    <w:abstractNumId w:val="42"/>
  </w:num>
  <w:num w:numId="43" w16cid:durableId="7877316">
    <w:abstractNumId w:val="78"/>
  </w:num>
  <w:num w:numId="44" w16cid:durableId="1597979719">
    <w:abstractNumId w:val="57"/>
  </w:num>
  <w:num w:numId="45" w16cid:durableId="1273051785">
    <w:abstractNumId w:val="20"/>
  </w:num>
  <w:num w:numId="46" w16cid:durableId="1822886967">
    <w:abstractNumId w:val="51"/>
  </w:num>
  <w:num w:numId="47" w16cid:durableId="806556470">
    <w:abstractNumId w:val="27"/>
  </w:num>
  <w:num w:numId="48" w16cid:durableId="1264872716">
    <w:abstractNumId w:val="40"/>
  </w:num>
  <w:num w:numId="49" w16cid:durableId="701714819">
    <w:abstractNumId w:val="86"/>
  </w:num>
  <w:num w:numId="50" w16cid:durableId="986977791">
    <w:abstractNumId w:val="22"/>
  </w:num>
  <w:num w:numId="51" w16cid:durableId="771318925">
    <w:abstractNumId w:val="52"/>
  </w:num>
  <w:num w:numId="52" w16cid:durableId="529072625">
    <w:abstractNumId w:val="63"/>
  </w:num>
  <w:num w:numId="53" w16cid:durableId="1004161712">
    <w:abstractNumId w:val="24"/>
  </w:num>
  <w:num w:numId="54" w16cid:durableId="949823206">
    <w:abstractNumId w:val="0"/>
  </w:num>
  <w:num w:numId="55" w16cid:durableId="1276058377">
    <w:abstractNumId w:val="70"/>
  </w:num>
  <w:num w:numId="56" w16cid:durableId="1425613600">
    <w:abstractNumId w:val="6"/>
  </w:num>
  <w:num w:numId="57" w16cid:durableId="1194197802">
    <w:abstractNumId w:val="43"/>
  </w:num>
  <w:num w:numId="58" w16cid:durableId="839079409">
    <w:abstractNumId w:val="28"/>
  </w:num>
  <w:num w:numId="59" w16cid:durableId="244076251">
    <w:abstractNumId w:val="3"/>
  </w:num>
  <w:num w:numId="60" w16cid:durableId="2118981267">
    <w:abstractNumId w:val="23"/>
  </w:num>
  <w:num w:numId="61" w16cid:durableId="1715620231">
    <w:abstractNumId w:val="77"/>
  </w:num>
  <w:num w:numId="62" w16cid:durableId="263803739">
    <w:abstractNumId w:val="36"/>
  </w:num>
  <w:num w:numId="63" w16cid:durableId="1828086886">
    <w:abstractNumId w:val="9"/>
  </w:num>
  <w:num w:numId="64" w16cid:durableId="327369836">
    <w:abstractNumId w:val="48"/>
  </w:num>
  <w:num w:numId="65" w16cid:durableId="351955457">
    <w:abstractNumId w:val="55"/>
  </w:num>
  <w:num w:numId="66" w16cid:durableId="1869829369">
    <w:abstractNumId w:val="8"/>
  </w:num>
  <w:num w:numId="67" w16cid:durableId="1327245406">
    <w:abstractNumId w:val="81"/>
  </w:num>
  <w:num w:numId="68" w16cid:durableId="600114480">
    <w:abstractNumId w:val="62"/>
  </w:num>
  <w:num w:numId="69" w16cid:durableId="981081212">
    <w:abstractNumId w:val="30"/>
  </w:num>
  <w:num w:numId="70" w16cid:durableId="673804042">
    <w:abstractNumId w:val="5"/>
  </w:num>
  <w:num w:numId="71" w16cid:durableId="1143543293">
    <w:abstractNumId w:val="87"/>
  </w:num>
  <w:num w:numId="72" w16cid:durableId="1507280005">
    <w:abstractNumId w:val="31"/>
  </w:num>
  <w:num w:numId="73" w16cid:durableId="1704474241">
    <w:abstractNumId w:val="85"/>
  </w:num>
  <w:num w:numId="74" w16cid:durableId="2090229185">
    <w:abstractNumId w:val="39"/>
  </w:num>
  <w:num w:numId="75" w16cid:durableId="1960214082">
    <w:abstractNumId w:val="82"/>
  </w:num>
  <w:num w:numId="76" w16cid:durableId="2038461954">
    <w:abstractNumId w:val="79"/>
  </w:num>
  <w:num w:numId="77" w16cid:durableId="661852854">
    <w:abstractNumId w:val="53"/>
  </w:num>
  <w:num w:numId="78" w16cid:durableId="1994948465">
    <w:abstractNumId w:val="73"/>
  </w:num>
  <w:num w:numId="79" w16cid:durableId="1103763313">
    <w:abstractNumId w:val="44"/>
  </w:num>
  <w:num w:numId="80" w16cid:durableId="1244147912">
    <w:abstractNumId w:val="21"/>
  </w:num>
  <w:num w:numId="81" w16cid:durableId="1079597451">
    <w:abstractNumId w:val="59"/>
  </w:num>
  <w:num w:numId="82" w16cid:durableId="950162649">
    <w:abstractNumId w:val="69"/>
  </w:num>
  <w:num w:numId="83" w16cid:durableId="1828474401">
    <w:abstractNumId w:val="13"/>
  </w:num>
  <w:num w:numId="84" w16cid:durableId="1984116369">
    <w:abstractNumId w:val="11"/>
  </w:num>
  <w:num w:numId="85" w16cid:durableId="148790035">
    <w:abstractNumId w:val="61"/>
  </w:num>
  <w:num w:numId="86" w16cid:durableId="103156932">
    <w:abstractNumId w:val="12"/>
  </w:num>
  <w:num w:numId="87" w16cid:durableId="466896105">
    <w:abstractNumId w:val="56"/>
  </w:num>
  <w:num w:numId="88" w16cid:durableId="854267018">
    <w:abstractNumId w:val="58"/>
  </w:num>
  <w:num w:numId="89" w16cid:durableId="37320427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470AD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21B7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3BB8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0837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od.gov.uk/business-guidance/safer-food-better-business-for-cater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E790C8-46A6-4E57-A086-90C36E209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Vicky Oliver</cp:lastModifiedBy>
  <cp:revision>2</cp:revision>
  <cp:lastPrinted>2011-11-21T12:20:00Z</cp:lastPrinted>
  <dcterms:created xsi:type="dcterms:W3CDTF">2023-09-11T19:31:00Z</dcterms:created>
  <dcterms:modified xsi:type="dcterms:W3CDTF">2023-09-11T19:31:00Z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