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3EC" w:rsidRDefault="007A0CB6" w:rsidP="00B552F3">
      <w:pPr>
        <w:pStyle w:val="NoSpacing"/>
        <w:jc w:val="center"/>
        <w:rPr>
          <w:sz w:val="44"/>
          <w:szCs w:val="44"/>
        </w:rPr>
      </w:pPr>
      <w:bookmarkStart w:id="0" w:name="_GoBack"/>
      <w:bookmarkEnd w:id="0"/>
      <w:r w:rsidRPr="00B552F3">
        <w:rPr>
          <w:sz w:val="44"/>
          <w:szCs w:val="44"/>
        </w:rPr>
        <w:t>Summer Tennis Tournament Package</w:t>
      </w:r>
    </w:p>
    <w:p w:rsidR="0078417B" w:rsidRDefault="0078417B" w:rsidP="00B552F3">
      <w:pPr>
        <w:pStyle w:val="NoSpacing"/>
        <w:jc w:val="center"/>
        <w:rPr>
          <w:sz w:val="44"/>
          <w:szCs w:val="44"/>
        </w:rPr>
      </w:pPr>
    </w:p>
    <w:p w:rsidR="0078417B" w:rsidRDefault="00D15D96" w:rsidP="00B552F3">
      <w:pPr>
        <w:pStyle w:val="NoSpacing"/>
        <w:jc w:val="center"/>
        <w:rPr>
          <w:sz w:val="44"/>
          <w:szCs w:val="44"/>
        </w:rPr>
      </w:pPr>
      <w:r w:rsidRPr="00B552F3">
        <w:rPr>
          <w:noProof/>
          <w:sz w:val="44"/>
          <w:szCs w:val="44"/>
        </w:rPr>
        <w:drawing>
          <wp:anchor distT="0" distB="0" distL="114300" distR="114300" simplePos="0" relativeHeight="251658240" behindDoc="0" locked="0" layoutInCell="1" allowOverlap="1" wp14:anchorId="71EA43DA" wp14:editId="433A0399">
            <wp:simplePos x="0" y="0"/>
            <wp:positionH relativeFrom="column">
              <wp:posOffset>2143125</wp:posOffset>
            </wp:positionH>
            <wp:positionV relativeFrom="paragraph">
              <wp:posOffset>22860</wp:posOffset>
            </wp:positionV>
            <wp:extent cx="2619375" cy="17430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I46J5JGR.jpg"/>
                    <pic:cNvPicPr/>
                  </pic:nvPicPr>
                  <pic:blipFill>
                    <a:blip r:embed="rId5">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14:sizeRelH relativeFrom="page">
              <wp14:pctWidth>0</wp14:pctWidth>
            </wp14:sizeRelH>
            <wp14:sizeRelV relativeFrom="page">
              <wp14:pctHeight>0</wp14:pctHeight>
            </wp14:sizeRelV>
          </wp:anchor>
        </w:drawing>
      </w:r>
    </w:p>
    <w:p w:rsidR="0078417B" w:rsidRDefault="0078417B" w:rsidP="00B552F3">
      <w:pPr>
        <w:pStyle w:val="NoSpacing"/>
        <w:jc w:val="center"/>
        <w:rPr>
          <w:sz w:val="44"/>
          <w:szCs w:val="44"/>
        </w:rPr>
      </w:pPr>
    </w:p>
    <w:p w:rsidR="0078417B" w:rsidRDefault="0078417B" w:rsidP="00B552F3">
      <w:pPr>
        <w:pStyle w:val="NoSpacing"/>
        <w:jc w:val="center"/>
        <w:rPr>
          <w:sz w:val="44"/>
          <w:szCs w:val="44"/>
        </w:rPr>
      </w:pPr>
    </w:p>
    <w:p w:rsidR="0078417B" w:rsidRDefault="0078417B" w:rsidP="00B552F3">
      <w:pPr>
        <w:pStyle w:val="NoSpacing"/>
        <w:jc w:val="center"/>
        <w:rPr>
          <w:sz w:val="44"/>
          <w:szCs w:val="44"/>
        </w:rPr>
      </w:pPr>
    </w:p>
    <w:p w:rsidR="0078417B" w:rsidRDefault="0078417B" w:rsidP="00B552F3">
      <w:pPr>
        <w:pStyle w:val="NoSpacing"/>
        <w:jc w:val="center"/>
        <w:rPr>
          <w:sz w:val="44"/>
          <w:szCs w:val="44"/>
        </w:rPr>
      </w:pPr>
    </w:p>
    <w:p w:rsidR="00DE7D2E" w:rsidRDefault="00DE7D2E" w:rsidP="0078417B">
      <w:pPr>
        <w:pStyle w:val="NoSpacing"/>
        <w:rPr>
          <w:sz w:val="44"/>
          <w:szCs w:val="44"/>
          <w:u w:val="single"/>
        </w:rPr>
      </w:pPr>
    </w:p>
    <w:p w:rsidR="0028275B" w:rsidRDefault="00DE7D2E" w:rsidP="00D15D96">
      <w:pPr>
        <w:pStyle w:val="NoSpacing"/>
        <w:jc w:val="both"/>
        <w:rPr>
          <w:sz w:val="32"/>
          <w:szCs w:val="32"/>
        </w:rPr>
      </w:pPr>
      <w:r w:rsidRPr="00DE7D2E">
        <w:rPr>
          <w:sz w:val="32"/>
          <w:szCs w:val="32"/>
          <w:u w:val="single"/>
        </w:rPr>
        <w:t>Package Benefits</w:t>
      </w:r>
      <w:r w:rsidRPr="00DE7D2E">
        <w:rPr>
          <w:sz w:val="32"/>
          <w:szCs w:val="32"/>
        </w:rPr>
        <w:t>:</w:t>
      </w:r>
      <w:r>
        <w:rPr>
          <w:sz w:val="32"/>
          <w:szCs w:val="32"/>
        </w:rPr>
        <w:tab/>
      </w:r>
    </w:p>
    <w:p w:rsidR="00DE7D2E" w:rsidRPr="00DE7D2E" w:rsidRDefault="00DE7D2E" w:rsidP="00D15D96">
      <w:pPr>
        <w:pStyle w:val="NoSpacing"/>
        <w:jc w:val="both"/>
        <w:rPr>
          <w:sz w:val="32"/>
          <w:szCs w:val="32"/>
        </w:rPr>
      </w:pPr>
      <w:r w:rsidRPr="00DE7D2E">
        <w:rPr>
          <w:sz w:val="32"/>
          <w:szCs w:val="32"/>
        </w:rPr>
        <w:t xml:space="preserve">Players who purchase our tournament package can play singles in all four of our USTA sanctioned tournaments (normal singles entries cost $37 per entry) and also after paying for one doubles event at regular cost ($21) they may play in a second doubles event for free.  This is a savings of $117 for a player playing singles, doubles, and mixed doubles in all of our tournaments.  Our goal with this package is to encourage more tournament play and to reward our most active players with reduced costs.    </w:t>
      </w:r>
    </w:p>
    <w:p w:rsidR="00DE7D2E" w:rsidRPr="00DE7D2E" w:rsidRDefault="00DE7D2E" w:rsidP="00D15D96">
      <w:pPr>
        <w:pStyle w:val="NoSpacing"/>
        <w:jc w:val="both"/>
        <w:rPr>
          <w:sz w:val="32"/>
          <w:szCs w:val="32"/>
          <w:u w:val="single"/>
        </w:rPr>
      </w:pPr>
    </w:p>
    <w:p w:rsidR="0028275B" w:rsidRDefault="0078417B" w:rsidP="00D15D96">
      <w:pPr>
        <w:pStyle w:val="NoSpacing"/>
        <w:jc w:val="both"/>
        <w:rPr>
          <w:sz w:val="32"/>
          <w:szCs w:val="32"/>
        </w:rPr>
      </w:pPr>
      <w:r w:rsidRPr="00DE7D2E">
        <w:rPr>
          <w:sz w:val="32"/>
          <w:szCs w:val="32"/>
          <w:u w:val="single"/>
        </w:rPr>
        <w:t>Cost</w:t>
      </w:r>
      <w:r w:rsidRPr="00DE7D2E">
        <w:rPr>
          <w:sz w:val="32"/>
          <w:szCs w:val="32"/>
        </w:rPr>
        <w:t>:</w:t>
      </w:r>
      <w:r w:rsidR="00DE7D2E" w:rsidRPr="00DE7D2E">
        <w:rPr>
          <w:sz w:val="32"/>
          <w:szCs w:val="32"/>
        </w:rPr>
        <w:tab/>
      </w:r>
    </w:p>
    <w:p w:rsidR="0078417B" w:rsidRPr="00DE7D2E" w:rsidRDefault="0078417B" w:rsidP="00D15D96">
      <w:pPr>
        <w:pStyle w:val="NoSpacing"/>
        <w:jc w:val="both"/>
        <w:rPr>
          <w:sz w:val="32"/>
          <w:szCs w:val="32"/>
        </w:rPr>
      </w:pPr>
      <w:r w:rsidRPr="00DE7D2E">
        <w:rPr>
          <w:sz w:val="32"/>
          <w:szCs w:val="32"/>
        </w:rPr>
        <w:t>$115</w:t>
      </w:r>
      <w:r w:rsidR="00DE7D2E">
        <w:rPr>
          <w:sz w:val="32"/>
          <w:szCs w:val="32"/>
        </w:rPr>
        <w:t xml:space="preserve"> made payable to THJTA and due before our first tournament on June 19</w:t>
      </w:r>
      <w:r w:rsidR="00DE7D2E" w:rsidRPr="00DE7D2E">
        <w:rPr>
          <w:sz w:val="32"/>
          <w:szCs w:val="32"/>
          <w:vertAlign w:val="superscript"/>
        </w:rPr>
        <w:t>th</w:t>
      </w:r>
      <w:r w:rsidR="00DE7D2E">
        <w:rPr>
          <w:sz w:val="32"/>
          <w:szCs w:val="32"/>
        </w:rPr>
        <w:t xml:space="preserve">.  </w:t>
      </w:r>
    </w:p>
    <w:p w:rsidR="0078417B" w:rsidRPr="00DE7D2E" w:rsidRDefault="0078417B" w:rsidP="00D15D96">
      <w:pPr>
        <w:pStyle w:val="NoSpacing"/>
        <w:jc w:val="both"/>
        <w:rPr>
          <w:sz w:val="32"/>
          <w:szCs w:val="32"/>
        </w:rPr>
      </w:pPr>
    </w:p>
    <w:p w:rsidR="004221AE" w:rsidRDefault="0078417B" w:rsidP="00D15D96">
      <w:pPr>
        <w:pStyle w:val="NoSpacing"/>
        <w:jc w:val="both"/>
        <w:rPr>
          <w:sz w:val="32"/>
          <w:szCs w:val="32"/>
        </w:rPr>
      </w:pPr>
      <w:r w:rsidRPr="00DE7D2E">
        <w:rPr>
          <w:sz w:val="32"/>
          <w:szCs w:val="32"/>
          <w:u w:val="single"/>
        </w:rPr>
        <w:t>Eligibility</w:t>
      </w:r>
      <w:r w:rsidRPr="00DE7D2E">
        <w:rPr>
          <w:sz w:val="32"/>
          <w:szCs w:val="32"/>
        </w:rPr>
        <w:t>:</w:t>
      </w:r>
      <w:r w:rsidR="00DE7D2E" w:rsidRPr="00DE7D2E">
        <w:rPr>
          <w:sz w:val="32"/>
          <w:szCs w:val="32"/>
        </w:rPr>
        <w:tab/>
      </w:r>
    </w:p>
    <w:p w:rsidR="0078417B" w:rsidRDefault="0078417B" w:rsidP="00D15D96">
      <w:pPr>
        <w:pStyle w:val="NoSpacing"/>
        <w:jc w:val="both"/>
        <w:rPr>
          <w:sz w:val="32"/>
          <w:szCs w:val="32"/>
        </w:rPr>
      </w:pPr>
      <w:proofErr w:type="gramStart"/>
      <w:r w:rsidRPr="00DE7D2E">
        <w:rPr>
          <w:sz w:val="32"/>
          <w:szCs w:val="32"/>
        </w:rPr>
        <w:t xml:space="preserve">Any THJTA player that purchases </w:t>
      </w:r>
      <w:r w:rsidR="00DE7D2E">
        <w:rPr>
          <w:sz w:val="32"/>
          <w:szCs w:val="32"/>
        </w:rPr>
        <w:t xml:space="preserve">our </w:t>
      </w:r>
      <w:r w:rsidRPr="00DE7D2E">
        <w:rPr>
          <w:sz w:val="32"/>
          <w:szCs w:val="32"/>
        </w:rPr>
        <w:t>full</w:t>
      </w:r>
      <w:r w:rsidR="00DE7D2E">
        <w:rPr>
          <w:sz w:val="32"/>
          <w:szCs w:val="32"/>
        </w:rPr>
        <w:t>-</w:t>
      </w:r>
      <w:r w:rsidRPr="00DE7D2E">
        <w:rPr>
          <w:sz w:val="32"/>
          <w:szCs w:val="32"/>
        </w:rPr>
        <w:t xml:space="preserve">summer camp package for </w:t>
      </w:r>
      <w:r w:rsidR="00DE7D2E">
        <w:rPr>
          <w:sz w:val="32"/>
          <w:szCs w:val="32"/>
        </w:rPr>
        <w:t>the afternoon clinic.</w:t>
      </w:r>
      <w:proofErr w:type="gramEnd"/>
      <w:r w:rsidR="00DE7D2E">
        <w:rPr>
          <w:sz w:val="32"/>
          <w:szCs w:val="32"/>
        </w:rPr>
        <w:t xml:space="preserve">  </w:t>
      </w:r>
    </w:p>
    <w:p w:rsidR="00564DE4" w:rsidRDefault="00564DE4" w:rsidP="00D15D96">
      <w:pPr>
        <w:pStyle w:val="NoSpacing"/>
        <w:jc w:val="both"/>
        <w:rPr>
          <w:sz w:val="32"/>
          <w:szCs w:val="32"/>
        </w:rPr>
      </w:pPr>
    </w:p>
    <w:p w:rsidR="00564DE4" w:rsidRDefault="00564DE4" w:rsidP="00D15D96">
      <w:pPr>
        <w:pStyle w:val="NoSpacing"/>
        <w:jc w:val="both"/>
        <w:rPr>
          <w:sz w:val="32"/>
          <w:szCs w:val="32"/>
          <w:u w:val="single"/>
        </w:rPr>
      </w:pPr>
      <w:r>
        <w:rPr>
          <w:sz w:val="32"/>
          <w:szCs w:val="32"/>
          <w:u w:val="single"/>
        </w:rPr>
        <w:t>Additional Information:</w:t>
      </w:r>
    </w:p>
    <w:p w:rsidR="00564DE4" w:rsidRPr="00564DE4" w:rsidRDefault="00564DE4" w:rsidP="00D15D96">
      <w:pPr>
        <w:pStyle w:val="NoSpacing"/>
        <w:jc w:val="both"/>
        <w:rPr>
          <w:sz w:val="32"/>
          <w:szCs w:val="32"/>
        </w:rPr>
      </w:pPr>
      <w:r>
        <w:rPr>
          <w:sz w:val="32"/>
          <w:szCs w:val="32"/>
        </w:rPr>
        <w:t xml:space="preserve">Players who purchase our summer tournament package will enter singles and doubles for each tournament through Jordan Kelsey, our tournament </w:t>
      </w:r>
      <w:r w:rsidR="00D15D96">
        <w:rPr>
          <w:sz w:val="32"/>
          <w:szCs w:val="32"/>
        </w:rPr>
        <w:t>director</w:t>
      </w:r>
      <w:r>
        <w:rPr>
          <w:sz w:val="32"/>
          <w:szCs w:val="32"/>
        </w:rPr>
        <w:t xml:space="preserve">, rather than through </w:t>
      </w:r>
      <w:proofErr w:type="spellStart"/>
      <w:r>
        <w:rPr>
          <w:sz w:val="32"/>
          <w:szCs w:val="32"/>
        </w:rPr>
        <w:t>tennislink</w:t>
      </w:r>
      <w:proofErr w:type="spellEnd"/>
      <w:r>
        <w:rPr>
          <w:sz w:val="32"/>
          <w:szCs w:val="32"/>
        </w:rPr>
        <w:t xml:space="preserve"> online.  </w:t>
      </w:r>
      <w:r w:rsidR="006C3D04">
        <w:rPr>
          <w:sz w:val="32"/>
          <w:szCs w:val="32"/>
        </w:rPr>
        <w:t xml:space="preserve">Jordan’s cell phone is 812-240-4932.  Package players will not be automatically entered in singles or doubles.  You must let Jordan know </w:t>
      </w:r>
      <w:r w:rsidR="00D15D96">
        <w:rPr>
          <w:sz w:val="32"/>
          <w:szCs w:val="32"/>
        </w:rPr>
        <w:t xml:space="preserve">what events you want to </w:t>
      </w:r>
      <w:r w:rsidR="006C3D04">
        <w:rPr>
          <w:sz w:val="32"/>
          <w:szCs w:val="32"/>
        </w:rPr>
        <w:t>enter for each tournament.</w:t>
      </w:r>
      <w:r w:rsidR="00D15D96">
        <w:rPr>
          <w:sz w:val="32"/>
          <w:szCs w:val="32"/>
        </w:rPr>
        <w:t xml:space="preserve">  As stated above, the first doubles event will cost $21 in each tournament.  Second doubles events are free for tournament package players.  </w:t>
      </w:r>
      <w:r w:rsidR="006C3D04">
        <w:rPr>
          <w:sz w:val="32"/>
          <w:szCs w:val="32"/>
        </w:rPr>
        <w:t xml:space="preserve">  </w:t>
      </w:r>
    </w:p>
    <w:sectPr w:rsidR="00564DE4" w:rsidRPr="00564DE4" w:rsidSect="00D15D96">
      <w:pgSz w:w="12240" w:h="15840" w:code="1"/>
      <w:pgMar w:top="720" w:right="720" w:bottom="720" w:left="72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B6"/>
    <w:rsid w:val="0028275B"/>
    <w:rsid w:val="003D256B"/>
    <w:rsid w:val="004221AE"/>
    <w:rsid w:val="004C71E4"/>
    <w:rsid w:val="00564DE4"/>
    <w:rsid w:val="006C3D04"/>
    <w:rsid w:val="0078417B"/>
    <w:rsid w:val="007A0CB6"/>
    <w:rsid w:val="00B169CB"/>
    <w:rsid w:val="00B552F3"/>
    <w:rsid w:val="00D15D96"/>
    <w:rsid w:val="00DE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9CB"/>
    <w:rPr>
      <w:rFonts w:ascii="Tahoma" w:hAnsi="Tahoma" w:cs="Tahoma"/>
      <w:sz w:val="16"/>
      <w:szCs w:val="16"/>
    </w:rPr>
  </w:style>
  <w:style w:type="paragraph" w:styleId="NoSpacing">
    <w:name w:val="No Spacing"/>
    <w:uiPriority w:val="1"/>
    <w:qFormat/>
    <w:rsid w:val="00B552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9CB"/>
    <w:rPr>
      <w:rFonts w:ascii="Tahoma" w:hAnsi="Tahoma" w:cs="Tahoma"/>
      <w:sz w:val="16"/>
      <w:szCs w:val="16"/>
    </w:rPr>
  </w:style>
  <w:style w:type="paragraph" w:styleId="NoSpacing">
    <w:name w:val="No Spacing"/>
    <w:uiPriority w:val="1"/>
    <w:qFormat/>
    <w:rsid w:val="00B552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dc:creator>
  <cp:lastModifiedBy>Wes</cp:lastModifiedBy>
  <cp:revision>5</cp:revision>
  <cp:lastPrinted>2015-06-08T04:05:00Z</cp:lastPrinted>
  <dcterms:created xsi:type="dcterms:W3CDTF">2015-06-08T01:15:00Z</dcterms:created>
  <dcterms:modified xsi:type="dcterms:W3CDTF">2015-06-08T04:06:00Z</dcterms:modified>
</cp:coreProperties>
</file>