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Hoja de Acción sobre Proyectos Pro Vida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Si usted desea convertirse en un participante en esta batalla en favor de la vida, puede comunicarse con su Representante por Distrito o Acumulación y dejar saber que está a favor de </w:t>
      </w:r>
      <w:r w:rsidRPr="00F752C4">
        <w:rPr>
          <w:sz w:val="40"/>
          <w:szCs w:val="40"/>
          <w:lang w:val="es-PR"/>
        </w:rPr>
        <w:t>las medidas</w:t>
      </w:r>
      <w:r w:rsidRPr="00F752C4">
        <w:rPr>
          <w:sz w:val="40"/>
          <w:szCs w:val="40"/>
          <w:lang w:val="es-PR"/>
        </w:rPr>
        <w:t xml:space="preserve"> pro vida. Los proyectos aparecerán al final de este Hoja de Acción.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Para ver el listado de los 51 Representantes puede ir a la siguiente dirección en el Internet: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hyperlink r:id="rId4" w:history="1">
        <w:r w:rsidRPr="000716E5">
          <w:rPr>
            <w:rStyle w:val="Hyperlink"/>
            <w:sz w:val="40"/>
            <w:szCs w:val="40"/>
            <w:lang w:val="es-PR"/>
          </w:rPr>
          <w:t>http://www.camara.pr.gov/page-team/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Si quiere conocer quiénes son los integrantes de la Comisión de lo Jurídico que está a cargo del examen de estos proyectos puede ir a la siguiente dirección: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  <w:hyperlink r:id="rId5" w:history="1">
        <w:r w:rsidRPr="000716E5">
          <w:rPr>
            <w:rStyle w:val="Hyperlink"/>
            <w:sz w:val="40"/>
            <w:szCs w:val="40"/>
            <w:lang w:val="es-PR"/>
          </w:rPr>
          <w:t>http://www.camara.pr.gov/ova_dep/comsion-juridico/</w:t>
        </w:r>
      </w:hyperlink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Los integrantes de la Comisión de lo Jurídico lo son los Representes: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1.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>. Orlando Aponte – Presidente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2.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Ángel </w:t>
      </w:r>
      <w:proofErr w:type="spellStart"/>
      <w:r w:rsidRPr="00F752C4">
        <w:rPr>
          <w:sz w:val="40"/>
          <w:szCs w:val="40"/>
          <w:lang w:val="es-PR"/>
        </w:rPr>
        <w:t>Fourquet</w:t>
      </w:r>
      <w:proofErr w:type="spellEnd"/>
      <w:r w:rsidRPr="00F752C4">
        <w:rPr>
          <w:sz w:val="40"/>
          <w:szCs w:val="40"/>
          <w:lang w:val="es-PR"/>
        </w:rPr>
        <w:t xml:space="preserve"> Cordero – Vice-Presidente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3.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>. Jesús Manuel Ortiz – Secretario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4.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Hector</w:t>
      </w:r>
      <w:proofErr w:type="spellEnd"/>
      <w:r w:rsidRPr="00F752C4">
        <w:rPr>
          <w:sz w:val="40"/>
          <w:szCs w:val="40"/>
          <w:lang w:val="es-PR"/>
        </w:rPr>
        <w:t xml:space="preserve"> Ferrer Santiago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lastRenderedPageBreak/>
        <w:t>5.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Kebin</w:t>
      </w:r>
      <w:proofErr w:type="spellEnd"/>
      <w:r w:rsidRPr="00F752C4">
        <w:rPr>
          <w:sz w:val="40"/>
          <w:szCs w:val="40"/>
          <w:lang w:val="es-PR"/>
        </w:rPr>
        <w:t xml:space="preserve"> Maldonado </w:t>
      </w:r>
      <w:proofErr w:type="spellStart"/>
      <w:r w:rsidRPr="00F752C4">
        <w:rPr>
          <w:sz w:val="40"/>
          <w:szCs w:val="40"/>
          <w:lang w:val="es-PR"/>
        </w:rPr>
        <w:t>Martiz</w:t>
      </w:r>
      <w:proofErr w:type="spellEnd"/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6.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Anibal</w:t>
      </w:r>
      <w:proofErr w:type="spellEnd"/>
      <w:r w:rsidRPr="00F752C4">
        <w:rPr>
          <w:sz w:val="40"/>
          <w:szCs w:val="40"/>
          <w:lang w:val="es-PR"/>
        </w:rPr>
        <w:t xml:space="preserve"> Díaz Collazo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7.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Jose</w:t>
      </w:r>
      <w:proofErr w:type="spellEnd"/>
      <w:r w:rsidRPr="00F752C4">
        <w:rPr>
          <w:sz w:val="40"/>
          <w:szCs w:val="40"/>
          <w:lang w:val="es-PR"/>
        </w:rPr>
        <w:t xml:space="preserve"> Enrique </w:t>
      </w:r>
      <w:proofErr w:type="gramStart"/>
      <w:r w:rsidRPr="00F752C4">
        <w:rPr>
          <w:sz w:val="40"/>
          <w:szCs w:val="40"/>
          <w:lang w:val="es-PR"/>
        </w:rPr>
        <w:t xml:space="preserve">( </w:t>
      </w:r>
      <w:proofErr w:type="spellStart"/>
      <w:r w:rsidRPr="00F752C4">
        <w:rPr>
          <w:sz w:val="40"/>
          <w:szCs w:val="40"/>
          <w:lang w:val="es-PR"/>
        </w:rPr>
        <w:t>Quiquito</w:t>
      </w:r>
      <w:proofErr w:type="spellEnd"/>
      <w:proofErr w:type="gramEnd"/>
      <w:r w:rsidRPr="00F752C4">
        <w:rPr>
          <w:sz w:val="40"/>
          <w:szCs w:val="40"/>
          <w:lang w:val="es-PR"/>
        </w:rPr>
        <w:t xml:space="preserve"> ) Meléndez Ortiz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8.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Jose</w:t>
      </w:r>
      <w:proofErr w:type="spellEnd"/>
      <w:r w:rsidRPr="00F752C4">
        <w:rPr>
          <w:sz w:val="40"/>
          <w:szCs w:val="40"/>
          <w:lang w:val="es-PR"/>
        </w:rPr>
        <w:t xml:space="preserve"> </w:t>
      </w:r>
      <w:proofErr w:type="gramStart"/>
      <w:r w:rsidRPr="00F752C4">
        <w:rPr>
          <w:sz w:val="40"/>
          <w:szCs w:val="40"/>
          <w:lang w:val="es-PR"/>
        </w:rPr>
        <w:t xml:space="preserve">( </w:t>
      </w:r>
      <w:proofErr w:type="spellStart"/>
      <w:r w:rsidRPr="00F752C4">
        <w:rPr>
          <w:sz w:val="40"/>
          <w:szCs w:val="40"/>
          <w:lang w:val="es-PR"/>
        </w:rPr>
        <w:t>Pichy</w:t>
      </w:r>
      <w:proofErr w:type="spellEnd"/>
      <w:proofErr w:type="gramEnd"/>
      <w:r w:rsidRPr="00F752C4">
        <w:rPr>
          <w:sz w:val="40"/>
          <w:szCs w:val="40"/>
          <w:lang w:val="es-PR"/>
        </w:rPr>
        <w:t xml:space="preserve"> ) Torres Zamora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9.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Mariana Nogales </w:t>
      </w:r>
      <w:proofErr w:type="spellStart"/>
      <w:r w:rsidRPr="00F752C4">
        <w:rPr>
          <w:sz w:val="40"/>
          <w:szCs w:val="40"/>
          <w:lang w:val="es-PR"/>
        </w:rPr>
        <w:t>Molinelli</w:t>
      </w:r>
      <w:proofErr w:type="spellEnd"/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10.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Dennis Márquez </w:t>
      </w:r>
      <w:proofErr w:type="spellStart"/>
      <w:r w:rsidRPr="00F752C4">
        <w:rPr>
          <w:sz w:val="40"/>
          <w:szCs w:val="40"/>
          <w:lang w:val="es-PR"/>
        </w:rPr>
        <w:t>Lebron</w:t>
      </w:r>
      <w:proofErr w:type="spellEnd"/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11.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>. Lisie Burgos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Para enviarle un correo electrónico simultáneamente a los 11 legisladores que parecen arriba, pueden acceder al siguiente enlace: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  <w:hyperlink r:id="rId6" w:history="1">
        <w:r w:rsidRPr="000716E5">
          <w:rPr>
            <w:rStyle w:val="Hyperlink"/>
            <w:sz w:val="40"/>
            <w:szCs w:val="40"/>
            <w:lang w:val="es-PR"/>
          </w:rPr>
          <w:t>https://bit.ly/apoyoprovida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Entre las personas que no son miembros de la Comisión, pero </w:t>
      </w:r>
      <w:r w:rsidRPr="00F752C4">
        <w:rPr>
          <w:sz w:val="40"/>
          <w:szCs w:val="40"/>
          <w:lang w:val="es-PR"/>
        </w:rPr>
        <w:t>que,</w:t>
      </w:r>
      <w:r w:rsidRPr="00F752C4">
        <w:rPr>
          <w:sz w:val="40"/>
          <w:szCs w:val="40"/>
          <w:lang w:val="es-PR"/>
        </w:rPr>
        <w:t xml:space="preserve"> si pudieran votar en la misma por haber ocupado posiciones de liderato en el pasado, conocidos como miembros ex oficio, están los siguientes legisladores: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1.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>. Carlos “Johnny” Méndez – Pasado Presidente de la Cámara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Teléfono- 787-721-6040 </w:t>
      </w:r>
      <w:r w:rsidRPr="00F752C4">
        <w:rPr>
          <w:sz w:val="40"/>
          <w:szCs w:val="40"/>
          <w:lang w:val="es-PR"/>
        </w:rPr>
        <w:t>email:</w:t>
      </w:r>
      <w:r w:rsidRPr="00F752C4">
        <w:rPr>
          <w:lang w:val="es-PR"/>
        </w:rPr>
        <w:t xml:space="preserve"> </w:t>
      </w:r>
      <w:hyperlink r:id="rId7" w:history="1">
        <w:r w:rsidRPr="000716E5">
          <w:rPr>
            <w:rStyle w:val="Hyperlink"/>
            <w:sz w:val="40"/>
            <w:szCs w:val="40"/>
            <w:lang w:val="es-PR"/>
          </w:rPr>
          <w:t>cmendez@camara.pr.gov</w:t>
        </w:r>
      </w:hyperlink>
      <w:r>
        <w:rPr>
          <w:sz w:val="40"/>
          <w:szCs w:val="40"/>
          <w:lang w:val="es-PR"/>
        </w:rPr>
        <w:t xml:space="preserve"> </w:t>
      </w: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2.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 xml:space="preserve">. </w:t>
      </w:r>
      <w:proofErr w:type="spellStart"/>
      <w:r w:rsidRPr="00F752C4">
        <w:rPr>
          <w:sz w:val="40"/>
          <w:szCs w:val="40"/>
          <w:lang w:val="es-PR"/>
        </w:rPr>
        <w:t>Jose</w:t>
      </w:r>
      <w:proofErr w:type="spellEnd"/>
      <w:r w:rsidRPr="00F752C4">
        <w:rPr>
          <w:sz w:val="40"/>
          <w:szCs w:val="40"/>
          <w:lang w:val="es-PR"/>
        </w:rPr>
        <w:t xml:space="preserve"> Aponte – Pasado Presidente de la Cámara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Teléfono – 787-623-1090 </w:t>
      </w:r>
      <w:r w:rsidRPr="00F752C4">
        <w:rPr>
          <w:sz w:val="40"/>
          <w:szCs w:val="40"/>
          <w:lang w:val="es-PR"/>
        </w:rPr>
        <w:t xml:space="preserve">email: </w:t>
      </w:r>
      <w:hyperlink r:id="rId8" w:history="1">
        <w:r w:rsidRPr="000716E5">
          <w:rPr>
            <w:rStyle w:val="Hyperlink"/>
            <w:sz w:val="40"/>
            <w:szCs w:val="40"/>
            <w:lang w:val="es-PR"/>
          </w:rPr>
          <w:t>japonte@camara.pr.gov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lastRenderedPageBreak/>
        <w:t>3.</w:t>
      </w:r>
      <w:r w:rsidRPr="00F752C4">
        <w:rPr>
          <w:sz w:val="40"/>
          <w:szCs w:val="40"/>
          <w:lang w:val="es-PR"/>
        </w:rPr>
        <w:tab/>
      </w:r>
      <w:proofErr w:type="spellStart"/>
      <w:r w:rsidRPr="00F752C4">
        <w:rPr>
          <w:sz w:val="40"/>
          <w:szCs w:val="40"/>
          <w:lang w:val="es-PR"/>
        </w:rPr>
        <w:t>Hon</w:t>
      </w:r>
      <w:proofErr w:type="spellEnd"/>
      <w:r w:rsidRPr="00F752C4">
        <w:rPr>
          <w:sz w:val="40"/>
          <w:szCs w:val="40"/>
          <w:lang w:val="es-PR"/>
        </w:rPr>
        <w:t>. Roberto Rivera Ruiz de Porras – Ex Vice-President</w:t>
      </w:r>
      <w:r>
        <w:rPr>
          <w:sz w:val="40"/>
          <w:szCs w:val="40"/>
          <w:lang w:val="es-PR"/>
        </w:rPr>
        <w:t xml:space="preserve">e 787-721-6040 </w:t>
      </w:r>
      <w:r w:rsidRPr="00F752C4">
        <w:rPr>
          <w:sz w:val="40"/>
          <w:szCs w:val="40"/>
          <w:lang w:val="es-PR"/>
        </w:rPr>
        <w:t xml:space="preserve">email: </w:t>
      </w:r>
      <w:hyperlink r:id="rId9" w:history="1">
        <w:r w:rsidRPr="000716E5">
          <w:rPr>
            <w:rStyle w:val="Hyperlink"/>
            <w:sz w:val="40"/>
            <w:szCs w:val="40"/>
            <w:lang w:val="es-PR"/>
          </w:rPr>
          <w:t>rrivera@camara.pr.gov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¿En quiénes nos enfocaremos?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Orlando Aponte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Presidente Comisión de lo Jurídico y quien está presidiendo las Vistas </w:t>
      </w:r>
      <w:r w:rsidRPr="00F752C4">
        <w:rPr>
          <w:sz w:val="40"/>
          <w:szCs w:val="40"/>
          <w:lang w:val="es-PR"/>
        </w:rPr>
        <w:t>Públicas</w:t>
      </w:r>
      <w:r w:rsidRPr="00F752C4">
        <w:rPr>
          <w:sz w:val="40"/>
          <w:szCs w:val="40"/>
          <w:lang w:val="es-PR"/>
        </w:rPr>
        <w:t xml:space="preserve"> s</w:t>
      </w:r>
      <w:r>
        <w:rPr>
          <w:sz w:val="40"/>
          <w:szCs w:val="40"/>
          <w:lang w:val="es-PR"/>
        </w:rPr>
        <w:t xml:space="preserve">obre los 5 proyectos radicados </w:t>
      </w:r>
      <w:r w:rsidRPr="00F752C4">
        <w:rPr>
          <w:sz w:val="40"/>
          <w:szCs w:val="40"/>
          <w:lang w:val="es-PR"/>
        </w:rPr>
        <w:t xml:space="preserve">Distrito 26 que comprende los pueblos de Villalba, Barranquitas, </w:t>
      </w:r>
      <w:proofErr w:type="spellStart"/>
      <w:r w:rsidRPr="00F752C4">
        <w:rPr>
          <w:sz w:val="40"/>
          <w:szCs w:val="40"/>
          <w:lang w:val="es-PR"/>
        </w:rPr>
        <w:t>Orocovis</w:t>
      </w:r>
      <w:proofErr w:type="spellEnd"/>
      <w:r w:rsidRPr="00F752C4">
        <w:rPr>
          <w:sz w:val="40"/>
          <w:szCs w:val="40"/>
          <w:lang w:val="es-PR"/>
        </w:rPr>
        <w:t xml:space="preserve"> y </w:t>
      </w:r>
      <w:proofErr w:type="spellStart"/>
      <w:r w:rsidRPr="00F752C4">
        <w:rPr>
          <w:sz w:val="40"/>
          <w:szCs w:val="40"/>
          <w:lang w:val="es-PR"/>
        </w:rPr>
        <w:t>Coamo</w:t>
      </w:r>
      <w:proofErr w:type="spellEnd"/>
      <w:r w:rsidRPr="00F752C4">
        <w:rPr>
          <w:sz w:val="40"/>
          <w:szCs w:val="40"/>
          <w:lang w:val="es-PR"/>
        </w:rPr>
        <w:t xml:space="preserve">.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Teléfono -787-721-7113 </w:t>
      </w:r>
      <w:r w:rsidRPr="00F752C4">
        <w:rPr>
          <w:sz w:val="40"/>
          <w:szCs w:val="40"/>
          <w:lang w:val="es-PR"/>
        </w:rPr>
        <w:t xml:space="preserve">email: </w:t>
      </w:r>
      <w:hyperlink r:id="rId10" w:history="1">
        <w:r w:rsidRPr="000716E5">
          <w:rPr>
            <w:rStyle w:val="Hyperlink"/>
            <w:sz w:val="40"/>
            <w:szCs w:val="40"/>
            <w:lang w:val="es-PR"/>
          </w:rPr>
          <w:t>oaponte@camara.pr.gov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José Aníbal Díaz 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Distrito 29 que comprende los pueblos de Cayey y Cidra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Teléfono – 787-622-4380 </w:t>
      </w:r>
      <w:r w:rsidRPr="00F752C4">
        <w:rPr>
          <w:sz w:val="40"/>
          <w:szCs w:val="40"/>
          <w:lang w:val="es-PR"/>
        </w:rPr>
        <w:t xml:space="preserve">email: </w:t>
      </w:r>
      <w:hyperlink r:id="rId11" w:history="1">
        <w:r w:rsidRPr="000716E5">
          <w:rPr>
            <w:rStyle w:val="Hyperlink"/>
            <w:sz w:val="40"/>
            <w:szCs w:val="40"/>
            <w:lang w:val="es-PR"/>
          </w:rPr>
          <w:t>jadiaz@camara.pr.gov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</w:t>
      </w:r>
      <w:proofErr w:type="spellStart"/>
      <w:r w:rsidRPr="00F752C4">
        <w:rPr>
          <w:sz w:val="40"/>
          <w:szCs w:val="40"/>
          <w:lang w:val="es-PR"/>
        </w:rPr>
        <w:t>Kebin</w:t>
      </w:r>
      <w:proofErr w:type="spellEnd"/>
      <w:r w:rsidRPr="00F752C4">
        <w:rPr>
          <w:sz w:val="40"/>
          <w:szCs w:val="40"/>
          <w:lang w:val="es-PR"/>
        </w:rPr>
        <w:t xml:space="preserve"> Maldonado 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Distrito 30 que comprende los pueblos de Cabo Rojo, Hormigueros y San Germán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Teléfono 787-721-6040 Ext. 2021 </w:t>
      </w:r>
      <w:r w:rsidR="00142C51">
        <w:rPr>
          <w:sz w:val="40"/>
          <w:szCs w:val="40"/>
          <w:lang w:val="es-PR"/>
        </w:rPr>
        <w:t>email:</w:t>
      </w:r>
      <w:hyperlink r:id="rId12" w:history="1">
        <w:r w:rsidR="00142C51" w:rsidRPr="000716E5">
          <w:rPr>
            <w:rStyle w:val="Hyperlink"/>
            <w:sz w:val="40"/>
            <w:szCs w:val="40"/>
            <w:lang w:val="es-PR"/>
          </w:rPr>
          <w:t>kmaldonado@camara.pr.gov</w:t>
        </w:r>
      </w:hyperlink>
      <w:r w:rsidR="00142C51">
        <w:rPr>
          <w:sz w:val="40"/>
          <w:szCs w:val="40"/>
          <w:lang w:val="es-PR"/>
        </w:rPr>
        <w:t xml:space="preserve"> </w:t>
      </w:r>
    </w:p>
    <w:p w:rsidR="00142C51" w:rsidRDefault="00142C51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Ángel </w:t>
      </w:r>
      <w:proofErr w:type="spellStart"/>
      <w:r w:rsidRPr="00F752C4">
        <w:rPr>
          <w:sz w:val="40"/>
          <w:szCs w:val="40"/>
          <w:lang w:val="es-PR"/>
        </w:rPr>
        <w:t>Fourquet</w:t>
      </w:r>
      <w:proofErr w:type="spellEnd"/>
      <w:r w:rsidRPr="00F752C4">
        <w:rPr>
          <w:sz w:val="40"/>
          <w:szCs w:val="40"/>
          <w:lang w:val="es-PR"/>
        </w:rPr>
        <w:t xml:space="preserve"> 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Distrito 24 que comprende la ciudad de Ponce</w:t>
      </w:r>
    </w:p>
    <w:p w:rsidR="00142C51" w:rsidRDefault="00F752C4" w:rsidP="00142C51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T</w:t>
      </w:r>
      <w:r w:rsidR="00142C51">
        <w:rPr>
          <w:sz w:val="40"/>
          <w:szCs w:val="40"/>
          <w:lang w:val="es-PR"/>
        </w:rPr>
        <w:t>eléfono – 787-725-4431</w:t>
      </w:r>
    </w:p>
    <w:p w:rsidR="00F752C4" w:rsidRPr="00142C51" w:rsidRDefault="00142C51" w:rsidP="00142C51">
      <w:pPr>
        <w:pStyle w:val="NoSpacing"/>
        <w:rPr>
          <w:sz w:val="40"/>
          <w:szCs w:val="40"/>
        </w:rPr>
      </w:pPr>
      <w:r w:rsidRPr="00142C51">
        <w:rPr>
          <w:sz w:val="40"/>
          <w:szCs w:val="40"/>
        </w:rPr>
        <w:t xml:space="preserve">email </w:t>
      </w:r>
      <w:hyperlink r:id="rId13" w:history="1">
        <w:r w:rsidRPr="00142C51">
          <w:rPr>
            <w:rStyle w:val="Hyperlink"/>
            <w:sz w:val="40"/>
            <w:szCs w:val="40"/>
          </w:rPr>
          <w:t>afourquet@camara.pr.gov</w:t>
        </w:r>
      </w:hyperlink>
      <w:r w:rsidRPr="00142C51">
        <w:rPr>
          <w:sz w:val="40"/>
          <w:szCs w:val="40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lastRenderedPageBreak/>
        <w:t>Representante José “</w:t>
      </w:r>
      <w:proofErr w:type="spellStart"/>
      <w:r w:rsidRPr="00F752C4">
        <w:rPr>
          <w:sz w:val="40"/>
          <w:szCs w:val="40"/>
          <w:lang w:val="es-PR"/>
        </w:rPr>
        <w:t>Pichy</w:t>
      </w:r>
      <w:proofErr w:type="spellEnd"/>
      <w:r w:rsidRPr="00F752C4">
        <w:rPr>
          <w:sz w:val="40"/>
          <w:szCs w:val="40"/>
          <w:lang w:val="es-PR"/>
        </w:rPr>
        <w:t>” Torres Zamora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por Acumulación </w:t>
      </w:r>
    </w:p>
    <w:p w:rsidR="00F752C4" w:rsidRPr="00F752C4" w:rsidRDefault="00142C51" w:rsidP="00F752C4">
      <w:pPr>
        <w:pStyle w:val="NoSpacing"/>
        <w:rPr>
          <w:sz w:val="40"/>
          <w:szCs w:val="40"/>
          <w:lang w:val="es-PR"/>
        </w:rPr>
      </w:pPr>
      <w:r>
        <w:rPr>
          <w:sz w:val="40"/>
          <w:szCs w:val="40"/>
          <w:lang w:val="es-PR"/>
        </w:rPr>
        <w:t xml:space="preserve">Teléfono – 787-622-3803 </w:t>
      </w:r>
      <w:r w:rsidR="00F752C4" w:rsidRPr="00F752C4">
        <w:rPr>
          <w:sz w:val="40"/>
          <w:szCs w:val="40"/>
          <w:lang w:val="es-PR"/>
        </w:rPr>
        <w:t xml:space="preserve">email: </w:t>
      </w:r>
      <w:hyperlink r:id="rId14" w:history="1">
        <w:r w:rsidRPr="000716E5">
          <w:rPr>
            <w:rStyle w:val="Hyperlink"/>
            <w:sz w:val="40"/>
            <w:szCs w:val="40"/>
            <w:lang w:val="es-PR"/>
          </w:rPr>
          <w:t>jotorres@camara.pr.gov</w:t>
        </w:r>
      </w:hyperlink>
      <w:r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Representante Gabriel Rodríguez </w:t>
      </w:r>
      <w:proofErr w:type="spellStart"/>
      <w:r w:rsidRPr="00F752C4">
        <w:rPr>
          <w:sz w:val="40"/>
          <w:szCs w:val="40"/>
          <w:lang w:val="es-PR"/>
        </w:rPr>
        <w:t>Aguiló</w:t>
      </w:r>
      <w:proofErr w:type="spellEnd"/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Distrito 13 que comprende los pueblos de Manatí, </w:t>
      </w:r>
      <w:proofErr w:type="spellStart"/>
      <w:r w:rsidRPr="00F752C4">
        <w:rPr>
          <w:sz w:val="40"/>
          <w:szCs w:val="40"/>
          <w:lang w:val="es-PR"/>
        </w:rPr>
        <w:t>Ciales</w:t>
      </w:r>
      <w:proofErr w:type="spellEnd"/>
      <w:r w:rsidRPr="00F752C4">
        <w:rPr>
          <w:sz w:val="40"/>
          <w:szCs w:val="40"/>
          <w:lang w:val="es-PR"/>
        </w:rPr>
        <w:t>, Florida, Barceloneta y Arecibo. Teléfono- 787-725-2727 y su email: gfrodriguez@camara.pr.gov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——————————————————————————————————————-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Mensaje a enviar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Título: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Favorezco los cuatro proyectos pro vida y no apoyo el proyecto pro aborto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Mensaje: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“Les solicitamos encarecidamente que le den su voto de aprobación a los proyectos pro vida, el P. del S. 693; el P. de la C. 1084; el P. de la C. 715 y el P. de la C. 1410.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Hago constar además que me opongo al P. de la C. 1403 que legaliza totalmente el aborto en todas las etapas del </w:t>
      </w:r>
      <w:r w:rsidRPr="00F752C4">
        <w:rPr>
          <w:sz w:val="40"/>
          <w:szCs w:val="40"/>
          <w:lang w:val="es-PR"/>
        </w:rPr>
        <w:lastRenderedPageBreak/>
        <w:t>embarazo, al igual que conductas y orientaciones sexuales e identidades de género”.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———————————————————————————————————————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¿De qué tratan los proyectos?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P. del S. 693 – Proyecto tripartita aprobado ya en el Senado que regula el aborto después de las veintidós semanas, donde el bebé es viable, o sea, puede vivir fuera del vientre materno.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P. de la C. 1084 – Proyecto que regula el aborto una vez se detectan latidos del corazón.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P. de la C. 715 – Esté proyecto llamado </w:t>
      </w:r>
      <w:proofErr w:type="spellStart"/>
      <w:r w:rsidRPr="00F752C4">
        <w:rPr>
          <w:sz w:val="40"/>
          <w:szCs w:val="40"/>
          <w:lang w:val="es-PR"/>
        </w:rPr>
        <w:t>Keishla</w:t>
      </w:r>
      <w:proofErr w:type="spellEnd"/>
      <w:r w:rsidRPr="00F752C4">
        <w:rPr>
          <w:sz w:val="40"/>
          <w:szCs w:val="40"/>
          <w:lang w:val="es-PR"/>
        </w:rPr>
        <w:t xml:space="preserve"> Marlene, señala como doble asesinato el quitarle la vida a una mujer embarazada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P. de la C. 1410 – Proyecto para establecer la celebración de un referéndum para que el pueblo se exprese y escoja si quiere defender el derecho a la vida del bebé concebido o si desea proteger la práctica del aborto y los derechos sexuales.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Por otro </w:t>
      </w:r>
      <w:r w:rsidR="00142C51" w:rsidRPr="00F752C4">
        <w:rPr>
          <w:sz w:val="40"/>
          <w:szCs w:val="40"/>
          <w:lang w:val="es-PR"/>
        </w:rPr>
        <w:t>lado,</w:t>
      </w:r>
      <w:r w:rsidRPr="00F752C4">
        <w:rPr>
          <w:sz w:val="40"/>
          <w:szCs w:val="40"/>
          <w:lang w:val="es-PR"/>
        </w:rPr>
        <w:t xml:space="preserve"> estoy en total desacuerdo y solicito un voto en contra del: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lastRenderedPageBreak/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P. de la C. 1403 – Esté proyecto pretende legalizar el aborto en todas sus etapas. </w:t>
      </w:r>
      <w:r w:rsidR="00142C51" w:rsidRPr="00F752C4">
        <w:rPr>
          <w:sz w:val="40"/>
          <w:szCs w:val="40"/>
          <w:lang w:val="es-PR"/>
        </w:rPr>
        <w:t>Además,</w:t>
      </w:r>
      <w:r w:rsidRPr="00F752C4">
        <w:rPr>
          <w:sz w:val="40"/>
          <w:szCs w:val="40"/>
          <w:lang w:val="es-PR"/>
        </w:rPr>
        <w:t xml:space="preserve"> incluye además del aborto el proteger derechos y conductas sexuales, orientaciones e identidad de género. Le prohibiría al Gobierno cualquier intervención en las áreas arribas mencionadas y colocaría esta ley propuesta en supremacía a cualquier ley vigente o que presente un obstáculo u oposición a la misma.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 </w:t>
      </w:r>
    </w:p>
    <w:p w:rsidR="00F752C4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 xml:space="preserve">“En tiempos históricos como el que vivimos, el </w:t>
      </w:r>
      <w:r w:rsidR="00142C51">
        <w:rPr>
          <w:sz w:val="40"/>
          <w:szCs w:val="40"/>
          <w:lang w:val="es-PR"/>
        </w:rPr>
        <w:t xml:space="preserve">no tomar acción </w:t>
      </w:r>
      <w:r w:rsidRPr="00F752C4">
        <w:rPr>
          <w:sz w:val="40"/>
          <w:szCs w:val="40"/>
          <w:lang w:val="es-PR"/>
        </w:rPr>
        <w:t>en favor de la protección y vida del concebido,</w:t>
      </w:r>
    </w:p>
    <w:p w:rsidR="00C00CB5" w:rsidRPr="00F752C4" w:rsidRDefault="00F752C4" w:rsidP="00F752C4">
      <w:pPr>
        <w:pStyle w:val="NoSpacing"/>
        <w:rPr>
          <w:sz w:val="40"/>
          <w:szCs w:val="40"/>
          <w:lang w:val="es-PR"/>
        </w:rPr>
      </w:pPr>
      <w:r w:rsidRPr="00F752C4">
        <w:rPr>
          <w:sz w:val="40"/>
          <w:szCs w:val="40"/>
          <w:lang w:val="es-PR"/>
        </w:rPr>
        <w:t>es tomar acción fa</w:t>
      </w:r>
      <w:r w:rsidR="00142C51">
        <w:rPr>
          <w:sz w:val="40"/>
          <w:szCs w:val="40"/>
          <w:lang w:val="es-PR"/>
        </w:rPr>
        <w:t xml:space="preserve">voreciendo el quitarle la vida </w:t>
      </w:r>
      <w:bookmarkStart w:id="0" w:name="_GoBack"/>
      <w:bookmarkEnd w:id="0"/>
      <w:r w:rsidRPr="00F752C4">
        <w:rPr>
          <w:sz w:val="40"/>
          <w:szCs w:val="40"/>
          <w:lang w:val="es-PR"/>
        </w:rPr>
        <w:t>a un inocente, es favorecer la práctica irrestricta del aborto”.</w:t>
      </w:r>
    </w:p>
    <w:sectPr w:rsidR="00C00CB5" w:rsidRPr="00F75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C4"/>
    <w:rsid w:val="00142C51"/>
    <w:rsid w:val="00C00CB5"/>
    <w:rsid w:val="00F7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F7A9"/>
  <w15:chartTrackingRefBased/>
  <w15:docId w15:val="{B8EA0D82-F5AB-4CB1-ABDC-A8A6A0FB4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2C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75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ponte@camara.pr.gov" TargetMode="External"/><Relationship Id="rId13" Type="http://schemas.openxmlformats.org/officeDocument/2006/relationships/hyperlink" Target="mailto:afourquet@camara.pr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mendez@camara.pr.gov" TargetMode="External"/><Relationship Id="rId12" Type="http://schemas.openxmlformats.org/officeDocument/2006/relationships/hyperlink" Target="mailto:kmaldonado@camara.pr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bit.ly/apoyoprovida" TargetMode="External"/><Relationship Id="rId11" Type="http://schemas.openxmlformats.org/officeDocument/2006/relationships/hyperlink" Target="mailto:jadiaz@camara.pr.gov" TargetMode="External"/><Relationship Id="rId5" Type="http://schemas.openxmlformats.org/officeDocument/2006/relationships/hyperlink" Target="http://www.camara.pr.gov/ova_dep/comsion-juridico/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oaponte@camara.pr.gov" TargetMode="External"/><Relationship Id="rId4" Type="http://schemas.openxmlformats.org/officeDocument/2006/relationships/hyperlink" Target="http://www.camara.pr.gov/page-team/" TargetMode="External"/><Relationship Id="rId9" Type="http://schemas.openxmlformats.org/officeDocument/2006/relationships/hyperlink" Target="mailto:rrivera@camara.pr.gov" TargetMode="External"/><Relationship Id="rId14" Type="http://schemas.openxmlformats.org/officeDocument/2006/relationships/hyperlink" Target="mailto:jotorres@camara.pr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Sánchez</dc:creator>
  <cp:keywords/>
  <dc:description/>
  <cp:lastModifiedBy>Carlos Sánchez</cp:lastModifiedBy>
  <cp:revision>1</cp:revision>
  <dcterms:created xsi:type="dcterms:W3CDTF">2022-10-17T14:01:00Z</dcterms:created>
  <dcterms:modified xsi:type="dcterms:W3CDTF">2022-10-17T14:16:00Z</dcterms:modified>
</cp:coreProperties>
</file>