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92" w:rsidRDefault="000F1092" w:rsidP="007608FB">
      <w:pPr>
        <w:jc w:val="center"/>
        <w:rPr>
          <w:rFonts w:ascii="Georgia" w:hAnsi="Georgia"/>
          <w:b/>
          <w:color w:val="000000"/>
          <w:spacing w:val="1"/>
          <w:sz w:val="32"/>
          <w:szCs w:val="32"/>
        </w:rPr>
      </w:pPr>
      <w:r w:rsidRPr="000F1092">
        <w:rPr>
          <w:rFonts w:ascii="Georgia" w:hAnsi="Georgia"/>
          <w:b/>
          <w:noProof/>
          <w:color w:val="000000"/>
          <w:spacing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C8AD" wp14:editId="138D3BBB">
                <wp:simplePos x="0" y="0"/>
                <wp:positionH relativeFrom="margin">
                  <wp:posOffset>191311</wp:posOffset>
                </wp:positionH>
                <wp:positionV relativeFrom="paragraph">
                  <wp:posOffset>-288587</wp:posOffset>
                </wp:positionV>
                <wp:extent cx="6452505" cy="712740"/>
                <wp:effectExtent l="0" t="0" r="247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505" cy="71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3F" w:rsidRDefault="000F1092" w:rsidP="00C6563F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pacing w:val="1"/>
                                <w:sz w:val="44"/>
                                <w:szCs w:val="36"/>
                              </w:rPr>
                            </w:pPr>
                            <w:r w:rsidRPr="00F2048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pacing w:val="1"/>
                                <w:sz w:val="44"/>
                                <w:szCs w:val="36"/>
                              </w:rPr>
                              <w:t>California</w:t>
                            </w:r>
                            <w:r w:rsidR="00090DFD" w:rsidRPr="00F2048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pacing w:val="1"/>
                                <w:sz w:val="44"/>
                                <w:szCs w:val="36"/>
                              </w:rPr>
                              <w:t>’s</w:t>
                            </w:r>
                            <w:r w:rsidRPr="00F2048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pacing w:val="1"/>
                                <w:sz w:val="44"/>
                                <w:szCs w:val="36"/>
                              </w:rPr>
                              <w:t xml:space="preserve"> dairy pricing system is </w:t>
                            </w:r>
                          </w:p>
                          <w:p w:rsidR="000F1092" w:rsidRPr="00F20483" w:rsidRDefault="000F1092" w:rsidP="00C6563F">
                            <w:pPr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36"/>
                              </w:rPr>
                            </w:pPr>
                            <w:r w:rsidRPr="00F2048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36"/>
                              </w:rPr>
                              <w:t xml:space="preserve">costing </w:t>
                            </w:r>
                            <w:r w:rsidR="00090DFD" w:rsidRPr="00F20483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36"/>
                              </w:rPr>
                              <w:t xml:space="preserve">producers </w:t>
                            </w:r>
                            <w:r w:rsidR="00090DFD" w:rsidRPr="00FA2409"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color w:val="000000"/>
                                <w:sz w:val="44"/>
                                <w:szCs w:val="36"/>
                              </w:rPr>
                              <w:t>millions of dollars</w:t>
                            </w:r>
                          </w:p>
                          <w:p w:rsidR="000F1092" w:rsidRDefault="000F1092" w:rsidP="000F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C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05pt;margin-top:-22.7pt;width:508.0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" filled="f" strokeweight="1pt">
                <v:textbox>
                  <w:txbxContent>
                    <w:p w:rsidR="00C6563F" w:rsidRDefault="000F1092" w:rsidP="00C6563F">
                      <w:pPr>
                        <w:contextualSpacing/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pacing w:val="1"/>
                          <w:sz w:val="44"/>
                          <w:szCs w:val="36"/>
                        </w:rPr>
                      </w:pPr>
                      <w:r w:rsidRPr="00F20483"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pacing w:val="1"/>
                          <w:sz w:val="44"/>
                          <w:szCs w:val="36"/>
                        </w:rPr>
                        <w:t>California</w:t>
                      </w:r>
                      <w:r w:rsidR="00090DFD" w:rsidRPr="00F20483"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pacing w:val="1"/>
                          <w:sz w:val="44"/>
                          <w:szCs w:val="36"/>
                        </w:rPr>
                        <w:t>’s</w:t>
                      </w:r>
                      <w:r w:rsidRPr="00F20483"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pacing w:val="1"/>
                          <w:sz w:val="44"/>
                          <w:szCs w:val="36"/>
                        </w:rPr>
                        <w:t xml:space="preserve"> dairy pricing system is </w:t>
                      </w:r>
                    </w:p>
                    <w:p w:rsidR="000F1092" w:rsidRPr="00F20483" w:rsidRDefault="000F1092" w:rsidP="00C6563F">
                      <w:pPr>
                        <w:contextualSpacing/>
                        <w:jc w:val="center"/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z w:val="44"/>
                          <w:szCs w:val="36"/>
                        </w:rPr>
                      </w:pPr>
                      <w:r w:rsidRPr="00F20483"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z w:val="44"/>
                          <w:szCs w:val="36"/>
                        </w:rPr>
                        <w:t xml:space="preserve">costing </w:t>
                      </w:r>
                      <w:r w:rsidR="00090DFD" w:rsidRPr="00F20483"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z w:val="44"/>
                          <w:szCs w:val="36"/>
                        </w:rPr>
                        <w:t xml:space="preserve">producers </w:t>
                      </w:r>
                      <w:r w:rsidR="00090DFD" w:rsidRPr="00FA2409">
                        <w:rPr>
                          <w:rFonts w:ascii="Candara" w:hAnsi="Candara"/>
                          <w:b/>
                          <w:bCs/>
                          <w:smallCaps/>
                          <w:color w:val="000000"/>
                          <w:sz w:val="44"/>
                          <w:szCs w:val="36"/>
                        </w:rPr>
                        <w:t>millions of dollars</w:t>
                      </w:r>
                    </w:p>
                    <w:p w:rsidR="000F1092" w:rsidRDefault="000F1092" w:rsidP="000F1092"/>
                  </w:txbxContent>
                </v:textbox>
                <w10:wrap anchorx="margin"/>
              </v:shape>
            </w:pict>
          </mc:Fallback>
        </mc:AlternateContent>
      </w:r>
    </w:p>
    <w:p w:rsidR="000F1092" w:rsidRDefault="000F1092" w:rsidP="007608FB">
      <w:pPr>
        <w:jc w:val="center"/>
        <w:rPr>
          <w:rFonts w:ascii="Georgia" w:hAnsi="Georgia"/>
          <w:b/>
          <w:color w:val="000000"/>
          <w:spacing w:val="1"/>
          <w:sz w:val="32"/>
          <w:szCs w:val="32"/>
        </w:rPr>
      </w:pPr>
    </w:p>
    <w:p w:rsidR="00556A69" w:rsidRDefault="007608FB" w:rsidP="00C6563F">
      <w:pPr>
        <w:ind w:left="360" w:right="360"/>
        <w:jc w:val="center"/>
        <w:rPr>
          <w:rFonts w:ascii="Georgia" w:hAnsi="Georgia" w:cs="Arial"/>
          <w:color w:val="000000"/>
          <w:spacing w:val="-7"/>
          <w:w w:val="105"/>
          <w:sz w:val="24"/>
          <w:szCs w:val="24"/>
        </w:rPr>
      </w:pPr>
      <w:r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>T</w:t>
      </w:r>
      <w:r w:rsidR="00D57CA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he </w:t>
      </w:r>
      <w:r w:rsidR="002A07C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average California dairy producer has been paid </w:t>
      </w:r>
      <w:r w:rsidR="002A07C6" w:rsidRPr="00C0788A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>$</w:t>
      </w:r>
      <w:r w:rsidR="00556A69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>1,</w:t>
      </w:r>
      <w:r w:rsidR="00FE7AD1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>570</w:t>
      </w:r>
      <w:r w:rsidR="00C6563F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>,5</w:t>
      </w:r>
      <w:r w:rsidR="00FE7AD1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>3</w:t>
      </w:r>
      <w:r w:rsidR="00C6563F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>4</w:t>
      </w:r>
      <w:r w:rsidR="002A07C6" w:rsidRPr="00C0788A">
        <w:rPr>
          <w:rFonts w:ascii="Georgia" w:hAnsi="Georgia" w:cs="Arial"/>
          <w:b/>
          <w:bCs/>
          <w:color w:val="FF0000"/>
          <w:spacing w:val="-7"/>
          <w:w w:val="105"/>
          <w:sz w:val="24"/>
          <w:szCs w:val="24"/>
        </w:rPr>
        <w:t xml:space="preserve"> less</w:t>
      </w:r>
      <w:r w:rsidRPr="00C0788A">
        <w:rPr>
          <w:rFonts w:ascii="Georgia" w:hAnsi="Georgia" w:cs="Arial"/>
          <w:b/>
          <w:bCs/>
          <w:color w:val="000000"/>
          <w:spacing w:val="-7"/>
          <w:w w:val="105"/>
          <w:sz w:val="24"/>
          <w:szCs w:val="24"/>
        </w:rPr>
        <w:t xml:space="preserve"> </w:t>
      </w:r>
      <w:r w:rsidR="002A07C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than the same sized dairy in the </w:t>
      </w:r>
      <w:r w:rsidR="00D57CA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>Federal Milk Marketing</w:t>
      </w:r>
      <w:r w:rsidR="002A07C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 Order (FMMO) System</w:t>
      </w:r>
      <w:r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 </w:t>
      </w:r>
      <w:r w:rsidR="00C11498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>since</w:t>
      </w:r>
      <w:r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 </w:t>
      </w:r>
      <w:r w:rsidR="00556A69">
        <w:rPr>
          <w:rFonts w:ascii="Georgia" w:hAnsi="Georgia" w:cs="Arial"/>
          <w:color w:val="000000"/>
          <w:spacing w:val="-7"/>
          <w:w w:val="105"/>
          <w:sz w:val="24"/>
          <w:szCs w:val="24"/>
        </w:rPr>
        <w:t>J</w:t>
      </w:r>
      <w:r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>anuary 20</w:t>
      </w:r>
      <w:r w:rsidR="00556A69">
        <w:rPr>
          <w:rFonts w:ascii="Georgia" w:hAnsi="Georgia" w:cs="Arial"/>
          <w:color w:val="000000"/>
          <w:spacing w:val="-7"/>
          <w:w w:val="105"/>
          <w:sz w:val="24"/>
          <w:szCs w:val="24"/>
        </w:rPr>
        <w:t>11</w:t>
      </w:r>
      <w:r w:rsidR="002A07C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. </w:t>
      </w:r>
      <w:r w:rsidR="00D57CA6"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 xml:space="preserve"> </w:t>
      </w:r>
    </w:p>
    <w:p w:rsidR="00B40A7E" w:rsidRDefault="00135BC3" w:rsidP="00556A69">
      <w:pPr>
        <w:ind w:left="720"/>
        <w:jc w:val="center"/>
        <w:rPr>
          <w:rFonts w:ascii="Georgia" w:hAnsi="Georgia" w:cs="Arial"/>
          <w:color w:val="000000"/>
          <w:spacing w:val="-5"/>
          <w:w w:val="105"/>
          <w:sz w:val="24"/>
          <w:szCs w:val="24"/>
        </w:rPr>
      </w:pPr>
      <w:r w:rsidRPr="00C0788A">
        <w:rPr>
          <w:rFonts w:ascii="Georgia" w:hAnsi="Georgia" w:cs="Arial"/>
          <w:color w:val="000000"/>
          <w:spacing w:val="-7"/>
          <w:w w:val="105"/>
          <w:sz w:val="24"/>
          <w:szCs w:val="24"/>
        </w:rPr>
        <w:t>S</w:t>
      </w:r>
      <w:r w:rsidR="005332B8">
        <w:rPr>
          <w:rFonts w:ascii="Georgia" w:hAnsi="Georgia" w:cs="Arial"/>
          <w:color w:val="000000"/>
          <w:spacing w:val="-5"/>
          <w:w w:val="105"/>
          <w:sz w:val="24"/>
          <w:szCs w:val="24"/>
        </w:rPr>
        <w:t>ince 2011</w:t>
      </w:r>
      <w:r w:rsidR="002A07C6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 xml:space="preserve">, </w:t>
      </w:r>
      <w:r w:rsidR="00B351E6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 xml:space="preserve">California </w:t>
      </w:r>
      <w:r w:rsidR="00FD1F67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 xml:space="preserve">dairy producers </w:t>
      </w:r>
      <w:r w:rsidR="002A07C6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>ha</w:t>
      </w:r>
      <w:r w:rsidR="00FD1F67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>ve</w:t>
      </w:r>
      <w:r w:rsidR="002A07C6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 xml:space="preserve"> been paid </w:t>
      </w:r>
      <w:r w:rsidR="00FD1F67" w:rsidRPr="00C0788A">
        <w:rPr>
          <w:rFonts w:ascii="Georgia" w:hAnsi="Georgia" w:cs="Arial"/>
          <w:color w:val="000000"/>
          <w:spacing w:val="-5"/>
          <w:w w:val="105"/>
          <w:sz w:val="24"/>
          <w:szCs w:val="24"/>
        </w:rPr>
        <w:t xml:space="preserve">on average </w:t>
      </w:r>
    </w:p>
    <w:p w:rsidR="00556A69" w:rsidRPr="00B0160E" w:rsidRDefault="002A07C6" w:rsidP="00684F97">
      <w:pPr>
        <w:ind w:left="720"/>
        <w:jc w:val="center"/>
        <w:rPr>
          <w:rFonts w:ascii="Georgia" w:hAnsi="Georgia" w:cs="Arial"/>
          <w:color w:val="7030A0"/>
          <w:sz w:val="24"/>
          <w:szCs w:val="24"/>
        </w:rPr>
      </w:pPr>
      <w:r w:rsidRPr="004F3A1E">
        <w:rPr>
          <w:rFonts w:ascii="Georgia" w:hAnsi="Georgia" w:cs="Arial"/>
          <w:b/>
          <w:bCs/>
          <w:spacing w:val="-5"/>
          <w:w w:val="105"/>
          <w:sz w:val="24"/>
          <w:szCs w:val="24"/>
          <w:u w:val="single"/>
        </w:rPr>
        <w:t>$1.</w:t>
      </w:r>
      <w:r w:rsidR="00FE7AD1">
        <w:rPr>
          <w:rFonts w:ascii="Georgia" w:hAnsi="Georgia" w:cs="Arial"/>
          <w:b/>
          <w:bCs/>
          <w:spacing w:val="-5"/>
          <w:w w:val="105"/>
          <w:sz w:val="24"/>
          <w:szCs w:val="24"/>
          <w:u w:val="single"/>
        </w:rPr>
        <w:t>31</w:t>
      </w:r>
      <w:r w:rsidRPr="004F3A1E">
        <w:rPr>
          <w:rFonts w:ascii="Georgia" w:hAnsi="Georgia" w:cs="Arial"/>
          <w:b/>
          <w:bCs/>
          <w:spacing w:val="-5"/>
          <w:w w:val="105"/>
          <w:sz w:val="24"/>
          <w:szCs w:val="24"/>
          <w:u w:val="single"/>
        </w:rPr>
        <w:t xml:space="preserve"> </w:t>
      </w:r>
      <w:r w:rsidR="00684F97">
        <w:rPr>
          <w:rFonts w:ascii="Georgia" w:hAnsi="Georgia" w:cs="Arial"/>
          <w:b/>
          <w:bCs/>
          <w:spacing w:val="-5"/>
          <w:w w:val="105"/>
          <w:sz w:val="24"/>
          <w:szCs w:val="24"/>
          <w:u w:val="single"/>
        </w:rPr>
        <w:t xml:space="preserve">less </w:t>
      </w:r>
      <w:r w:rsidR="008868C6" w:rsidRPr="004F3A1E">
        <w:rPr>
          <w:rFonts w:ascii="Georgia" w:hAnsi="Georgia" w:cs="Arial"/>
          <w:b/>
          <w:bCs/>
          <w:spacing w:val="-5"/>
          <w:w w:val="105"/>
          <w:sz w:val="24"/>
          <w:szCs w:val="24"/>
          <w:u w:val="single"/>
        </w:rPr>
        <w:t>per cwt</w:t>
      </w:r>
      <w:r w:rsidR="006D181A">
        <w:rPr>
          <w:rFonts w:ascii="Georgia" w:hAnsi="Georgia" w:cs="Arial"/>
          <w:b/>
          <w:bCs/>
          <w:spacing w:val="-5"/>
          <w:w w:val="105"/>
          <w:sz w:val="24"/>
          <w:szCs w:val="24"/>
        </w:rPr>
        <w:t xml:space="preserve"> </w:t>
      </w:r>
      <w:r w:rsidR="007473D0">
        <w:rPr>
          <w:rFonts w:ascii="Georgia" w:hAnsi="Georgia" w:cs="Arial"/>
          <w:spacing w:val="-5"/>
          <w:w w:val="105"/>
          <w:sz w:val="24"/>
          <w:szCs w:val="24"/>
        </w:rPr>
        <w:t xml:space="preserve">or </w:t>
      </w:r>
      <w:r w:rsidR="007473D0" w:rsidRPr="004F3A1E">
        <w:rPr>
          <w:rFonts w:ascii="Georgia" w:hAnsi="Georgia" w:cs="Arial"/>
          <w:b/>
          <w:bCs/>
          <w:sz w:val="24"/>
          <w:szCs w:val="24"/>
          <w:u w:val="single"/>
        </w:rPr>
        <w:t>$</w:t>
      </w:r>
      <w:r w:rsidR="004F3A1E" w:rsidRPr="004F3A1E">
        <w:rPr>
          <w:rFonts w:ascii="Georgia" w:hAnsi="Georgia" w:cs="Arial"/>
          <w:b/>
          <w:bCs/>
          <w:sz w:val="24"/>
          <w:szCs w:val="24"/>
          <w:u w:val="single"/>
        </w:rPr>
        <w:t>1,</w:t>
      </w:r>
      <w:r w:rsidR="00FE7AD1">
        <w:rPr>
          <w:rFonts w:ascii="Georgia" w:hAnsi="Georgia" w:cs="Arial"/>
          <w:b/>
          <w:bCs/>
          <w:sz w:val="24"/>
          <w:szCs w:val="24"/>
          <w:u w:val="single"/>
        </w:rPr>
        <w:t>570</w:t>
      </w:r>
      <w:r w:rsidR="00D57CA6" w:rsidRPr="004F3A1E">
        <w:rPr>
          <w:rFonts w:ascii="Georgia" w:hAnsi="Georgia" w:cs="Arial"/>
          <w:b/>
          <w:bCs/>
          <w:sz w:val="24"/>
          <w:szCs w:val="24"/>
          <w:u w:val="single"/>
        </w:rPr>
        <w:t xml:space="preserve"> </w:t>
      </w:r>
      <w:r w:rsidR="005263B4">
        <w:rPr>
          <w:rFonts w:ascii="Georgia" w:hAnsi="Georgia" w:cs="Arial"/>
          <w:b/>
          <w:bCs/>
          <w:sz w:val="24"/>
          <w:szCs w:val="24"/>
          <w:u w:val="single"/>
        </w:rPr>
        <w:t xml:space="preserve">less </w:t>
      </w:r>
      <w:r w:rsidR="00D57CA6" w:rsidRPr="004F3A1E">
        <w:rPr>
          <w:rFonts w:ascii="Georgia" w:hAnsi="Georgia" w:cs="Arial"/>
          <w:b/>
          <w:bCs/>
          <w:sz w:val="24"/>
          <w:szCs w:val="24"/>
          <w:u w:val="single"/>
        </w:rPr>
        <w:t>per cow</w:t>
      </w:r>
      <w:r w:rsidR="00E427F0" w:rsidRPr="004F3A1E">
        <w:rPr>
          <w:rFonts w:ascii="Georgia" w:hAnsi="Georgia" w:cs="Arial"/>
          <w:sz w:val="24"/>
          <w:szCs w:val="24"/>
        </w:rPr>
        <w:t xml:space="preserve"> </w:t>
      </w:r>
    </w:p>
    <w:p w:rsidR="00B57BAB" w:rsidRPr="00B40A7E" w:rsidRDefault="006D4992" w:rsidP="00B70404">
      <w:pPr>
        <w:spacing w:after="120"/>
        <w:ind w:left="720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When c</w:t>
      </w:r>
      <w:r w:rsidR="00670974" w:rsidRPr="00B40A7E">
        <w:rPr>
          <w:rFonts w:ascii="Georgia" w:hAnsi="Georgia" w:cs="Arial"/>
          <w:color w:val="000000"/>
          <w:sz w:val="24"/>
          <w:szCs w:val="24"/>
        </w:rPr>
        <w:t xml:space="preserve">ompared to </w:t>
      </w:r>
      <w:r w:rsidR="00556A69">
        <w:rPr>
          <w:rFonts w:ascii="Georgia" w:hAnsi="Georgia" w:cs="Arial"/>
          <w:color w:val="000000"/>
          <w:sz w:val="24"/>
          <w:szCs w:val="24"/>
        </w:rPr>
        <w:t xml:space="preserve">dairy producers in the federal milk marketing order system. </w:t>
      </w:r>
    </w:p>
    <w:tbl>
      <w:tblPr>
        <w:tblW w:w="111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996"/>
        <w:gridCol w:w="2161"/>
        <w:gridCol w:w="2095"/>
        <w:gridCol w:w="2404"/>
      </w:tblGrid>
      <w:tr w:rsidR="003E5DDD" w:rsidRPr="00C0788A" w:rsidTr="00FA2409">
        <w:trPr>
          <w:trHeight w:hRule="exact" w:val="620"/>
          <w:jc w:val="center"/>
        </w:trPr>
        <w:tc>
          <w:tcPr>
            <w:tcW w:w="2536" w:type="dxa"/>
            <w:shd w:val="clear" w:color="auto" w:fill="auto"/>
            <w:vAlign w:val="center"/>
          </w:tcPr>
          <w:p w:rsidR="003E5DDD" w:rsidRPr="00C0788A" w:rsidRDefault="00D57CA6" w:rsidP="006D4992">
            <w:pPr>
              <w:ind w:right="159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COW</w:t>
            </w:r>
            <w:r w:rsidR="006D4992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5DDD" w:rsidRPr="00C0788A" w:rsidRDefault="00D57CA6" w:rsidP="00AD24D8">
            <w:pPr>
              <w:ind w:right="295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500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E5DDD" w:rsidRPr="00C0788A" w:rsidRDefault="00D57CA6" w:rsidP="00AD24D8">
            <w:pPr>
              <w:ind w:right="116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1,000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E5DDD" w:rsidRPr="00C0788A" w:rsidRDefault="00D57CA6" w:rsidP="00AD24D8">
            <w:pPr>
              <w:ind w:right="296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1,500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E5DDD" w:rsidRPr="00C0788A" w:rsidRDefault="00D57CA6" w:rsidP="00AD24D8">
            <w:pPr>
              <w:ind w:right="239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2,000</w:t>
            </w:r>
          </w:p>
        </w:tc>
      </w:tr>
      <w:tr w:rsidR="003E5DDD" w:rsidRPr="00C0788A" w:rsidTr="00FA2409">
        <w:trPr>
          <w:trHeight w:hRule="exact" w:val="719"/>
          <w:jc w:val="center"/>
        </w:trPr>
        <w:tc>
          <w:tcPr>
            <w:tcW w:w="2536" w:type="dxa"/>
            <w:shd w:val="clear" w:color="auto" w:fill="auto"/>
            <w:vAlign w:val="center"/>
          </w:tcPr>
          <w:p w:rsidR="003E5DDD" w:rsidRPr="00C0788A" w:rsidRDefault="00D82DFC" w:rsidP="00B57BAB">
            <w:pPr>
              <w:ind w:right="429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LOST</w:t>
            </w:r>
            <w:r w:rsidR="00B57BAB"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 xml:space="preserve"> </w:t>
            </w:r>
            <w:r w:rsidRPr="00C0788A"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  <w:t>INCOME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E5DDD" w:rsidRPr="00C0788A" w:rsidRDefault="00D57CA6" w:rsidP="005332B8">
            <w:pPr>
              <w:ind w:right="115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($</w:t>
            </w:r>
            <w:r w:rsidR="00AC1A7D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785,267</w:t>
            </w:r>
            <w:r w:rsidRPr="00C0788A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E5DDD" w:rsidRPr="00C0788A" w:rsidRDefault="00D57CA6" w:rsidP="005332B8">
            <w:pPr>
              <w:ind w:right="116"/>
              <w:jc w:val="center"/>
              <w:rPr>
                <w:rFonts w:ascii="Georgia" w:hAnsi="Georgia"/>
                <w:b/>
                <w:color w:val="000000"/>
                <w:spacing w:val="-8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FF0000"/>
                <w:spacing w:val="-8"/>
                <w:w w:val="105"/>
                <w:sz w:val="24"/>
                <w:szCs w:val="24"/>
              </w:rPr>
              <w:t>($</w:t>
            </w:r>
            <w:r w:rsidR="00E7630B">
              <w:rPr>
                <w:rFonts w:ascii="Georgia" w:hAnsi="Georgia"/>
                <w:b/>
                <w:color w:val="FF0000"/>
                <w:spacing w:val="-8"/>
                <w:w w:val="105"/>
                <w:sz w:val="24"/>
                <w:szCs w:val="24"/>
              </w:rPr>
              <w:t>1,</w:t>
            </w:r>
            <w:r w:rsidR="00FE7AD1">
              <w:rPr>
                <w:rFonts w:ascii="Georgia" w:hAnsi="Georgia"/>
                <w:b/>
                <w:color w:val="FF0000"/>
                <w:spacing w:val="-8"/>
                <w:w w:val="105"/>
                <w:sz w:val="24"/>
                <w:szCs w:val="24"/>
              </w:rPr>
              <w:t>570,534</w:t>
            </w:r>
            <w:r w:rsidRPr="00C0788A">
              <w:rPr>
                <w:rFonts w:ascii="Georgia" w:hAnsi="Georgia"/>
                <w:b/>
                <w:color w:val="FF0000"/>
                <w:spacing w:val="-8"/>
                <w:w w:val="105"/>
                <w:sz w:val="24"/>
                <w:szCs w:val="24"/>
              </w:rPr>
              <w:t>)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E5DDD" w:rsidRPr="00C0788A" w:rsidRDefault="00D57CA6" w:rsidP="005332B8">
            <w:pPr>
              <w:ind w:right="116"/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($</w:t>
            </w:r>
            <w:r w:rsidR="005332B8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2</w:t>
            </w:r>
            <w:r w:rsidR="00E7630B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,</w:t>
            </w:r>
            <w:r w:rsidR="00FE7AD1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355,801</w:t>
            </w:r>
            <w:r w:rsidRPr="00C0788A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)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D24D8" w:rsidRPr="00C0788A" w:rsidRDefault="00D57CA6" w:rsidP="005332B8">
            <w:pPr>
              <w:jc w:val="center"/>
              <w:rPr>
                <w:rFonts w:ascii="Georgia" w:hAnsi="Georgia"/>
                <w:b/>
                <w:color w:val="000000"/>
                <w:w w:val="105"/>
                <w:sz w:val="24"/>
                <w:szCs w:val="24"/>
              </w:rPr>
            </w:pPr>
            <w:r w:rsidRPr="00C0788A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($</w:t>
            </w:r>
            <w:r w:rsidR="00FE7AD1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3</w:t>
            </w:r>
            <w:r w:rsidR="00E7630B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,</w:t>
            </w:r>
            <w:r w:rsidR="00FE7AD1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141,068</w:t>
            </w:r>
            <w:r w:rsidRPr="00C0788A">
              <w:rPr>
                <w:rFonts w:ascii="Georgia" w:hAnsi="Georgia"/>
                <w:b/>
                <w:color w:val="FF0000"/>
                <w:w w:val="105"/>
                <w:sz w:val="24"/>
                <w:szCs w:val="24"/>
              </w:rPr>
              <w:t>)</w:t>
            </w:r>
          </w:p>
        </w:tc>
      </w:tr>
      <w:tr w:rsidR="00AD24D8" w:rsidRPr="00C0788A" w:rsidTr="00FA2409">
        <w:trPr>
          <w:trHeight w:hRule="exact" w:val="278"/>
          <w:jc w:val="center"/>
        </w:trPr>
        <w:tc>
          <w:tcPr>
            <w:tcW w:w="11192" w:type="dxa"/>
            <w:gridSpan w:val="5"/>
            <w:shd w:val="clear" w:color="auto" w:fill="auto"/>
          </w:tcPr>
          <w:p w:rsidR="00AD24D8" w:rsidRPr="00E74A13" w:rsidRDefault="00AD24D8" w:rsidP="005263B4">
            <w:pPr>
              <w:jc w:val="center"/>
              <w:rPr>
                <w:rFonts w:ascii="Georgia" w:hAnsi="Georgia"/>
                <w:i/>
                <w:iCs/>
                <w:color w:val="000000"/>
                <w:w w:val="105"/>
                <w:sz w:val="24"/>
                <w:szCs w:val="24"/>
              </w:rPr>
            </w:pPr>
            <w:r w:rsidRPr="00E74A13">
              <w:rPr>
                <w:rFonts w:ascii="Georgia" w:hAnsi="Georgia"/>
                <w:i/>
                <w:iCs/>
                <w:color w:val="000000"/>
                <w:w w:val="105"/>
                <w:szCs w:val="24"/>
              </w:rPr>
              <w:t>Losses based on a 2</w:t>
            </w:r>
            <w:r w:rsidR="005263B4" w:rsidRPr="00E74A13">
              <w:rPr>
                <w:rFonts w:ascii="Georgia" w:hAnsi="Georgia"/>
                <w:i/>
                <w:iCs/>
                <w:color w:val="000000"/>
                <w:w w:val="105"/>
                <w:szCs w:val="24"/>
              </w:rPr>
              <w:t>0</w:t>
            </w:r>
            <w:r w:rsidRPr="00E74A13">
              <w:rPr>
                <w:rFonts w:ascii="Georgia" w:hAnsi="Georgia"/>
                <w:i/>
                <w:iCs/>
                <w:color w:val="000000"/>
                <w:w w:val="105"/>
                <w:szCs w:val="24"/>
              </w:rPr>
              <w:t xml:space="preserve">,000 lb. herd average. </w:t>
            </w:r>
          </w:p>
        </w:tc>
      </w:tr>
    </w:tbl>
    <w:p w:rsidR="006848FA" w:rsidRDefault="00556A69" w:rsidP="006848FA">
      <w:pPr>
        <w:ind w:left="-187" w:right="-187"/>
        <w:jc w:val="center"/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</w:pPr>
      <w:r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The benefits of joining the </w:t>
      </w:r>
      <w:r w:rsidR="00B351E6" w:rsidRPr="002746AD">
        <w:rPr>
          <w:rFonts w:ascii="Georgia" w:hAnsi="Georgia" w:cs="Arial"/>
          <w:bCs/>
          <w:color w:val="000000"/>
          <w:spacing w:val="-6"/>
          <w:w w:val="105"/>
          <w:sz w:val="24"/>
          <w:szCs w:val="24"/>
        </w:rPr>
        <w:t>Federal Milk Marketing Order</w:t>
      </w:r>
      <w:r w:rsidR="00B351E6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 </w:t>
      </w:r>
      <w:r w:rsidR="00197C4C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(FMMO) </w:t>
      </w:r>
      <w:r w:rsidR="00D57CA6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system </w:t>
      </w:r>
      <w:r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are clear. </w:t>
      </w:r>
      <w:r w:rsidR="00AB233D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Given the high cost to operate a dairy in California, dairy producers cannot afford to </w:t>
      </w:r>
      <w:r w:rsidR="00C3721A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>be paid</w:t>
      </w:r>
      <w:r w:rsidR="00AB233D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 the lowest prices in the nation. </w:t>
      </w:r>
      <w:r w:rsidR="006848FA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>Joining the</w:t>
      </w:r>
      <w:r w:rsidR="00550743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 federal order system will restore equity to dairy producer pricing in California and </w:t>
      </w:r>
    </w:p>
    <w:p w:rsidR="006D181A" w:rsidRDefault="006D181A" w:rsidP="006848FA">
      <w:pPr>
        <w:ind w:left="-187" w:right="-187"/>
        <w:jc w:val="center"/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</w:pPr>
      <w:r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>G</w:t>
      </w:r>
      <w:r w:rsidR="00550743" w:rsidRPr="002746AD"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>ive dairy producers the right to vote for a fair milk price.</w:t>
      </w:r>
      <w:r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 </w:t>
      </w:r>
    </w:p>
    <w:p w:rsidR="00C3721A" w:rsidRDefault="006D181A" w:rsidP="006D181A">
      <w:pPr>
        <w:ind w:left="-187" w:right="-187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 w:cs="Arial"/>
          <w:bCs/>
          <w:color w:val="000000"/>
          <w:spacing w:val="-5"/>
          <w:w w:val="105"/>
          <w:sz w:val="24"/>
          <w:szCs w:val="24"/>
        </w:rPr>
        <w:t xml:space="preserve">For more information visit our web site at </w:t>
      </w:r>
      <w:hyperlink r:id="rId4" w:history="1">
        <w:r w:rsidRPr="009A76EF">
          <w:rPr>
            <w:rStyle w:val="Hyperlink"/>
            <w:rFonts w:ascii="Georgia" w:hAnsi="Georgia"/>
            <w:b/>
            <w:bCs/>
            <w:sz w:val="24"/>
            <w:szCs w:val="24"/>
          </w:rPr>
          <w:t>www.californiadairycampaign.com</w:t>
        </w:r>
      </w:hyperlink>
    </w:p>
    <w:p w:rsidR="006D181A" w:rsidRPr="002746AD" w:rsidRDefault="006D181A" w:rsidP="00BE1107">
      <w:pPr>
        <w:ind w:left="-360" w:right="-360"/>
        <w:jc w:val="center"/>
        <w:rPr>
          <w:rFonts w:ascii="Georgia" w:hAnsi="Georgia" w:cs="Arial"/>
          <w:b/>
          <w:bCs/>
          <w:color w:val="000000"/>
          <w:spacing w:val="-8"/>
          <w:w w:val="105"/>
          <w:sz w:val="24"/>
          <w:szCs w:val="24"/>
        </w:rPr>
      </w:pPr>
    </w:p>
    <w:sectPr w:rsidR="006D181A" w:rsidRPr="002746AD" w:rsidSect="00B7040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eorgia">
    <w:charset w:val="00"/>
    <w:pitch w:val="variable"/>
    <w:family w:val="roman"/>
    <w:panose1 w:val="22635452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DD"/>
    <w:rsid w:val="000006AA"/>
    <w:rsid w:val="00045CD7"/>
    <w:rsid w:val="00090DFD"/>
    <w:rsid w:val="000D71EA"/>
    <w:rsid w:val="000E7412"/>
    <w:rsid w:val="000F1092"/>
    <w:rsid w:val="00135BC3"/>
    <w:rsid w:val="0015029A"/>
    <w:rsid w:val="0015568A"/>
    <w:rsid w:val="00197C4C"/>
    <w:rsid w:val="001A0284"/>
    <w:rsid w:val="001B6F26"/>
    <w:rsid w:val="002479CF"/>
    <w:rsid w:val="002746AD"/>
    <w:rsid w:val="002A07C6"/>
    <w:rsid w:val="002C62DE"/>
    <w:rsid w:val="002D6142"/>
    <w:rsid w:val="002F14E4"/>
    <w:rsid w:val="003231B7"/>
    <w:rsid w:val="00327F18"/>
    <w:rsid w:val="00354149"/>
    <w:rsid w:val="003957D9"/>
    <w:rsid w:val="003D2B9C"/>
    <w:rsid w:val="003E5DDD"/>
    <w:rsid w:val="00424259"/>
    <w:rsid w:val="004359F1"/>
    <w:rsid w:val="00441722"/>
    <w:rsid w:val="00461145"/>
    <w:rsid w:val="004D7F87"/>
    <w:rsid w:val="004F3A1E"/>
    <w:rsid w:val="00523F02"/>
    <w:rsid w:val="005263B4"/>
    <w:rsid w:val="005319F5"/>
    <w:rsid w:val="005332B8"/>
    <w:rsid w:val="00533A3E"/>
    <w:rsid w:val="00550743"/>
    <w:rsid w:val="00556A69"/>
    <w:rsid w:val="00582661"/>
    <w:rsid w:val="005C7D0F"/>
    <w:rsid w:val="0064639F"/>
    <w:rsid w:val="00670974"/>
    <w:rsid w:val="006848FA"/>
    <w:rsid w:val="00684F97"/>
    <w:rsid w:val="006A2C6C"/>
    <w:rsid w:val="006D181A"/>
    <w:rsid w:val="006D4992"/>
    <w:rsid w:val="007473D0"/>
    <w:rsid w:val="007608FB"/>
    <w:rsid w:val="007A1387"/>
    <w:rsid w:val="007C494C"/>
    <w:rsid w:val="007F4FFA"/>
    <w:rsid w:val="00854B4D"/>
    <w:rsid w:val="008868C6"/>
    <w:rsid w:val="008D45B5"/>
    <w:rsid w:val="008E4E47"/>
    <w:rsid w:val="009D5D44"/>
    <w:rsid w:val="00A22F52"/>
    <w:rsid w:val="00A74F42"/>
    <w:rsid w:val="00AB1C6F"/>
    <w:rsid w:val="00AB233D"/>
    <w:rsid w:val="00AC1A7D"/>
    <w:rsid w:val="00AD24D8"/>
    <w:rsid w:val="00AE576E"/>
    <w:rsid w:val="00B0160E"/>
    <w:rsid w:val="00B122DA"/>
    <w:rsid w:val="00B33371"/>
    <w:rsid w:val="00B351E6"/>
    <w:rsid w:val="00B40A7E"/>
    <w:rsid w:val="00B4618A"/>
    <w:rsid w:val="00B57BAB"/>
    <w:rsid w:val="00B70404"/>
    <w:rsid w:val="00BB1621"/>
    <w:rsid w:val="00BD4F9A"/>
    <w:rsid w:val="00BE1107"/>
    <w:rsid w:val="00C0788A"/>
    <w:rsid w:val="00C11498"/>
    <w:rsid w:val="00C312CD"/>
    <w:rsid w:val="00C3721A"/>
    <w:rsid w:val="00C627D5"/>
    <w:rsid w:val="00C6563F"/>
    <w:rsid w:val="00C90E39"/>
    <w:rsid w:val="00D35B30"/>
    <w:rsid w:val="00D57CA6"/>
    <w:rsid w:val="00D6777C"/>
    <w:rsid w:val="00D71ADB"/>
    <w:rsid w:val="00D82DFC"/>
    <w:rsid w:val="00D93269"/>
    <w:rsid w:val="00DB1D90"/>
    <w:rsid w:val="00DF4684"/>
    <w:rsid w:val="00E409D1"/>
    <w:rsid w:val="00E4159D"/>
    <w:rsid w:val="00E427F0"/>
    <w:rsid w:val="00E74A13"/>
    <w:rsid w:val="00E7630B"/>
    <w:rsid w:val="00E9739E"/>
    <w:rsid w:val="00EB229D"/>
    <w:rsid w:val="00EB277F"/>
    <w:rsid w:val="00EB2AD5"/>
    <w:rsid w:val="00EE59AC"/>
    <w:rsid w:val="00EF0F65"/>
    <w:rsid w:val="00F20483"/>
    <w:rsid w:val="00F42906"/>
    <w:rsid w:val="00F5785F"/>
    <w:rsid w:val="00F903CF"/>
    <w:rsid w:val="00FA2409"/>
    <w:rsid w:val="00FD1F67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D9C0"/>
  <w15:docId w15:val="{88396E48-CF22-4E5A-996B-9FAD228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9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F1092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F1092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D1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iforniadairycampa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lmcbride</dc:creator>
  <cp:lastModifiedBy>Scott Magneson</cp:lastModifiedBy>
  <cp:revision>2</cp:revision>
  <cp:lastPrinted>2017-02-08T01:06:00Z</cp:lastPrinted>
  <dcterms:created xsi:type="dcterms:W3CDTF">2017-02-08T01:06:00Z</dcterms:created>
  <dcterms:modified xsi:type="dcterms:W3CDTF">2017-02-08T01:06:00Z</dcterms:modified>
</cp:coreProperties>
</file>