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32F7" w:rsidRDefault="00595D2C">
      <w:r>
        <w:t>Pictures for the Henry Clay Niles Article</w:t>
      </w:r>
    </w:p>
    <w:p w:rsidR="00595D2C" w:rsidRDefault="00595D2C"/>
    <w:p w:rsidR="00595D2C" w:rsidRDefault="00595D2C">
      <w:r>
        <w:rPr>
          <w:noProof/>
        </w:rPr>
        <w:drawing>
          <wp:anchor distT="0" distB="0" distL="114300" distR="114300" simplePos="0" relativeHeight="251658240" behindDoc="1" locked="0" layoutInCell="1" allowOverlap="1" wp14:anchorId="47A9E851" wp14:editId="5C423B00">
            <wp:simplePos x="0" y="0"/>
            <wp:positionH relativeFrom="column">
              <wp:posOffset>3239135</wp:posOffset>
            </wp:positionH>
            <wp:positionV relativeFrom="paragraph">
              <wp:posOffset>50165</wp:posOffset>
            </wp:positionV>
            <wp:extent cx="2370455" cy="3267075"/>
            <wp:effectExtent l="0" t="0" r="0" b="9525"/>
            <wp:wrapTight wrapText="bothSides">
              <wp:wrapPolygon edited="0">
                <wp:start x="0" y="0"/>
                <wp:lineTo x="0" y="21537"/>
                <wp:lineTo x="21351" y="21537"/>
                <wp:lineTo x="213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lesHenryClay1a.jpg"/>
                    <pic:cNvPicPr/>
                  </pic:nvPicPr>
                  <pic:blipFill>
                    <a:blip r:embed="rId6">
                      <a:extLst>
                        <a:ext uri="{28A0092B-C50C-407E-A947-70E740481C1C}">
                          <a14:useLocalDpi xmlns:a14="http://schemas.microsoft.com/office/drawing/2010/main" val="0"/>
                        </a:ext>
                      </a:extLst>
                    </a:blip>
                    <a:stretch>
                      <a:fillRect/>
                    </a:stretch>
                  </pic:blipFill>
                  <pic:spPr>
                    <a:xfrm>
                      <a:off x="0" y="0"/>
                      <a:ext cx="2370455" cy="3267075"/>
                    </a:xfrm>
                    <a:prstGeom prst="rect">
                      <a:avLst/>
                    </a:prstGeom>
                  </pic:spPr>
                </pic:pic>
              </a:graphicData>
            </a:graphic>
            <wp14:sizeRelH relativeFrom="page">
              <wp14:pctWidth>0</wp14:pctWidth>
            </wp14:sizeRelH>
            <wp14:sizeRelV relativeFrom="page">
              <wp14:pctHeight>0</wp14:pctHeight>
            </wp14:sizeRelV>
          </wp:anchor>
        </w:drawing>
      </w:r>
    </w:p>
    <w:p w:rsidR="00595D2C" w:rsidRDefault="00595D2C"/>
    <w:p w:rsidR="00595D2C" w:rsidRDefault="00595D2C"/>
    <w:p w:rsidR="00595D2C" w:rsidRDefault="00305E98">
      <w:r>
        <w:t xml:space="preserve">Photograph can be located at </w:t>
      </w:r>
    </w:p>
    <w:p w:rsidR="00305E98" w:rsidRDefault="00305E98">
      <w:pPr>
        <w:rPr>
          <w:sz w:val="18"/>
          <w:szCs w:val="18"/>
        </w:rPr>
      </w:pPr>
      <w:r>
        <w:rPr>
          <w:sz w:val="18"/>
          <w:szCs w:val="18"/>
        </w:rPr>
        <w:t xml:space="preserve">Gresham, John, </w:t>
      </w:r>
      <w:r>
        <w:rPr>
          <w:i/>
          <w:sz w:val="18"/>
          <w:szCs w:val="18"/>
        </w:rPr>
        <w:t xml:space="preserve">Historical and Biographical Record of Douglas County, IL </w:t>
      </w:r>
      <w:r>
        <w:rPr>
          <w:sz w:val="18"/>
          <w:szCs w:val="18"/>
        </w:rPr>
        <w:t>Logansport, IN: Wilson, Humphreys and Company, 1900, p. 174-175.</w:t>
      </w:r>
    </w:p>
    <w:p w:rsidR="00305E98" w:rsidRDefault="00305E98">
      <w:pPr>
        <w:rPr>
          <w:sz w:val="18"/>
          <w:szCs w:val="18"/>
        </w:rPr>
      </w:pPr>
    </w:p>
    <w:p w:rsidR="00305E98" w:rsidRDefault="00305E98">
      <w:pPr>
        <w:rPr>
          <w:sz w:val="18"/>
          <w:szCs w:val="18"/>
        </w:rPr>
      </w:pPr>
      <w:r>
        <w:rPr>
          <w:sz w:val="18"/>
          <w:szCs w:val="18"/>
        </w:rPr>
        <w:t>And also at</w:t>
      </w:r>
    </w:p>
    <w:p w:rsidR="00305E98" w:rsidRDefault="00305E98">
      <w:pPr>
        <w:rPr>
          <w:sz w:val="18"/>
          <w:szCs w:val="18"/>
        </w:rPr>
      </w:pPr>
    </w:p>
    <w:p w:rsidR="00305E98" w:rsidRDefault="00305E98">
      <w:pPr>
        <w:rPr>
          <w:sz w:val="18"/>
        </w:rPr>
      </w:pPr>
      <w:r w:rsidRPr="008A02A4">
        <w:rPr>
          <w:sz w:val="18"/>
        </w:rPr>
        <w:t xml:space="preserve">Brewer, Linda, Senior Editor, </w:t>
      </w:r>
      <w:r>
        <w:rPr>
          <w:sz w:val="18"/>
        </w:rPr>
        <w:t>“</w:t>
      </w:r>
      <w:r>
        <w:rPr>
          <w:sz w:val="18"/>
        </w:rPr>
        <w:t>Tuscola’s Best Historian,”</w:t>
      </w:r>
      <w:r w:rsidRPr="008A02A4">
        <w:rPr>
          <w:sz w:val="18"/>
        </w:rPr>
        <w:t xml:space="preserve"> </w:t>
      </w:r>
      <w:r w:rsidRPr="008A02A4">
        <w:rPr>
          <w:i/>
          <w:sz w:val="18"/>
        </w:rPr>
        <w:t>Tuscola:  Strolling Through the Past 1857-2007: A Pictorial History</w:t>
      </w:r>
      <w:r w:rsidRPr="008A02A4">
        <w:rPr>
          <w:sz w:val="18"/>
        </w:rPr>
        <w:t>, Sponsored by City of Tuscola:  Ann Arbor, MI: Malloy, Incorporated, 2007</w:t>
      </w:r>
      <w:r>
        <w:rPr>
          <w:sz w:val="18"/>
        </w:rPr>
        <w:t xml:space="preserve">, p. 2. </w:t>
      </w:r>
    </w:p>
    <w:p w:rsidR="00305E98" w:rsidRDefault="00623A04">
      <w:pPr>
        <w:rPr>
          <w:sz w:val="18"/>
        </w:rPr>
      </w:pPr>
      <w:hyperlink r:id="rId7" w:history="1">
        <w:r w:rsidRPr="00653819">
          <w:rPr>
            <w:rStyle w:val="Hyperlink"/>
            <w:sz w:val="18"/>
          </w:rPr>
          <w:t>http://tuscola.org/content/tuscola-history-book/</w:t>
        </w:r>
      </w:hyperlink>
      <w:r>
        <w:rPr>
          <w:sz w:val="18"/>
        </w:rPr>
        <w:t xml:space="preserve"> </w:t>
      </w:r>
    </w:p>
    <w:p w:rsidR="00E41593" w:rsidRDefault="00305E98">
      <w:r w:rsidRPr="008A02A4">
        <w:rPr>
          <w:sz w:val="14"/>
        </w:rPr>
        <w:t xml:space="preserve"> </w:t>
      </w:r>
      <w:r>
        <w:rPr>
          <w:sz w:val="14"/>
        </w:rPr>
        <w:t xml:space="preserve"> </w:t>
      </w:r>
    </w:p>
    <w:p w:rsidR="00E41593" w:rsidRDefault="00E41593"/>
    <w:p w:rsidR="00E41593" w:rsidRDefault="00E41593"/>
    <w:p w:rsidR="00E41593" w:rsidRDefault="00E41593"/>
    <w:p w:rsidR="00E41593" w:rsidRDefault="00E41593"/>
    <w:p w:rsidR="00E41593" w:rsidRDefault="00E41593"/>
    <w:p w:rsidR="00E41593" w:rsidRDefault="00E41593"/>
    <w:p w:rsidR="00E41593" w:rsidRDefault="00E41593"/>
    <w:p w:rsidR="00E41593" w:rsidRDefault="00E41593"/>
    <w:p w:rsidR="00E41593" w:rsidRDefault="00E41593"/>
    <w:p w:rsidR="00E41593" w:rsidRDefault="00E41593"/>
    <w:p w:rsidR="00E41593" w:rsidRDefault="00E41593"/>
    <w:p w:rsidR="00E41593" w:rsidRDefault="00E41593">
      <w:r>
        <w:rPr>
          <w:noProof/>
        </w:rPr>
        <w:drawing>
          <wp:anchor distT="0" distB="0" distL="114300" distR="114300" simplePos="0" relativeHeight="251659264" behindDoc="1" locked="0" layoutInCell="1" allowOverlap="1" wp14:anchorId="770ABD49" wp14:editId="720C9C6B">
            <wp:simplePos x="0" y="0"/>
            <wp:positionH relativeFrom="column">
              <wp:posOffset>3321050</wp:posOffset>
            </wp:positionH>
            <wp:positionV relativeFrom="paragraph">
              <wp:posOffset>95250</wp:posOffset>
            </wp:positionV>
            <wp:extent cx="2286000" cy="3090545"/>
            <wp:effectExtent l="0" t="0" r="0" b="0"/>
            <wp:wrapTight wrapText="bothSides">
              <wp:wrapPolygon edited="0">
                <wp:start x="0" y="0"/>
                <wp:lineTo x="0" y="21436"/>
                <wp:lineTo x="21420" y="21436"/>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zekiahNiles1.jpg"/>
                    <pic:cNvPicPr/>
                  </pic:nvPicPr>
                  <pic:blipFill>
                    <a:blip r:embed="rId8">
                      <a:extLst>
                        <a:ext uri="{28A0092B-C50C-407E-A947-70E740481C1C}">
                          <a14:useLocalDpi xmlns:a14="http://schemas.microsoft.com/office/drawing/2010/main" val="0"/>
                        </a:ext>
                      </a:extLst>
                    </a:blip>
                    <a:stretch>
                      <a:fillRect/>
                    </a:stretch>
                  </pic:blipFill>
                  <pic:spPr>
                    <a:xfrm>
                      <a:off x="0" y="0"/>
                      <a:ext cx="2286000" cy="3090545"/>
                    </a:xfrm>
                    <a:prstGeom prst="rect">
                      <a:avLst/>
                    </a:prstGeom>
                  </pic:spPr>
                </pic:pic>
              </a:graphicData>
            </a:graphic>
            <wp14:sizeRelH relativeFrom="page">
              <wp14:pctWidth>0</wp14:pctWidth>
            </wp14:sizeRelH>
            <wp14:sizeRelV relativeFrom="page">
              <wp14:pctHeight>0</wp14:pctHeight>
            </wp14:sizeRelV>
          </wp:anchor>
        </w:drawing>
      </w:r>
    </w:p>
    <w:p w:rsidR="00E41593" w:rsidRDefault="00E41593"/>
    <w:p w:rsidR="00E41593" w:rsidRDefault="00E41593"/>
    <w:p w:rsidR="00E41593" w:rsidRDefault="00E41593"/>
    <w:p w:rsidR="00E41593" w:rsidRDefault="00E41593">
      <w:proofErr w:type="spellStart"/>
      <w:r>
        <w:t>Kovarik</w:t>
      </w:r>
      <w:proofErr w:type="spellEnd"/>
      <w:r>
        <w:t xml:space="preserve">, Bill.  </w:t>
      </w:r>
      <w:r>
        <w:rPr>
          <w:i/>
        </w:rPr>
        <w:t>Encyclopedia of American Journalism History</w:t>
      </w:r>
      <w:r>
        <w:t xml:space="preserve">, New York:  Routledge, 2006.  </w:t>
      </w:r>
      <w:hyperlink r:id="rId9" w:history="1">
        <w:r w:rsidRPr="00CC6FAC">
          <w:rPr>
            <w:rStyle w:val="Hyperlink"/>
          </w:rPr>
          <w:t>http://www.environmentalhistory.org/billkovarik/about-bk/research/editor-who-tried-to-stop-civil-war/niles-weekly-register-1811-1849/</w:t>
        </w:r>
      </w:hyperlink>
    </w:p>
    <w:p w:rsidR="00595D2C" w:rsidRDefault="00595D2C"/>
    <w:p w:rsidR="00595D2C" w:rsidRDefault="00595D2C"/>
    <w:p w:rsidR="00595D2C" w:rsidRDefault="00595D2C"/>
    <w:p w:rsidR="00595D2C" w:rsidRDefault="00E41593">
      <w:proofErr w:type="gramStart"/>
      <w:r>
        <w:t>Painting of Hezekiah Niles.</w:t>
      </w:r>
      <w:proofErr w:type="gramEnd"/>
    </w:p>
    <w:p w:rsidR="00595D2C" w:rsidRDefault="00595D2C"/>
    <w:p w:rsidR="00595D2C" w:rsidRDefault="00595D2C"/>
    <w:p w:rsidR="00595D2C" w:rsidRDefault="00595D2C"/>
    <w:p w:rsidR="00595D2C" w:rsidRDefault="00595D2C"/>
    <w:p w:rsidR="00595D2C" w:rsidRDefault="00595D2C"/>
    <w:p w:rsidR="00595D2C" w:rsidRDefault="00595D2C"/>
    <w:p w:rsidR="00595D2C" w:rsidRDefault="00595D2C"/>
    <w:p w:rsidR="00595D2C" w:rsidRDefault="00595D2C"/>
    <w:p w:rsidR="00595D2C" w:rsidRDefault="00595D2C"/>
    <w:p w:rsidR="00595D2C" w:rsidRDefault="00595D2C"/>
    <w:p w:rsidR="0081334C" w:rsidRDefault="0081334C" w:rsidP="0081334C">
      <w:pPr>
        <w:pStyle w:val="NormalWeb"/>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lastRenderedPageBreak/>
        <w:t>Ancestry.com.</w:t>
      </w:r>
      <w:r>
        <w:rPr>
          <w:rStyle w:val="apple-converted-space"/>
          <w:rFonts w:ascii="Arial" w:hAnsi="Arial" w:cs="Arial"/>
          <w:color w:val="333333"/>
          <w:sz w:val="18"/>
          <w:szCs w:val="18"/>
        </w:rPr>
        <w:t> </w:t>
      </w:r>
      <w:r>
        <w:rPr>
          <w:rStyle w:val="Emphasis"/>
          <w:rFonts w:ascii="Arial" w:hAnsi="Arial" w:cs="Arial"/>
          <w:color w:val="333333"/>
          <w:sz w:val="18"/>
          <w:szCs w:val="18"/>
        </w:rPr>
        <w:t>U.S., Indexed County Land Ownership Maps, 1860-1918</w:t>
      </w:r>
      <w:r>
        <w:rPr>
          <w:rStyle w:val="apple-converted-space"/>
          <w:rFonts w:ascii="Arial" w:hAnsi="Arial" w:cs="Arial"/>
          <w:color w:val="333333"/>
          <w:sz w:val="18"/>
          <w:szCs w:val="18"/>
        </w:rPr>
        <w:t> </w:t>
      </w:r>
      <w:r>
        <w:rPr>
          <w:rFonts w:ascii="Arial" w:hAnsi="Arial" w:cs="Arial"/>
          <w:color w:val="333333"/>
          <w:sz w:val="18"/>
          <w:szCs w:val="18"/>
        </w:rPr>
        <w:t>[database on-line]. Provo, UT, USA: Ancestry.com Operations, Inc., 2010.</w:t>
      </w:r>
    </w:p>
    <w:p w:rsidR="0081334C" w:rsidRDefault="0081334C" w:rsidP="0081334C">
      <w:pPr>
        <w:pStyle w:val="NormalWeb"/>
        <w:spacing w:before="0" w:beforeAutospacing="0" w:after="0" w:afterAutospacing="0" w:line="270" w:lineRule="atLeast"/>
        <w:rPr>
          <w:rFonts w:ascii="Arial" w:hAnsi="Arial" w:cs="Arial"/>
          <w:color w:val="333333"/>
          <w:sz w:val="18"/>
          <w:szCs w:val="18"/>
        </w:rPr>
      </w:pPr>
      <w:r>
        <w:rPr>
          <w:noProof/>
        </w:rPr>
        <w:drawing>
          <wp:anchor distT="0" distB="0" distL="114300" distR="114300" simplePos="0" relativeHeight="251660288" behindDoc="1" locked="0" layoutInCell="1" allowOverlap="1" wp14:anchorId="61572E19" wp14:editId="68906193">
            <wp:simplePos x="0" y="0"/>
            <wp:positionH relativeFrom="column">
              <wp:posOffset>-242570</wp:posOffset>
            </wp:positionH>
            <wp:positionV relativeFrom="paragraph">
              <wp:posOffset>1355725</wp:posOffset>
            </wp:positionV>
            <wp:extent cx="5943600" cy="5496560"/>
            <wp:effectExtent l="0" t="0" r="0" b="8890"/>
            <wp:wrapTight wrapText="bothSides">
              <wp:wrapPolygon edited="0">
                <wp:start x="0" y="0"/>
                <wp:lineTo x="0" y="21560"/>
                <wp:lineTo x="21531" y="21560"/>
                <wp:lineTo x="215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lesHome.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5496560"/>
                    </a:xfrm>
                    <a:prstGeom prst="rect">
                      <a:avLst/>
                    </a:prstGeom>
                  </pic:spPr>
                </pic:pic>
              </a:graphicData>
            </a:graphic>
            <wp14:sizeRelH relativeFrom="page">
              <wp14:pctWidth>0</wp14:pctWidth>
            </wp14:sizeRelH>
            <wp14:sizeRelV relativeFrom="page">
              <wp14:pctHeight>0</wp14:pctHeight>
            </wp14:sizeRelV>
          </wp:anchor>
        </w:drawing>
      </w:r>
      <w:hyperlink r:id="rId11" w:history="1">
        <w:r w:rsidRPr="00653819">
          <w:rPr>
            <w:rStyle w:val="Hyperlink"/>
            <w:rFonts w:ascii="Arial" w:hAnsi="Arial" w:cs="Arial"/>
            <w:sz w:val="18"/>
            <w:szCs w:val="18"/>
          </w:rPr>
          <w:t>http://interactive.ancestry.com/1127/31617_072107-00405/534615?backurl=http%3a%2f%2fsearch.ancestry.com%2f%2fcgi-bin%2fsse.dll%3fnew%3d1%26gsfn%3dH.%2bC.%26gsln%3dNiles%26rank%3d1%26gss%3dangs-g%26mswpn__ftp%3dDouglas%2bCounty%252c%2bIllinois%252c%2bUSA%26msbdy%3d1830%26pcat%3dROOT_CATEGORY%26h%3d534615%26recoff%3d6%2b7%2b8%26db%3dLandownershipAtlas%26indiv%3d1%26ml_rpos%3d19&amp;ssrc=&amp;backlabel=ReturnRecord</w:t>
        </w:r>
      </w:hyperlink>
      <w:r>
        <w:rPr>
          <w:rFonts w:ascii="Arial" w:hAnsi="Arial" w:cs="Arial"/>
          <w:color w:val="333333"/>
          <w:sz w:val="18"/>
          <w:szCs w:val="18"/>
        </w:rPr>
        <w:t xml:space="preserve"> </w:t>
      </w:r>
    </w:p>
    <w:p w:rsidR="00595D2C" w:rsidRDefault="00595D2C"/>
    <w:p w:rsidR="00595D2C" w:rsidRDefault="00595D2C"/>
    <w:p w:rsidR="00595D2C" w:rsidRDefault="00595D2C"/>
    <w:p w:rsidR="00595D2C" w:rsidRDefault="00595D2C"/>
    <w:p w:rsidR="00595D2C" w:rsidRDefault="00595D2C"/>
    <w:p w:rsidR="00595D2C" w:rsidRDefault="00595D2C"/>
    <w:p w:rsidR="00595D2C" w:rsidRDefault="00595D2C"/>
    <w:p w:rsidR="00595D2C" w:rsidRDefault="00595D2C"/>
    <w:p w:rsidR="00595D2C" w:rsidRDefault="00595D2C"/>
    <w:p w:rsidR="00595D2C" w:rsidRDefault="00595D2C"/>
    <w:p w:rsidR="00595D2C" w:rsidRDefault="00595D2C"/>
    <w:p w:rsidR="00595D2C" w:rsidRDefault="00595D2C"/>
    <w:p w:rsidR="00595D2C" w:rsidRDefault="00595D2C"/>
    <w:p w:rsidR="00595D2C" w:rsidRDefault="00595D2C"/>
    <w:p w:rsidR="00595D2C" w:rsidRDefault="00595D2C"/>
    <w:p w:rsidR="00595D2C" w:rsidRDefault="00595D2C"/>
    <w:p w:rsidR="00595D2C" w:rsidRDefault="00595D2C"/>
    <w:p w:rsidR="00595D2C" w:rsidRDefault="00595D2C"/>
    <w:p w:rsidR="00595D2C" w:rsidRDefault="00595D2C"/>
    <w:p w:rsidR="00595D2C" w:rsidRDefault="00595D2C"/>
    <w:p w:rsidR="00595D2C" w:rsidRDefault="00595D2C"/>
    <w:p w:rsidR="00595D2C" w:rsidRDefault="00595D2C"/>
    <w:p w:rsidR="00595D2C" w:rsidRDefault="00595D2C"/>
    <w:p w:rsidR="00595D2C" w:rsidRDefault="00595D2C"/>
    <w:p w:rsidR="00595D2C" w:rsidRDefault="00595D2C"/>
    <w:p w:rsidR="00595D2C" w:rsidRDefault="00595D2C"/>
    <w:p w:rsidR="00595D2C" w:rsidRDefault="00595D2C"/>
    <w:p w:rsidR="00595D2C" w:rsidRDefault="00595D2C"/>
    <w:p w:rsidR="00595D2C" w:rsidRDefault="00595D2C"/>
    <w:p w:rsidR="00595D2C" w:rsidRDefault="00595D2C"/>
    <w:p w:rsidR="0081334C" w:rsidRDefault="0081334C"/>
    <w:p w:rsidR="0081334C" w:rsidRDefault="0081334C"/>
    <w:p w:rsidR="0081334C" w:rsidRDefault="0081334C"/>
    <w:p w:rsidR="0081334C" w:rsidRDefault="0081334C"/>
    <w:p w:rsidR="0081334C" w:rsidRDefault="0081334C"/>
    <w:p w:rsidR="0081334C" w:rsidRDefault="0081334C"/>
    <w:p w:rsidR="0081334C" w:rsidRDefault="0081334C"/>
    <w:p w:rsidR="0081334C" w:rsidRDefault="0081334C"/>
    <w:p w:rsidR="0081334C" w:rsidRDefault="0081334C"/>
    <w:p w:rsidR="0081334C" w:rsidRDefault="0081334C"/>
    <w:p w:rsidR="0081334C" w:rsidRDefault="0081334C"/>
    <w:p w:rsidR="0081334C" w:rsidRDefault="0081334C"/>
    <w:p w:rsidR="00595D2C" w:rsidRDefault="00595D2C">
      <w:r>
        <w:lastRenderedPageBreak/>
        <w:t xml:space="preserve">“The ‘Cottage Hotel’, which was on South Central Avenue and Parke </w:t>
      </w:r>
      <w:proofErr w:type="gramStart"/>
      <w:r>
        <w:t>Street</w:t>
      </w:r>
      <w:proofErr w:type="gramEnd"/>
      <w:r>
        <w:t xml:space="preserve"> was a popular place for transients beginning in 1867.  It was operated by Mrs. Henry Niles who home-cooked Sunday </w:t>
      </w:r>
      <w:proofErr w:type="spellStart"/>
      <w:r>
        <w:t>dinnrs</w:t>
      </w:r>
      <w:proofErr w:type="spellEnd"/>
      <w:r>
        <w:t xml:space="preserve"> to many Tuscola people who knew her skill in cooking.  The ‘Cottage Hotel’ was built when the business section of the town fronted on the railroad park, and the hotel was included in the ‘Square’ of that day.  But time brought the inevitable changes, and with them, the switching of the business block around the corner to Sale Street, leaving the hotel in a somewhat quiet, secluded corner.”  </w:t>
      </w:r>
    </w:p>
    <w:p w:rsidR="00595D2C" w:rsidRDefault="00595D2C"/>
    <w:p w:rsidR="00595D2C" w:rsidRDefault="00595D2C">
      <w:r>
        <w:t>“</w:t>
      </w:r>
      <w:proofErr w:type="spellStart"/>
      <w:r>
        <w:t>Lida</w:t>
      </w:r>
      <w:proofErr w:type="spellEnd"/>
      <w:r>
        <w:t xml:space="preserve"> Jane Hunt papers, July 20, 1917,” Brewer, Linda, Senior Editor, </w:t>
      </w:r>
      <w:r>
        <w:rPr>
          <w:i/>
        </w:rPr>
        <w:t>Tuscola: Strolling Through the Past 1857-2007:  A Pictorial History,</w:t>
      </w:r>
      <w:r>
        <w:t xml:space="preserve"> Sponsored by the City of Tuscola, Ann Arbor, MI:  Malloy, Incorporated, p. 31.  </w:t>
      </w:r>
      <w:hyperlink r:id="rId12" w:history="1">
        <w:r w:rsidR="00623A04" w:rsidRPr="00653819">
          <w:rPr>
            <w:rStyle w:val="Hyperlink"/>
          </w:rPr>
          <w:t>http://tuscola.org/content/tuscola-history-book/</w:t>
        </w:r>
      </w:hyperlink>
      <w:r w:rsidR="00623A04">
        <w:t xml:space="preserve"> </w:t>
      </w:r>
    </w:p>
    <w:p w:rsidR="00595D2C" w:rsidRDefault="00595D2C"/>
    <w:p w:rsidR="00595D2C" w:rsidRDefault="00595D2C"/>
    <w:p w:rsidR="00595D2C" w:rsidRDefault="00595D2C">
      <w:r>
        <w:rPr>
          <w:noProof/>
        </w:rPr>
        <w:drawing>
          <wp:inline distT="0" distB="0" distL="0" distR="0">
            <wp:extent cx="5943600" cy="42906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lesCottageHotel1.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290695"/>
                    </a:xfrm>
                    <a:prstGeom prst="rect">
                      <a:avLst/>
                    </a:prstGeom>
                  </pic:spPr>
                </pic:pic>
              </a:graphicData>
            </a:graphic>
          </wp:inline>
        </w:drawing>
      </w:r>
    </w:p>
    <w:p w:rsidR="00595D2C" w:rsidRDefault="00595D2C"/>
    <w:p w:rsidR="00595D2C" w:rsidRDefault="00E41593">
      <w:r>
        <w:t xml:space="preserve">Mrs. Rebecca Niles is the woman on the right.  Mrs. Sadie Niles, her </w:t>
      </w:r>
      <w:r w:rsidR="00623A04">
        <w:t>daughter</w:t>
      </w:r>
      <w:r>
        <w:t xml:space="preserve">-in-law is on the left.  Sadie continued with the hotel after Rebecca died in 1922.  </w:t>
      </w:r>
    </w:p>
    <w:p w:rsidR="00595D2C" w:rsidRDefault="00595D2C"/>
    <w:p w:rsidR="00595D2C" w:rsidRDefault="00595D2C"/>
    <w:p w:rsidR="00595D2C" w:rsidRDefault="00595D2C"/>
    <w:p w:rsidR="00595D2C" w:rsidRDefault="00595D2C"/>
    <w:p w:rsidR="00595D2C" w:rsidRDefault="00595D2C"/>
    <w:p w:rsidR="00595D2C" w:rsidRDefault="00595D2C"/>
    <w:p w:rsidR="00595D2C" w:rsidRDefault="00595D2C"/>
    <w:p w:rsidR="00595D2C" w:rsidRDefault="00595D2C"/>
    <w:p w:rsidR="00595D2C" w:rsidRDefault="00595D2C"/>
    <w:p w:rsidR="00595D2C" w:rsidRDefault="00595D2C"/>
    <w:p w:rsidR="0081334C" w:rsidRDefault="0081334C"/>
    <w:p w:rsidR="0081334C" w:rsidRDefault="0081334C"/>
    <w:p w:rsidR="0081334C" w:rsidRDefault="0081334C">
      <w:r>
        <w:t>Tombstone of Henry Clay Niles</w:t>
      </w:r>
    </w:p>
    <w:p w:rsidR="0081334C" w:rsidRDefault="0081334C">
      <w:r>
        <w:rPr>
          <w:noProof/>
        </w:rPr>
        <w:drawing>
          <wp:anchor distT="0" distB="0" distL="114300" distR="114300" simplePos="0" relativeHeight="251661312" behindDoc="1" locked="0" layoutInCell="1" allowOverlap="1" wp14:anchorId="6B7199D8" wp14:editId="0027D5A1">
            <wp:simplePos x="0" y="0"/>
            <wp:positionH relativeFrom="column">
              <wp:posOffset>2303145</wp:posOffset>
            </wp:positionH>
            <wp:positionV relativeFrom="paragraph">
              <wp:posOffset>21590</wp:posOffset>
            </wp:positionV>
            <wp:extent cx="3556000" cy="2387600"/>
            <wp:effectExtent l="0" t="0" r="6350" b="0"/>
            <wp:wrapTight wrapText="bothSides">
              <wp:wrapPolygon edited="0">
                <wp:start x="0" y="0"/>
                <wp:lineTo x="0" y="21370"/>
                <wp:lineTo x="21523" y="21370"/>
                <wp:lineTo x="2152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lesHC1.jpg"/>
                    <pic:cNvPicPr/>
                  </pic:nvPicPr>
                  <pic:blipFill>
                    <a:blip r:embed="rId14">
                      <a:extLst>
                        <a:ext uri="{28A0092B-C50C-407E-A947-70E740481C1C}">
                          <a14:useLocalDpi xmlns:a14="http://schemas.microsoft.com/office/drawing/2010/main" val="0"/>
                        </a:ext>
                      </a:extLst>
                    </a:blip>
                    <a:stretch>
                      <a:fillRect/>
                    </a:stretch>
                  </pic:blipFill>
                  <pic:spPr>
                    <a:xfrm>
                      <a:off x="0" y="0"/>
                      <a:ext cx="3556000" cy="2387600"/>
                    </a:xfrm>
                    <a:prstGeom prst="rect">
                      <a:avLst/>
                    </a:prstGeom>
                  </pic:spPr>
                </pic:pic>
              </a:graphicData>
            </a:graphic>
            <wp14:sizeRelH relativeFrom="page">
              <wp14:pctWidth>0</wp14:pctWidth>
            </wp14:sizeRelH>
            <wp14:sizeRelV relativeFrom="page">
              <wp14:pctHeight>0</wp14:pctHeight>
            </wp14:sizeRelV>
          </wp:anchor>
        </w:drawing>
      </w:r>
    </w:p>
    <w:p w:rsidR="0081334C" w:rsidRDefault="0081334C"/>
    <w:p w:rsidR="0081334C" w:rsidRDefault="0081334C"/>
    <w:p w:rsidR="0081334C" w:rsidRDefault="0081334C">
      <w:r>
        <w:t xml:space="preserve">Photograph by William </w:t>
      </w:r>
      <w:proofErr w:type="spellStart"/>
      <w:r>
        <w:t>Harshbarger</w:t>
      </w:r>
      <w:proofErr w:type="spellEnd"/>
      <w:r>
        <w:t>, Tuscola Township Cemetery,</w:t>
      </w:r>
    </w:p>
    <w:p w:rsidR="0081334C" w:rsidRDefault="0081334C">
      <w:r>
        <w:t xml:space="preserve">May 5, 2015. </w:t>
      </w:r>
    </w:p>
    <w:p w:rsidR="0081334C" w:rsidRDefault="0081334C"/>
    <w:p w:rsidR="0081334C" w:rsidRDefault="0081334C"/>
    <w:p w:rsidR="0081334C" w:rsidRDefault="0081334C"/>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81334C" w:rsidRDefault="0081334C"/>
    <w:p w:rsidR="0081334C" w:rsidRDefault="0081334C"/>
    <w:p w:rsidR="0081334C" w:rsidRDefault="0081334C"/>
    <w:p w:rsidR="0081334C" w:rsidRDefault="0081334C"/>
    <w:p w:rsidR="0081334C" w:rsidRDefault="0081334C"/>
    <w:p w:rsidR="005F2788" w:rsidRDefault="005F2788" w:rsidP="005F2788">
      <w:pPr>
        <w:rPr>
          <w:rFonts w:ascii="League Gothic" w:hAnsi="League Gothic"/>
          <w:color w:val="FFFFFF"/>
          <w:sz w:val="60"/>
          <w:szCs w:val="60"/>
        </w:rPr>
      </w:pPr>
      <w:r>
        <w:rPr>
          <w:rFonts w:asciiTheme="minorHAnsi" w:hAnsiTheme="minorHAnsi"/>
          <w:color w:val="FFFFFF"/>
          <w:szCs w:val="22"/>
        </w:rPr>
        <w:t xml:space="preserve"> </w:t>
      </w:r>
    </w:p>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F90004">
      <w:proofErr w:type="gramStart"/>
      <w:r>
        <w:lastRenderedPageBreak/>
        <w:t xml:space="preserve">“City of Tuscola, Douglas County, Illinois, </w:t>
      </w:r>
      <w:r w:rsidR="00453B63">
        <w:t>W. R. Brink &amp; Co, 1875.</w:t>
      </w:r>
      <w:proofErr w:type="gramEnd"/>
    </w:p>
    <w:p w:rsidR="005F2788" w:rsidRDefault="005F2788"/>
    <w:p w:rsidR="005F2788" w:rsidRDefault="00821D44">
      <w:r>
        <w:rPr>
          <w:noProof/>
        </w:rPr>
        <w:drawing>
          <wp:anchor distT="0" distB="0" distL="114300" distR="114300" simplePos="0" relativeHeight="251663360" behindDoc="1" locked="0" layoutInCell="1" allowOverlap="1" wp14:anchorId="0923438A" wp14:editId="28E2CA5E">
            <wp:simplePos x="0" y="0"/>
            <wp:positionH relativeFrom="column">
              <wp:posOffset>875665</wp:posOffset>
            </wp:positionH>
            <wp:positionV relativeFrom="paragraph">
              <wp:posOffset>70485</wp:posOffset>
            </wp:positionV>
            <wp:extent cx="5414010" cy="7146290"/>
            <wp:effectExtent l="0" t="0" r="0" b="0"/>
            <wp:wrapTight wrapText="bothSides">
              <wp:wrapPolygon edited="0">
                <wp:start x="0" y="0"/>
                <wp:lineTo x="0" y="21535"/>
                <wp:lineTo x="21509" y="21535"/>
                <wp:lineTo x="2150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scolaMap1875.jpg"/>
                    <pic:cNvPicPr/>
                  </pic:nvPicPr>
                  <pic:blipFill>
                    <a:blip r:embed="rId15">
                      <a:extLst>
                        <a:ext uri="{28A0092B-C50C-407E-A947-70E740481C1C}">
                          <a14:useLocalDpi xmlns:a14="http://schemas.microsoft.com/office/drawing/2010/main" val="0"/>
                        </a:ext>
                      </a:extLst>
                    </a:blip>
                    <a:stretch>
                      <a:fillRect/>
                    </a:stretch>
                  </pic:blipFill>
                  <pic:spPr>
                    <a:xfrm>
                      <a:off x="0" y="0"/>
                      <a:ext cx="5414010" cy="7146290"/>
                    </a:xfrm>
                    <a:prstGeom prst="rect">
                      <a:avLst/>
                    </a:prstGeom>
                  </pic:spPr>
                </pic:pic>
              </a:graphicData>
            </a:graphic>
            <wp14:sizeRelH relativeFrom="page">
              <wp14:pctWidth>0</wp14:pctWidth>
            </wp14:sizeRelH>
            <wp14:sizeRelV relativeFrom="page">
              <wp14:pctHeight>0</wp14:pctHeight>
            </wp14:sizeRelV>
          </wp:anchor>
        </w:drawing>
      </w:r>
    </w:p>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81334C" w:rsidRPr="005F2788" w:rsidRDefault="005F2788">
      <w:r>
        <w:t xml:space="preserve">“Review of Tuscola’s Past,” </w:t>
      </w:r>
      <w:r>
        <w:rPr>
          <w:i/>
        </w:rPr>
        <w:t xml:space="preserve">The Tuscola Journal, </w:t>
      </w:r>
      <w:hyperlink r:id="rId16" w:tooltip="View all posts in Sesquicentennial Edition June 26, 2007" w:history="1">
        <w:r w:rsidRPr="005F2788">
          <w:rPr>
            <w:rStyle w:val="Hyperlink"/>
          </w:rPr>
          <w:t>Sesquicentennial Edition June 26, 2007</w:t>
        </w:r>
      </w:hyperlink>
      <w:r>
        <w:rPr>
          <w:rStyle w:val="cat-links"/>
          <w:b/>
          <w:bCs/>
          <w:color w:val="999999"/>
          <w:sz w:val="18"/>
          <w:szCs w:val="18"/>
          <w:shd w:val="clear" w:color="auto" w:fill="FFFFFF"/>
        </w:rPr>
        <w:t xml:space="preserve"> </w:t>
      </w:r>
    </w:p>
    <w:p w:rsidR="00FB09DF" w:rsidRDefault="005F2788">
      <w:hyperlink r:id="rId17" w:history="1">
        <w:r w:rsidRPr="00653819">
          <w:rPr>
            <w:rStyle w:val="Hyperlink"/>
          </w:rPr>
          <w:t>http://thetuscolareview.com/wp-content/uploads/2013/03/courthouse.gif</w:t>
        </w:r>
      </w:hyperlink>
      <w:r>
        <w:t xml:space="preserve"> </w:t>
      </w:r>
    </w:p>
    <w:p w:rsidR="00FB09DF" w:rsidRDefault="00FB09DF"/>
    <w:p w:rsidR="00FB09DF" w:rsidRDefault="00FB09DF"/>
    <w:p w:rsidR="00FB09DF" w:rsidRDefault="00FB09DF"/>
    <w:p w:rsidR="00FB09DF" w:rsidRDefault="00F90004">
      <w:r>
        <w:rPr>
          <w:noProof/>
        </w:rPr>
        <w:drawing>
          <wp:anchor distT="0" distB="0" distL="114300" distR="114300" simplePos="0" relativeHeight="251664384" behindDoc="1" locked="0" layoutInCell="1" allowOverlap="1" wp14:anchorId="117BBA94" wp14:editId="52B16F45">
            <wp:simplePos x="0" y="0"/>
            <wp:positionH relativeFrom="column">
              <wp:posOffset>1285240</wp:posOffset>
            </wp:positionH>
            <wp:positionV relativeFrom="paragraph">
              <wp:posOffset>69850</wp:posOffset>
            </wp:positionV>
            <wp:extent cx="4761230" cy="3653155"/>
            <wp:effectExtent l="0" t="0" r="1270" b="4445"/>
            <wp:wrapTight wrapText="bothSides">
              <wp:wrapPolygon edited="0">
                <wp:start x="0" y="0"/>
                <wp:lineTo x="0" y="21514"/>
                <wp:lineTo x="21519" y="21514"/>
                <wp:lineTo x="2151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glasCoCtHouse.jpg"/>
                    <pic:cNvPicPr/>
                  </pic:nvPicPr>
                  <pic:blipFill>
                    <a:blip r:embed="rId18">
                      <a:extLst>
                        <a:ext uri="{28A0092B-C50C-407E-A947-70E740481C1C}">
                          <a14:useLocalDpi xmlns:a14="http://schemas.microsoft.com/office/drawing/2010/main" val="0"/>
                        </a:ext>
                      </a:extLst>
                    </a:blip>
                    <a:stretch>
                      <a:fillRect/>
                    </a:stretch>
                  </pic:blipFill>
                  <pic:spPr>
                    <a:xfrm>
                      <a:off x="0" y="0"/>
                      <a:ext cx="4761230" cy="3653155"/>
                    </a:xfrm>
                    <a:prstGeom prst="rect">
                      <a:avLst/>
                    </a:prstGeom>
                  </pic:spPr>
                </pic:pic>
              </a:graphicData>
            </a:graphic>
            <wp14:sizeRelH relativeFrom="page">
              <wp14:pctWidth>0</wp14:pctWidth>
            </wp14:sizeRelH>
            <wp14:sizeRelV relativeFrom="page">
              <wp14:pctHeight>0</wp14:pctHeight>
            </wp14:sizeRelV>
          </wp:anchor>
        </w:drawing>
      </w:r>
    </w:p>
    <w:p w:rsidR="00FB09DF" w:rsidRDefault="00FB09DF"/>
    <w:p w:rsidR="00FB09DF" w:rsidRDefault="00FB09DF"/>
    <w:p w:rsidR="00FB09DF" w:rsidRDefault="00FB09DF"/>
    <w:p w:rsidR="00FB09DF" w:rsidRDefault="00FB09DF"/>
    <w:p w:rsidR="00FB09DF" w:rsidRDefault="005F2788">
      <w:proofErr w:type="gramStart"/>
      <w:r>
        <w:t>Old Douglas County Court House.</w:t>
      </w:r>
      <w:proofErr w:type="gramEnd"/>
    </w:p>
    <w:p w:rsidR="00FB09DF" w:rsidRDefault="00FB09DF"/>
    <w:p w:rsidR="00FB09DF" w:rsidRDefault="00FB09DF"/>
    <w:p w:rsidR="00FB09DF" w:rsidRDefault="00FB09DF"/>
    <w:p w:rsidR="00FB09DF" w:rsidRDefault="00FB09DF"/>
    <w:p w:rsidR="00FB09DF" w:rsidRDefault="00FB09DF"/>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p w:rsidR="005F2788" w:rsidRDefault="005F2788">
      <w:bookmarkStart w:id="0" w:name="_GoBack"/>
      <w:bookmarkEnd w:id="0"/>
    </w:p>
    <w:sectPr w:rsidR="005F27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body)">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eague Gothic">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D2C"/>
    <w:rsid w:val="00305E98"/>
    <w:rsid w:val="00453B63"/>
    <w:rsid w:val="004A0BC6"/>
    <w:rsid w:val="00595D2C"/>
    <w:rsid w:val="005F2788"/>
    <w:rsid w:val="00623A04"/>
    <w:rsid w:val="006416AA"/>
    <w:rsid w:val="006638E8"/>
    <w:rsid w:val="0081334C"/>
    <w:rsid w:val="00821D44"/>
    <w:rsid w:val="00D332F7"/>
    <w:rsid w:val="00E301C6"/>
    <w:rsid w:val="00E41593"/>
    <w:rsid w:val="00F90004"/>
    <w:rsid w:val="00FB09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body)" w:eastAsiaTheme="minorHAnsi" w:hAnsi="Cambria (body)" w:cs="Times New Roman"/>
        <w:sz w:val="22"/>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01C6"/>
  </w:style>
  <w:style w:type="paragraph" w:styleId="Heading1">
    <w:name w:val="heading 1"/>
    <w:basedOn w:val="Normal"/>
    <w:link w:val="Heading1Char"/>
    <w:uiPriority w:val="9"/>
    <w:qFormat/>
    <w:rsid w:val="005F2788"/>
    <w:pPr>
      <w:spacing w:before="100" w:beforeAutospacing="1" w:after="100" w:afterAutospacing="1"/>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5D2C"/>
    <w:rPr>
      <w:rFonts w:ascii="Tahoma" w:hAnsi="Tahoma" w:cs="Tahoma"/>
      <w:sz w:val="16"/>
      <w:szCs w:val="16"/>
    </w:rPr>
  </w:style>
  <w:style w:type="character" w:customStyle="1" w:styleId="BalloonTextChar">
    <w:name w:val="Balloon Text Char"/>
    <w:basedOn w:val="DefaultParagraphFont"/>
    <w:link w:val="BalloonText"/>
    <w:uiPriority w:val="99"/>
    <w:semiHidden/>
    <w:rsid w:val="00595D2C"/>
    <w:rPr>
      <w:rFonts w:ascii="Tahoma" w:hAnsi="Tahoma" w:cs="Tahoma"/>
      <w:sz w:val="16"/>
      <w:szCs w:val="16"/>
    </w:rPr>
  </w:style>
  <w:style w:type="character" w:styleId="Hyperlink">
    <w:name w:val="Hyperlink"/>
    <w:basedOn w:val="DefaultParagraphFont"/>
    <w:uiPriority w:val="99"/>
    <w:unhideWhenUsed/>
    <w:rsid w:val="00E41593"/>
    <w:rPr>
      <w:color w:val="0000FF"/>
      <w:u w:val="single"/>
    </w:rPr>
  </w:style>
  <w:style w:type="character" w:customStyle="1" w:styleId="apple-converted-space">
    <w:name w:val="apple-converted-space"/>
    <w:basedOn w:val="DefaultParagraphFont"/>
    <w:rsid w:val="006416AA"/>
  </w:style>
  <w:style w:type="character" w:customStyle="1" w:styleId="ng-binding">
    <w:name w:val="ng-binding"/>
    <w:basedOn w:val="DefaultParagraphFont"/>
    <w:rsid w:val="006416AA"/>
  </w:style>
  <w:style w:type="character" w:customStyle="1" w:styleId="for">
    <w:name w:val="for"/>
    <w:basedOn w:val="DefaultParagraphFont"/>
    <w:rsid w:val="006416AA"/>
  </w:style>
  <w:style w:type="paragraph" w:styleId="NormalWeb">
    <w:name w:val="Normal (Web)"/>
    <w:basedOn w:val="Normal"/>
    <w:uiPriority w:val="99"/>
    <w:semiHidden/>
    <w:unhideWhenUsed/>
    <w:rsid w:val="0081334C"/>
    <w:pPr>
      <w:spacing w:before="100" w:beforeAutospacing="1" w:after="100" w:afterAutospacing="1"/>
    </w:pPr>
    <w:rPr>
      <w:rFonts w:ascii="Times New Roman" w:eastAsia="Times New Roman" w:hAnsi="Times New Roman"/>
      <w:sz w:val="24"/>
    </w:rPr>
  </w:style>
  <w:style w:type="character" w:styleId="Emphasis">
    <w:name w:val="Emphasis"/>
    <w:basedOn w:val="DefaultParagraphFont"/>
    <w:uiPriority w:val="20"/>
    <w:qFormat/>
    <w:rsid w:val="0081334C"/>
    <w:rPr>
      <w:i/>
      <w:iCs/>
    </w:rPr>
  </w:style>
  <w:style w:type="character" w:customStyle="1" w:styleId="Heading1Char">
    <w:name w:val="Heading 1 Char"/>
    <w:basedOn w:val="DefaultParagraphFont"/>
    <w:link w:val="Heading1"/>
    <w:uiPriority w:val="9"/>
    <w:rsid w:val="005F2788"/>
    <w:rPr>
      <w:rFonts w:ascii="Times New Roman" w:eastAsia="Times New Roman" w:hAnsi="Times New Roman"/>
      <w:b/>
      <w:bCs/>
      <w:kern w:val="36"/>
      <w:sz w:val="48"/>
      <w:szCs w:val="48"/>
    </w:rPr>
  </w:style>
  <w:style w:type="character" w:customStyle="1" w:styleId="cat-links">
    <w:name w:val="cat-links"/>
    <w:basedOn w:val="DefaultParagraphFont"/>
    <w:rsid w:val="005F2788"/>
  </w:style>
  <w:style w:type="character" w:customStyle="1" w:styleId="sep">
    <w:name w:val="sep"/>
    <w:basedOn w:val="DefaultParagraphFont"/>
    <w:rsid w:val="005F27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body)" w:eastAsiaTheme="minorHAnsi" w:hAnsi="Cambria (body)" w:cs="Times New Roman"/>
        <w:sz w:val="22"/>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01C6"/>
  </w:style>
  <w:style w:type="paragraph" w:styleId="Heading1">
    <w:name w:val="heading 1"/>
    <w:basedOn w:val="Normal"/>
    <w:link w:val="Heading1Char"/>
    <w:uiPriority w:val="9"/>
    <w:qFormat/>
    <w:rsid w:val="005F2788"/>
    <w:pPr>
      <w:spacing w:before="100" w:beforeAutospacing="1" w:after="100" w:afterAutospacing="1"/>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5D2C"/>
    <w:rPr>
      <w:rFonts w:ascii="Tahoma" w:hAnsi="Tahoma" w:cs="Tahoma"/>
      <w:sz w:val="16"/>
      <w:szCs w:val="16"/>
    </w:rPr>
  </w:style>
  <w:style w:type="character" w:customStyle="1" w:styleId="BalloonTextChar">
    <w:name w:val="Balloon Text Char"/>
    <w:basedOn w:val="DefaultParagraphFont"/>
    <w:link w:val="BalloonText"/>
    <w:uiPriority w:val="99"/>
    <w:semiHidden/>
    <w:rsid w:val="00595D2C"/>
    <w:rPr>
      <w:rFonts w:ascii="Tahoma" w:hAnsi="Tahoma" w:cs="Tahoma"/>
      <w:sz w:val="16"/>
      <w:szCs w:val="16"/>
    </w:rPr>
  </w:style>
  <w:style w:type="character" w:styleId="Hyperlink">
    <w:name w:val="Hyperlink"/>
    <w:basedOn w:val="DefaultParagraphFont"/>
    <w:uiPriority w:val="99"/>
    <w:unhideWhenUsed/>
    <w:rsid w:val="00E41593"/>
    <w:rPr>
      <w:color w:val="0000FF"/>
      <w:u w:val="single"/>
    </w:rPr>
  </w:style>
  <w:style w:type="character" w:customStyle="1" w:styleId="apple-converted-space">
    <w:name w:val="apple-converted-space"/>
    <w:basedOn w:val="DefaultParagraphFont"/>
    <w:rsid w:val="006416AA"/>
  </w:style>
  <w:style w:type="character" w:customStyle="1" w:styleId="ng-binding">
    <w:name w:val="ng-binding"/>
    <w:basedOn w:val="DefaultParagraphFont"/>
    <w:rsid w:val="006416AA"/>
  </w:style>
  <w:style w:type="character" w:customStyle="1" w:styleId="for">
    <w:name w:val="for"/>
    <w:basedOn w:val="DefaultParagraphFont"/>
    <w:rsid w:val="006416AA"/>
  </w:style>
  <w:style w:type="paragraph" w:styleId="NormalWeb">
    <w:name w:val="Normal (Web)"/>
    <w:basedOn w:val="Normal"/>
    <w:uiPriority w:val="99"/>
    <w:semiHidden/>
    <w:unhideWhenUsed/>
    <w:rsid w:val="0081334C"/>
    <w:pPr>
      <w:spacing w:before="100" w:beforeAutospacing="1" w:after="100" w:afterAutospacing="1"/>
    </w:pPr>
    <w:rPr>
      <w:rFonts w:ascii="Times New Roman" w:eastAsia="Times New Roman" w:hAnsi="Times New Roman"/>
      <w:sz w:val="24"/>
    </w:rPr>
  </w:style>
  <w:style w:type="character" w:styleId="Emphasis">
    <w:name w:val="Emphasis"/>
    <w:basedOn w:val="DefaultParagraphFont"/>
    <w:uiPriority w:val="20"/>
    <w:qFormat/>
    <w:rsid w:val="0081334C"/>
    <w:rPr>
      <w:i/>
      <w:iCs/>
    </w:rPr>
  </w:style>
  <w:style w:type="character" w:customStyle="1" w:styleId="Heading1Char">
    <w:name w:val="Heading 1 Char"/>
    <w:basedOn w:val="DefaultParagraphFont"/>
    <w:link w:val="Heading1"/>
    <w:uiPriority w:val="9"/>
    <w:rsid w:val="005F2788"/>
    <w:rPr>
      <w:rFonts w:ascii="Times New Roman" w:eastAsia="Times New Roman" w:hAnsi="Times New Roman"/>
      <w:b/>
      <w:bCs/>
      <w:kern w:val="36"/>
      <w:sz w:val="48"/>
      <w:szCs w:val="48"/>
    </w:rPr>
  </w:style>
  <w:style w:type="character" w:customStyle="1" w:styleId="cat-links">
    <w:name w:val="cat-links"/>
    <w:basedOn w:val="DefaultParagraphFont"/>
    <w:rsid w:val="005F2788"/>
  </w:style>
  <w:style w:type="character" w:customStyle="1" w:styleId="sep">
    <w:name w:val="sep"/>
    <w:basedOn w:val="DefaultParagraphFont"/>
    <w:rsid w:val="005F27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606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jpg"/><Relationship Id="rId18" Type="http://schemas.openxmlformats.org/officeDocument/2006/relationships/image" Target="media/image7.jpg"/><Relationship Id="rId3" Type="http://schemas.microsoft.com/office/2007/relationships/stylesWithEffects" Target="stylesWithEffects.xml"/><Relationship Id="rId7" Type="http://schemas.openxmlformats.org/officeDocument/2006/relationships/hyperlink" Target="http://tuscola.org/content/tuscola-history-book/" TargetMode="External"/><Relationship Id="rId12" Type="http://schemas.openxmlformats.org/officeDocument/2006/relationships/hyperlink" Target="http://tuscola.org/content/tuscola-history-book/" TargetMode="External"/><Relationship Id="rId17" Type="http://schemas.openxmlformats.org/officeDocument/2006/relationships/hyperlink" Target="http://thetuscolareview.com/wp-content/uploads/2013/03/courthouse.gif" TargetMode="External"/><Relationship Id="rId2" Type="http://schemas.openxmlformats.org/officeDocument/2006/relationships/styles" Target="styles.xml"/><Relationship Id="rId16" Type="http://schemas.openxmlformats.org/officeDocument/2006/relationships/hyperlink" Target="http://thetuscolareview.com/category/sesquicentennial-edition-june-26-2007/"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interactive.ancestry.com/1127/31617_072107-00405/534615?backurl=http%3a%2f%2fsearch.ancestry.com%2f%2fcgi-bin%2fsse.dll%3fnew%3d1%26gsfn%3dH.%2bC.%26gsln%3dNiles%26rank%3d1%26gss%3dangs-g%26mswpn__ftp%3dDouglas%2bCounty%252c%2bIllinois%252c%2bUSA%26msbdy%3d1830%26pcat%3dROOT_CATEGORY%26h%3d534615%26recoff%3d6%2b7%2b8%26db%3dLandownershipAtlas%26indiv%3d1%26ml_rpos%3d19&amp;ssrc=&amp;backlabel=ReturnRecord" TargetMode="Externa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nvironmentalhistory.org/billkovarik/about-bk/research/editor-who-tried-to-stop-civil-war/niles-weekly-register-1811-1849/" TargetMode="Externa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C52191-D0BF-4E0A-8AB2-1D0ED22C8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6</Pages>
  <Words>574</Words>
  <Characters>3278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6</cp:revision>
  <dcterms:created xsi:type="dcterms:W3CDTF">2015-05-09T19:55:00Z</dcterms:created>
  <dcterms:modified xsi:type="dcterms:W3CDTF">2015-05-09T21:41:00Z</dcterms:modified>
</cp:coreProperties>
</file>