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777F" w:rsidRDefault="0094369A" w:rsidP="0074777F">
      <w:pPr>
        <w:spacing w:after="0"/>
      </w:pPr>
      <w:r w:rsidRPr="0094369A">
        <w:rPr>
          <w:b/>
        </w:rPr>
        <w:t>Activity Description</w:t>
      </w:r>
      <w:r w:rsidRPr="0094369A">
        <w:br/>
        <w:t>Oncology nursing care is critical for the effective delivery of therapy in chronic lymphocytic leukemia (CLL), where the emergence of multiple novel agent classes, such as BTK and BCL-2 inhibitors, has transformed disease management. Furthermore, oncology nurses will play a key role in integrating the next wave of novel therapeutics, which range from newer BTK-based strategies to CAR-T cell therapy options. As always, nurses are perfectly placed to enhance modern CLL care by counseling patients on the benefits and risks of novel therapeutics across the spectrum of disease.</w:t>
      </w:r>
    </w:p>
    <w:p w:rsidR="0094369A" w:rsidRDefault="0094369A" w:rsidP="0074777F">
      <w:pPr>
        <w:spacing w:after="0"/>
      </w:pPr>
      <w:r w:rsidRPr="0094369A">
        <w:br/>
        <w:t>This “Clinical Consults” activity, developed in collaboration with the CLL Society, features nurse-to-nurse, case-based education designed to illustrate how nurses can decisively implement the latest recommendations for effective use of innovative therapeutics in CLL. The case-centric “Clinical Consult” segments will provide guidance on best practices for using first- and second-generation BTK inhibitor– and BCL-2 inhibitor–based regimens while preparing for the emergence of cellular therapy. Nurses remain the common thread linking informed CLL treatment decisions to improvement in patients—find out how during this educational session!</w:t>
      </w:r>
      <w:bookmarkStart w:id="0" w:name="_GoBack"/>
      <w:bookmarkEnd w:id="0"/>
    </w:p>
    <w:p w:rsidR="0094369A" w:rsidRPr="0094369A" w:rsidRDefault="0094369A" w:rsidP="0094369A"/>
    <w:p w:rsidR="0074777F" w:rsidRDefault="0094369A" w:rsidP="0074777F">
      <w:pPr>
        <w:spacing w:after="0"/>
      </w:pPr>
      <w:r w:rsidRPr="0094369A">
        <w:rPr>
          <w:b/>
          <w:bCs/>
        </w:rPr>
        <w:t xml:space="preserve">Educational Objectives </w:t>
      </w:r>
    </w:p>
    <w:p w:rsidR="0094369A" w:rsidRPr="0094369A" w:rsidRDefault="0094369A" w:rsidP="0074777F">
      <w:r w:rsidRPr="0094369A">
        <w:t xml:space="preserve">Upon completion of this activity, participants should be better able to: </w:t>
      </w:r>
    </w:p>
    <w:p w:rsidR="0094369A" w:rsidRPr="0094369A" w:rsidRDefault="0094369A" w:rsidP="0074777F">
      <w:pPr>
        <w:pStyle w:val="ListParagraph"/>
        <w:numPr>
          <w:ilvl w:val="0"/>
          <w:numId w:val="2"/>
        </w:numPr>
      </w:pPr>
      <w:r w:rsidRPr="0094369A">
        <w:t xml:space="preserve">Cite the clinical signs of symptomatic disease, relevant prognostic factors, patient- and disease-related features, and clinical evidence that can inform treatment selection with innovative therapeutic classes in CLL, including BTK and BCL-2 inhibitors, novel antibodies, and cellular therapy </w:t>
      </w:r>
    </w:p>
    <w:p w:rsidR="0094369A" w:rsidRPr="0094369A" w:rsidRDefault="0094369A" w:rsidP="0094369A">
      <w:pPr>
        <w:pStyle w:val="ListParagraph"/>
        <w:numPr>
          <w:ilvl w:val="0"/>
          <w:numId w:val="2"/>
        </w:numPr>
      </w:pPr>
      <w:r w:rsidRPr="0094369A">
        <w:t xml:space="preserve">Provide counseling to patients with CLL in order to clarify therapeutic expectations, safety considerations, appropriate dosing, sequential therapy, and differences among novel agent classes </w:t>
      </w:r>
    </w:p>
    <w:p w:rsidR="0094369A" w:rsidRPr="0094369A" w:rsidRDefault="0094369A" w:rsidP="0094369A">
      <w:pPr>
        <w:pStyle w:val="ListParagraph"/>
        <w:numPr>
          <w:ilvl w:val="0"/>
          <w:numId w:val="2"/>
        </w:numPr>
      </w:pPr>
      <w:r w:rsidRPr="0094369A">
        <w:t xml:space="preserve">Address dosing and safety considerations for patients with CLL receiving BTK or BCL-2 inhibitors, novel antibodies, or other innovative approaches to treatment </w:t>
      </w:r>
    </w:p>
    <w:p w:rsidR="0094369A" w:rsidRPr="0094369A" w:rsidRDefault="0094369A" w:rsidP="0094369A"/>
    <w:p w:rsidR="001B3A3E" w:rsidRDefault="001B3A3E"/>
    <w:sectPr w:rsidR="001B3A3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B77D27"/>
    <w:multiLevelType w:val="hybridMultilevel"/>
    <w:tmpl w:val="33E41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7A25DA4"/>
    <w:multiLevelType w:val="hybridMultilevel"/>
    <w:tmpl w:val="1D26312D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369A"/>
    <w:rsid w:val="001B3A3E"/>
    <w:rsid w:val="0074777F"/>
    <w:rsid w:val="009436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6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436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90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2477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54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136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7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88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Grayson Baldy</dc:creator>
  <cp:lastModifiedBy>Grayson Baldy</cp:lastModifiedBy>
  <cp:revision>2</cp:revision>
  <dcterms:created xsi:type="dcterms:W3CDTF">2022-08-29T21:09:00Z</dcterms:created>
  <dcterms:modified xsi:type="dcterms:W3CDTF">2022-08-29T21:09:00Z</dcterms:modified>
</cp:coreProperties>
</file>