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B9" w:rsidRDefault="007D51B9" w:rsidP="007D51B9">
      <w:pPr>
        <w:jc w:val="center"/>
        <w:rPr>
          <w:rFonts w:eastAsiaTheme="minorEastAsia"/>
          <w:b/>
          <w:sz w:val="22"/>
          <w:szCs w:val="22"/>
        </w:rPr>
      </w:pPr>
    </w:p>
    <w:p w:rsidR="00621D8E" w:rsidRDefault="00621D8E" w:rsidP="007D51B9">
      <w:pPr>
        <w:jc w:val="center"/>
        <w:rPr>
          <w:rFonts w:eastAsiaTheme="minorEastAsia"/>
          <w:b/>
          <w:sz w:val="22"/>
          <w:szCs w:val="22"/>
        </w:rPr>
      </w:pPr>
    </w:p>
    <w:p w:rsidR="00621D8E" w:rsidRDefault="00621D8E" w:rsidP="007D51B9">
      <w:pPr>
        <w:jc w:val="center"/>
        <w:rPr>
          <w:rFonts w:eastAsiaTheme="minorEastAsia"/>
          <w:b/>
          <w:sz w:val="22"/>
          <w:szCs w:val="22"/>
        </w:rPr>
      </w:pPr>
    </w:p>
    <w:p w:rsidR="00225004" w:rsidRDefault="00225004">
      <w:pPr>
        <w:spacing w:line="276" w:lineRule="auto"/>
        <w:rPr>
          <w:rFonts w:eastAsia="Calibri"/>
          <w:b/>
          <w:smallCaps/>
        </w:rPr>
      </w:pPr>
    </w:p>
    <w:p w:rsidR="002E6711" w:rsidRDefault="00D62D41" w:rsidP="00225004">
      <w:pPr>
        <w:spacing w:line="276" w:lineRule="auto"/>
        <w:jc w:val="center"/>
        <w:rPr>
          <w:rFonts w:eastAsia="Calibri"/>
          <w:b/>
          <w:smallCaps/>
        </w:rPr>
      </w:pPr>
      <w:r w:rsidRPr="00B66FB4">
        <w:rPr>
          <w:rFonts w:eastAsia="Calibri"/>
          <w:b/>
          <w:smallCaps/>
        </w:rPr>
        <w:t>General Fund Appropriation Request for FY 2018/2019</w:t>
      </w:r>
    </w:p>
    <w:p w:rsidR="00D62D41" w:rsidRPr="00B66FB4" w:rsidRDefault="00D62D41" w:rsidP="00D62D41">
      <w:pPr>
        <w:widowControl w:val="0"/>
        <w:spacing w:line="276" w:lineRule="auto"/>
        <w:jc w:val="center"/>
      </w:pPr>
      <w:r w:rsidRPr="00B66FB4">
        <w:t>March 5, 2018</w:t>
      </w:r>
    </w:p>
    <w:p w:rsidR="00D62D41" w:rsidRPr="00B66FB4" w:rsidRDefault="002E1A62" w:rsidP="00D62D41">
      <w:pPr>
        <w:pStyle w:val="Heading1"/>
        <w:spacing w:line="240" w:lineRule="auto"/>
        <w:rPr>
          <w:rFonts w:ascii="Times New Roman" w:hAnsi="Times New Roman"/>
          <w:b/>
          <w:smallCap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Budget</w:t>
      </w:r>
      <w:r w:rsidR="00345852" w:rsidRPr="00B66FB4">
        <w:rPr>
          <w:rFonts w:ascii="Times New Roman" w:hAnsi="Times New Roman"/>
          <w:b/>
          <w:sz w:val="24"/>
          <w:szCs w:val="24"/>
        </w:rPr>
        <w:t xml:space="preserve"> 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equest</w:t>
      </w:r>
    </w:p>
    <w:p w:rsidR="00D62D41" w:rsidRPr="00B66FB4" w:rsidRDefault="00955A29" w:rsidP="00D62D41">
      <w:pPr>
        <w:rPr>
          <w:rFonts w:eastAsia="Calibri"/>
        </w:rPr>
      </w:pPr>
      <w:r>
        <w:rPr>
          <w:rFonts w:eastAsia="Calibri"/>
        </w:rPr>
        <w:t>T</w:t>
      </w:r>
      <w:r w:rsidR="00D62D41" w:rsidRPr="00B66FB4">
        <w:rPr>
          <w:rFonts w:eastAsia="Calibri"/>
        </w:rPr>
        <w:t xml:space="preserve">he California Central Valley Flood Control Association (CCVFCA) </w:t>
      </w:r>
      <w:r w:rsidR="00F240C4">
        <w:rPr>
          <w:rFonts w:eastAsia="Calibri"/>
        </w:rPr>
        <w:t xml:space="preserve">requests </w:t>
      </w:r>
      <w:r w:rsidR="00193FA4">
        <w:rPr>
          <w:rFonts w:eastAsia="Calibri"/>
        </w:rPr>
        <w:t xml:space="preserve">augmentation of </w:t>
      </w:r>
      <w:r w:rsidR="00EA49DD">
        <w:rPr>
          <w:rFonts w:eastAsia="Calibri"/>
        </w:rPr>
        <w:t xml:space="preserve">General Funds </w:t>
      </w:r>
      <w:r w:rsidRPr="00B66FB4">
        <w:rPr>
          <w:rFonts w:eastAsia="Calibri"/>
        </w:rPr>
        <w:t xml:space="preserve">to the Governor’s FY 2018/2019 </w:t>
      </w:r>
      <w:r>
        <w:rPr>
          <w:rFonts w:eastAsia="Calibri"/>
        </w:rPr>
        <w:t>B</w:t>
      </w:r>
      <w:r w:rsidRPr="00B66FB4">
        <w:rPr>
          <w:rFonts w:eastAsia="Calibri"/>
        </w:rPr>
        <w:t>udget released on January 10, 2018</w:t>
      </w:r>
      <w:r>
        <w:rPr>
          <w:rFonts w:eastAsia="Calibri"/>
        </w:rPr>
        <w:t xml:space="preserve"> </w:t>
      </w:r>
      <w:r w:rsidR="00EA49DD">
        <w:rPr>
          <w:rFonts w:eastAsia="Calibri"/>
        </w:rPr>
        <w:t xml:space="preserve">for </w:t>
      </w:r>
      <w:r w:rsidR="00D62D41" w:rsidRPr="00B66FB4">
        <w:rPr>
          <w:rFonts w:eastAsia="Calibri"/>
        </w:rPr>
        <w:t xml:space="preserve">an ongoing, annual appropriation of $100 million </w:t>
      </w:r>
      <w:r w:rsidR="00783F7A" w:rsidRPr="00B66FB4">
        <w:rPr>
          <w:rFonts w:eastAsia="Calibri"/>
        </w:rPr>
        <w:t xml:space="preserve">to </w:t>
      </w:r>
      <w:r w:rsidR="00193FA4">
        <w:rPr>
          <w:rFonts w:eastAsia="Calibri"/>
        </w:rPr>
        <w:t xml:space="preserve">begin </w:t>
      </w:r>
      <w:r w:rsidR="00783F7A" w:rsidRPr="00B66FB4">
        <w:rPr>
          <w:rFonts w:eastAsia="Calibri"/>
        </w:rPr>
        <w:t>implement</w:t>
      </w:r>
      <w:r w:rsidR="00193FA4">
        <w:rPr>
          <w:rFonts w:eastAsia="Calibri"/>
        </w:rPr>
        <w:t>ing</w:t>
      </w:r>
      <w:r w:rsidR="00783F7A" w:rsidRPr="00B66FB4">
        <w:rPr>
          <w:rFonts w:eastAsia="Calibri"/>
        </w:rPr>
        <w:t xml:space="preserve"> the </w:t>
      </w:r>
      <w:r w:rsidR="00193FA4">
        <w:rPr>
          <w:rFonts w:eastAsia="Calibri"/>
        </w:rPr>
        <w:t xml:space="preserve">2017 </w:t>
      </w:r>
      <w:r w:rsidR="00783F7A" w:rsidRPr="00B66FB4">
        <w:rPr>
          <w:rFonts w:eastAsia="Calibri"/>
        </w:rPr>
        <w:t>Central Valley Flood Protection Plan (CVFPP)</w:t>
      </w:r>
      <w:r w:rsidR="00A04A17" w:rsidRPr="00B66FB4">
        <w:rPr>
          <w:rStyle w:val="FootnoteReference"/>
          <w:rFonts w:eastAsia="Calibri"/>
        </w:rPr>
        <w:footnoteReference w:id="1"/>
      </w:r>
      <w:r w:rsidR="00783F7A" w:rsidRPr="00B66FB4">
        <w:rPr>
          <w:rFonts w:eastAsia="Calibri"/>
        </w:rPr>
        <w:t xml:space="preserve"> </w:t>
      </w:r>
      <w:r w:rsidR="00D62D41" w:rsidRPr="00B66FB4">
        <w:rPr>
          <w:rFonts w:eastAsia="Calibri"/>
        </w:rPr>
        <w:t xml:space="preserve">and a one-time appropriation of </w:t>
      </w:r>
      <w:r w:rsidR="00D62D41" w:rsidRPr="005A14DC">
        <w:rPr>
          <w:rFonts w:eastAsia="Calibri"/>
        </w:rPr>
        <w:t>$400</w:t>
      </w:r>
      <w:r w:rsidR="00D62D41" w:rsidRPr="00B66FB4">
        <w:rPr>
          <w:rFonts w:eastAsia="Calibri"/>
        </w:rPr>
        <w:t xml:space="preserve"> million to repair </w:t>
      </w:r>
      <w:r w:rsidR="00B45FB7" w:rsidRPr="00B66FB4">
        <w:rPr>
          <w:rFonts w:eastAsia="Calibri"/>
        </w:rPr>
        <w:t xml:space="preserve">the worst </w:t>
      </w:r>
      <w:r w:rsidR="00D62D41" w:rsidRPr="00B66FB4">
        <w:rPr>
          <w:rFonts w:eastAsia="Calibri"/>
        </w:rPr>
        <w:t>storm damage from the 2017 flood events.</w:t>
      </w:r>
      <w:r w:rsidR="009D20DA">
        <w:rPr>
          <w:rStyle w:val="FootnoteReference"/>
          <w:rFonts w:eastAsia="Calibri"/>
        </w:rPr>
        <w:footnoteReference w:id="2"/>
      </w:r>
      <w:r w:rsidR="00D62D41" w:rsidRPr="00B66FB4">
        <w:rPr>
          <w:rFonts w:eastAsia="Calibri"/>
        </w:rPr>
        <w:t xml:space="preserve"> The ongoing </w:t>
      </w:r>
      <w:r w:rsidR="005A14DC">
        <w:rPr>
          <w:rFonts w:eastAsia="Calibri"/>
        </w:rPr>
        <w:t xml:space="preserve">additional </w:t>
      </w:r>
      <w:r w:rsidR="00985EEC" w:rsidRPr="00B66FB4">
        <w:rPr>
          <w:rFonts w:eastAsia="Calibri"/>
        </w:rPr>
        <w:t xml:space="preserve">annual </w:t>
      </w:r>
      <w:r w:rsidR="009F77FE" w:rsidRPr="00B66FB4">
        <w:rPr>
          <w:rFonts w:eastAsia="Calibri"/>
        </w:rPr>
        <w:t xml:space="preserve">General Fund </w:t>
      </w:r>
      <w:r w:rsidR="00D62D41" w:rsidRPr="00B66FB4">
        <w:rPr>
          <w:rFonts w:eastAsia="Calibri"/>
        </w:rPr>
        <w:t xml:space="preserve">appropriation of $100 million </w:t>
      </w:r>
      <w:r w:rsidR="007B5397">
        <w:rPr>
          <w:rFonts w:eastAsia="Calibri"/>
        </w:rPr>
        <w:t>would</w:t>
      </w:r>
      <w:r w:rsidR="00D62D41" w:rsidRPr="00B66FB4">
        <w:rPr>
          <w:rFonts w:eastAsia="Calibri"/>
        </w:rPr>
        <w:t xml:space="preserve"> </w:t>
      </w:r>
      <w:r w:rsidR="005A14DC">
        <w:rPr>
          <w:rFonts w:eastAsia="Calibri"/>
        </w:rPr>
        <w:t xml:space="preserve">be divided to </w:t>
      </w:r>
      <w:r w:rsidR="00985EEC" w:rsidRPr="00B66FB4">
        <w:rPr>
          <w:rFonts w:eastAsia="Calibri"/>
        </w:rPr>
        <w:t xml:space="preserve">implement </w:t>
      </w:r>
      <w:r w:rsidR="007B5397">
        <w:rPr>
          <w:rFonts w:eastAsia="Calibri"/>
        </w:rPr>
        <w:t xml:space="preserve">following </w:t>
      </w:r>
      <w:r w:rsidR="00D62D41" w:rsidRPr="00B66FB4">
        <w:rPr>
          <w:rFonts w:eastAsia="Calibri"/>
        </w:rPr>
        <w:t xml:space="preserve">elements of the CVFPP: </w:t>
      </w:r>
    </w:p>
    <w:p w:rsidR="00D62D41" w:rsidRPr="005A14DC" w:rsidRDefault="00D62D41" w:rsidP="005A14DC">
      <w:pPr>
        <w:rPr>
          <w:rFonts w:eastAsia="Calibri"/>
        </w:rPr>
      </w:pPr>
    </w:p>
    <w:p w:rsidR="00D62D41" w:rsidRPr="00B66FB4" w:rsidRDefault="00D62D41" w:rsidP="00D62D41">
      <w:pPr>
        <w:pStyle w:val="ListParagraph"/>
        <w:numPr>
          <w:ilvl w:val="0"/>
          <w:numId w:val="43"/>
        </w:numPr>
        <w:rPr>
          <w:rFonts w:eastAsia="Calibri"/>
        </w:rPr>
      </w:pPr>
      <w:r w:rsidRPr="00B66FB4">
        <w:rPr>
          <w:rFonts w:eastAsia="Calibri"/>
          <w:b/>
        </w:rPr>
        <w:t>$22.5 million</w:t>
      </w:r>
      <w:r w:rsidRPr="00B66FB4">
        <w:rPr>
          <w:rFonts w:eastAsia="Calibri"/>
        </w:rPr>
        <w:t xml:space="preserve"> to reduce the backlog of deferred maintenance </w:t>
      </w:r>
      <w:r w:rsidR="00B44398">
        <w:rPr>
          <w:rFonts w:eastAsia="Calibri"/>
        </w:rPr>
        <w:t>and to achieve</w:t>
      </w:r>
      <w:r w:rsidRPr="00B66FB4">
        <w:rPr>
          <w:rFonts w:eastAsia="Calibri"/>
        </w:rPr>
        <w:t xml:space="preserve"> </w:t>
      </w:r>
      <w:r w:rsidR="00EA49DD" w:rsidRPr="00B66FB4">
        <w:rPr>
          <w:rFonts w:eastAsia="Calibri"/>
        </w:rPr>
        <w:t xml:space="preserve">the Operations, Maintenance, Repair, rehabilitation and Replacement (OMRR&amp;R) </w:t>
      </w:r>
      <w:r w:rsidRPr="00B66FB4">
        <w:rPr>
          <w:rFonts w:eastAsia="Calibri"/>
        </w:rPr>
        <w:t>goals outlined in the CVFPP</w:t>
      </w:r>
      <w:r w:rsidR="007C2897" w:rsidRPr="00B66FB4">
        <w:rPr>
          <w:rFonts w:eastAsia="Calibri"/>
        </w:rPr>
        <w:t xml:space="preserve"> by appropriating funding to existing levee grant programs,</w:t>
      </w:r>
      <w:r w:rsidRPr="00B66FB4">
        <w:rPr>
          <w:rFonts w:eastAsia="Calibri"/>
        </w:rPr>
        <w:t xml:space="preserve"> small community </w:t>
      </w:r>
      <w:r w:rsidR="007C2897" w:rsidRPr="00B66FB4">
        <w:rPr>
          <w:rFonts w:eastAsia="Calibri"/>
        </w:rPr>
        <w:t xml:space="preserve">flood risk reduction </w:t>
      </w:r>
      <w:r w:rsidRPr="00B66FB4">
        <w:rPr>
          <w:rFonts w:eastAsia="Calibri"/>
        </w:rPr>
        <w:t>projects and continue</w:t>
      </w:r>
      <w:r w:rsidR="003D3CEA">
        <w:rPr>
          <w:rFonts w:eastAsia="Calibri"/>
        </w:rPr>
        <w:t>d financial</w:t>
      </w:r>
      <w:r w:rsidRPr="00B66FB4">
        <w:rPr>
          <w:rFonts w:eastAsia="Calibri"/>
        </w:rPr>
        <w:t xml:space="preserve"> </w:t>
      </w:r>
      <w:r w:rsidR="007F7A64">
        <w:rPr>
          <w:rFonts w:eastAsia="Calibri"/>
        </w:rPr>
        <w:t>support</w:t>
      </w:r>
      <w:r w:rsidR="003D3CEA">
        <w:rPr>
          <w:rFonts w:eastAsia="Calibri"/>
        </w:rPr>
        <w:t xml:space="preserve"> of</w:t>
      </w:r>
      <w:r w:rsidR="00EA49DD">
        <w:rPr>
          <w:rFonts w:eastAsia="Calibri"/>
        </w:rPr>
        <w:t xml:space="preserve"> </w:t>
      </w:r>
      <w:r w:rsidRPr="00B66FB4">
        <w:rPr>
          <w:rFonts w:eastAsia="Calibri"/>
        </w:rPr>
        <w:t xml:space="preserve">Regional Flood Management Planning </w:t>
      </w:r>
      <w:r w:rsidR="00EA49DD">
        <w:rPr>
          <w:rFonts w:eastAsia="Calibri"/>
        </w:rPr>
        <w:t xml:space="preserve">Regions </w:t>
      </w:r>
      <w:r w:rsidR="007C2897" w:rsidRPr="00B66FB4">
        <w:rPr>
          <w:rFonts w:eastAsia="Calibri"/>
        </w:rPr>
        <w:t xml:space="preserve">that </w:t>
      </w:r>
      <w:r w:rsidR="007F7A64">
        <w:rPr>
          <w:rFonts w:eastAsia="Calibri"/>
        </w:rPr>
        <w:t>are</w:t>
      </w:r>
      <w:r w:rsidR="007C2897" w:rsidRPr="00B66FB4">
        <w:rPr>
          <w:rFonts w:eastAsia="Calibri"/>
        </w:rPr>
        <w:t xml:space="preserve"> instrumental </w:t>
      </w:r>
      <w:r w:rsidRPr="00B66FB4">
        <w:rPr>
          <w:rFonts w:eastAsia="Calibri"/>
        </w:rPr>
        <w:t xml:space="preserve">in aligning </w:t>
      </w:r>
      <w:r w:rsidR="007C2897" w:rsidRPr="00B66FB4">
        <w:rPr>
          <w:rFonts w:eastAsia="Calibri"/>
        </w:rPr>
        <w:t xml:space="preserve">support from local </w:t>
      </w:r>
      <w:r w:rsidRPr="00B66FB4">
        <w:rPr>
          <w:rFonts w:eastAsia="Calibri"/>
        </w:rPr>
        <w:t>flood management, agricultur</w:t>
      </w:r>
      <w:r w:rsidR="007C2897" w:rsidRPr="00B66FB4">
        <w:rPr>
          <w:rFonts w:eastAsia="Calibri"/>
        </w:rPr>
        <w:t>al,</w:t>
      </w:r>
      <w:r w:rsidRPr="00B66FB4">
        <w:rPr>
          <w:rFonts w:eastAsia="Calibri"/>
        </w:rPr>
        <w:t xml:space="preserve"> and environmental interests</w:t>
      </w:r>
      <w:r w:rsidR="00BE5D86" w:rsidRPr="00B66FB4">
        <w:rPr>
          <w:rFonts w:eastAsia="Calibri"/>
        </w:rPr>
        <w:t xml:space="preserve"> for flood risk reduction projects consistent with CVFP</w:t>
      </w:r>
      <w:r w:rsidR="00210E85">
        <w:rPr>
          <w:rFonts w:eastAsia="Calibri"/>
        </w:rPr>
        <w:t>P</w:t>
      </w:r>
      <w:r w:rsidRPr="00B66FB4">
        <w:rPr>
          <w:rFonts w:eastAsia="Calibri"/>
        </w:rPr>
        <w:t>.</w:t>
      </w:r>
    </w:p>
    <w:p w:rsidR="005A14DC" w:rsidRDefault="005A14DC" w:rsidP="00D62D41">
      <w:pPr>
        <w:pStyle w:val="ListParagraph"/>
        <w:numPr>
          <w:ilvl w:val="0"/>
          <w:numId w:val="43"/>
        </w:numPr>
        <w:rPr>
          <w:rFonts w:eastAsia="Calibri"/>
        </w:rPr>
      </w:pPr>
      <w:r w:rsidRPr="00B66FB4">
        <w:rPr>
          <w:rFonts w:eastAsia="Calibri"/>
          <w:b/>
        </w:rPr>
        <w:t>$50 million</w:t>
      </w:r>
      <w:r w:rsidRPr="00B66FB4">
        <w:rPr>
          <w:rFonts w:eastAsia="Calibri"/>
        </w:rPr>
        <w:t xml:space="preserve"> to cover the State’s portion of the non-Federal cost share </w:t>
      </w:r>
      <w:r w:rsidR="007F7A64">
        <w:rPr>
          <w:rFonts w:eastAsia="Calibri"/>
        </w:rPr>
        <w:t xml:space="preserve">for </w:t>
      </w:r>
      <w:r w:rsidRPr="00B66FB4">
        <w:rPr>
          <w:rFonts w:eastAsia="Calibri"/>
        </w:rPr>
        <w:t>U.S. Army Corps of Engineers (USACE) projects in order to leverage appropriation of Federal funding that will enable use of the States credits amassed through recent implement</w:t>
      </w:r>
      <w:r>
        <w:rPr>
          <w:rFonts w:eastAsia="Calibri"/>
        </w:rPr>
        <w:t>at</w:t>
      </w:r>
      <w:r w:rsidRPr="00B66FB4">
        <w:rPr>
          <w:rFonts w:eastAsia="Calibri"/>
        </w:rPr>
        <w:t>ion of levee improvements in advance of USACE construction.</w:t>
      </w:r>
    </w:p>
    <w:p w:rsidR="005A14DC" w:rsidRDefault="005A14DC" w:rsidP="00D62D41">
      <w:pPr>
        <w:pStyle w:val="ListParagraph"/>
        <w:numPr>
          <w:ilvl w:val="0"/>
          <w:numId w:val="43"/>
        </w:numPr>
        <w:rPr>
          <w:rFonts w:eastAsia="Calibri"/>
        </w:rPr>
      </w:pPr>
      <w:r w:rsidRPr="00B66FB4">
        <w:rPr>
          <w:rFonts w:eastAsia="Calibri"/>
          <w:b/>
        </w:rPr>
        <w:t>$22.5 million</w:t>
      </w:r>
      <w:r w:rsidRPr="00B66FB4">
        <w:rPr>
          <w:rFonts w:eastAsia="Calibri"/>
        </w:rPr>
        <w:t xml:space="preserve"> for the State to meet their obligations under Water Code Section 8361for </w:t>
      </w:r>
      <w:r w:rsidR="00EA49DD" w:rsidRPr="00B66FB4">
        <w:rPr>
          <w:rFonts w:eastAsia="Calibri"/>
        </w:rPr>
        <w:t xml:space="preserve">OMRR&amp;R </w:t>
      </w:r>
      <w:r w:rsidRPr="00B66FB4">
        <w:rPr>
          <w:rFonts w:eastAsia="Calibri"/>
        </w:rPr>
        <w:t>of flood bypass channels (</w:t>
      </w:r>
      <w:proofErr w:type="spellStart"/>
      <w:r w:rsidRPr="00B66FB4">
        <w:rPr>
          <w:rFonts w:eastAsia="Calibri"/>
        </w:rPr>
        <w:t>ie</w:t>
      </w:r>
      <w:proofErr w:type="spellEnd"/>
      <w:r w:rsidRPr="00B66FB4">
        <w:rPr>
          <w:rFonts w:eastAsia="Calibri"/>
        </w:rPr>
        <w:t>: Sutter, Tisdale, Sacramento, and Yolo).</w:t>
      </w:r>
    </w:p>
    <w:p w:rsidR="00D62D41" w:rsidRPr="005A14DC" w:rsidRDefault="00D62D41" w:rsidP="005A14DC">
      <w:pPr>
        <w:pStyle w:val="ListParagraph"/>
        <w:numPr>
          <w:ilvl w:val="0"/>
          <w:numId w:val="43"/>
        </w:numPr>
        <w:rPr>
          <w:rFonts w:eastAsia="Calibri"/>
        </w:rPr>
      </w:pPr>
      <w:r w:rsidRPr="00B66FB4">
        <w:rPr>
          <w:rFonts w:eastAsia="Calibri"/>
          <w:b/>
        </w:rPr>
        <w:t>$5 million</w:t>
      </w:r>
      <w:r w:rsidRPr="00B66FB4">
        <w:rPr>
          <w:rFonts w:eastAsia="Calibri"/>
        </w:rPr>
        <w:t xml:space="preserve"> for system improvements to provide resilience from </w:t>
      </w:r>
      <w:r w:rsidR="00303CF0" w:rsidRPr="00B66FB4">
        <w:rPr>
          <w:rFonts w:eastAsia="Calibri"/>
        </w:rPr>
        <w:t>sea level rise</w:t>
      </w:r>
      <w:r w:rsidR="00046E76" w:rsidRPr="00B66FB4">
        <w:rPr>
          <w:rFonts w:eastAsia="Calibri"/>
        </w:rPr>
        <w:t xml:space="preserve"> and an increase in the frequency and severity of storm events (</w:t>
      </w:r>
      <w:proofErr w:type="spellStart"/>
      <w:r w:rsidR="00046E76" w:rsidRPr="00B66FB4">
        <w:rPr>
          <w:rFonts w:eastAsia="Calibri"/>
        </w:rPr>
        <w:t>ie</w:t>
      </w:r>
      <w:proofErr w:type="spellEnd"/>
      <w:r w:rsidR="00046E76" w:rsidRPr="00B66FB4">
        <w:rPr>
          <w:rFonts w:eastAsia="Calibri"/>
        </w:rPr>
        <w:t xml:space="preserve">: atmospheric rivers) associated with </w:t>
      </w:r>
      <w:r w:rsidRPr="00B66FB4">
        <w:rPr>
          <w:rFonts w:eastAsia="Calibri"/>
        </w:rPr>
        <w:t>the effects of climate change.</w:t>
      </w:r>
    </w:p>
    <w:p w:rsidR="00D62D41" w:rsidRPr="00B66FB4" w:rsidRDefault="002E1A62" w:rsidP="00D62D41">
      <w:pPr>
        <w:pStyle w:val="Heading1"/>
        <w:spacing w:line="240" w:lineRule="auto"/>
        <w:rPr>
          <w:rFonts w:ascii="Times New Roman" w:hAnsi="Times New Roman"/>
          <w:b/>
          <w:smallCap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Flood Control Background</w:t>
      </w:r>
    </w:p>
    <w:p w:rsidR="00A51160" w:rsidRPr="00BA2FAE" w:rsidRDefault="00A51160" w:rsidP="00A51160">
      <w:r w:rsidRPr="00B66FB4">
        <w:rPr>
          <w:rFonts w:eastAsia="Calibri"/>
        </w:rPr>
        <w:t xml:space="preserve">The statewide flood damages since 1955 </w:t>
      </w:r>
      <w:r w:rsidR="007F7A64">
        <w:rPr>
          <w:rFonts w:eastAsia="Calibri"/>
        </w:rPr>
        <w:t>totals</w:t>
      </w:r>
      <w:r w:rsidRPr="00B66FB4">
        <w:rPr>
          <w:rFonts w:eastAsia="Calibri"/>
        </w:rPr>
        <w:t xml:space="preserve"> approximately $19.3 billion</w:t>
      </w:r>
      <w:r w:rsidR="00BA2FAE">
        <w:rPr>
          <w:rStyle w:val="FootnoteReference"/>
          <w:rFonts w:eastAsia="Calibri"/>
        </w:rPr>
        <w:footnoteReference w:id="3"/>
      </w:r>
      <w:r w:rsidRPr="00B66FB4">
        <w:rPr>
          <w:rFonts w:eastAsia="Calibri"/>
        </w:rPr>
        <w:t xml:space="preserve"> with annual direct flood damages of about $338 million per year.</w:t>
      </w:r>
      <w:r w:rsidRPr="00B66FB4">
        <w:rPr>
          <w:rStyle w:val="FootnoteReference"/>
          <w:rFonts w:eastAsia="Calibri"/>
        </w:rPr>
        <w:footnoteReference w:id="4"/>
      </w:r>
      <w:r w:rsidRPr="00B66FB4">
        <w:rPr>
          <w:rFonts w:eastAsia="Calibri"/>
        </w:rPr>
        <w:t xml:space="preserve"> </w:t>
      </w:r>
      <w:r w:rsidRPr="00B66FB4">
        <w:t>A series of storms in </w:t>
      </w:r>
      <w:r w:rsidR="00EA2538" w:rsidRPr="00B66FB4">
        <w:t>early</w:t>
      </w:r>
      <w:r w:rsidRPr="00B66FB4">
        <w:t xml:space="preserve"> 2017 delivered heavy precipitation, second only to 1983 as California’s wettest year in recorded history</w:t>
      </w:r>
      <w:r w:rsidR="00BA2FAE">
        <w:t xml:space="preserve">. </w:t>
      </w:r>
      <w:r w:rsidR="00BA2FAE" w:rsidRPr="00B66FB4">
        <w:t xml:space="preserve">While the </w:t>
      </w:r>
      <w:r w:rsidR="00BA2FAE">
        <w:t xml:space="preserve">SPFC </w:t>
      </w:r>
      <w:r w:rsidR="00BA2FAE" w:rsidRPr="00B66FB4">
        <w:t xml:space="preserve">levee system performed well, especially where </w:t>
      </w:r>
      <w:r w:rsidR="00BA2FAE">
        <w:t xml:space="preserve">State and local </w:t>
      </w:r>
      <w:r w:rsidR="00BA2FAE" w:rsidRPr="00B66FB4">
        <w:t xml:space="preserve">investments had been made </w:t>
      </w:r>
      <w:r w:rsidR="00BA2FAE">
        <w:lastRenderedPageBreak/>
        <w:t>with</w:t>
      </w:r>
      <w:r w:rsidR="00BA2FAE" w:rsidRPr="00B66FB4">
        <w:t xml:space="preserve"> Prop 1E and 84 bond expenditures, there was substantial damage </w:t>
      </w:r>
      <w:r w:rsidR="00BA2FAE" w:rsidRPr="00B66FB4">
        <w:rPr>
          <w:rFonts w:eastAsia="Calibri"/>
        </w:rPr>
        <w:t>to State Plan of Flood Control levee system</w:t>
      </w:r>
      <w:r w:rsidR="00BA2FAE" w:rsidRPr="00B66FB4">
        <w:rPr>
          <w:rStyle w:val="FootnoteReference"/>
          <w:rFonts w:eastAsia="Calibri"/>
        </w:rPr>
        <w:footnoteReference w:id="5"/>
      </w:r>
      <w:r w:rsidR="00BA2FAE" w:rsidRPr="00B66FB4">
        <w:rPr>
          <w:rFonts w:eastAsia="Calibri"/>
        </w:rPr>
        <w:t xml:space="preserve"> estimated to cost about </w:t>
      </w:r>
      <w:r w:rsidR="00BA2FAE" w:rsidRPr="00AA1F23">
        <w:rPr>
          <w:rFonts w:eastAsia="Calibri"/>
          <w:highlight w:val="yellow"/>
        </w:rPr>
        <w:t>$800 million</w:t>
      </w:r>
      <w:r w:rsidR="00BA2FAE" w:rsidRPr="00B66FB4">
        <w:rPr>
          <w:rFonts w:eastAsia="Calibri"/>
        </w:rPr>
        <w:t xml:space="preserve"> to repair</w:t>
      </w:r>
      <w:r w:rsidR="00BA2FAE" w:rsidRPr="00B66FB4">
        <w:t>. In response, the Administration immediate</w:t>
      </w:r>
      <w:r w:rsidR="00BA2FAE">
        <w:t>l</w:t>
      </w:r>
      <w:r w:rsidR="00BA2FAE" w:rsidRPr="00B66FB4">
        <w:t>y redirected $80 million to repair the most critically damaged SPFC levees</w:t>
      </w:r>
      <w:r w:rsidR="00BA2FAE" w:rsidRPr="00B66FB4" w:rsidDel="00CD18CB">
        <w:t xml:space="preserve"> </w:t>
      </w:r>
      <w:r w:rsidR="00BA2FAE">
        <w:t xml:space="preserve">with General Funds </w:t>
      </w:r>
      <w:r w:rsidR="00BA2FAE" w:rsidRPr="00B66FB4">
        <w:t xml:space="preserve">that had previously been appropriated to address deferred maintenance. The USACE also spent an additional $14 million to repair damaged levees as part of the PL 84-99 program and will fund the repair of more sites in 2018. The remaining unrepaired damage is progressive in </w:t>
      </w:r>
      <w:proofErr w:type="gramStart"/>
      <w:r w:rsidR="00BA2FAE" w:rsidRPr="00B66FB4">
        <w:t>nature</w:t>
      </w:r>
      <w:r w:rsidR="00BA2FAE">
        <w:t>,</w:t>
      </w:r>
      <w:proofErr w:type="gramEnd"/>
      <w:r w:rsidR="00BA2FAE" w:rsidRPr="00B66FB4">
        <w:t xml:space="preserve"> therefore immediate repairs are needed to prevent more extensive and costlier future emergency repairs, and is the basis for the one-time appropriation request of </w:t>
      </w:r>
      <w:r w:rsidR="00BA2FAE" w:rsidRPr="005A14DC">
        <w:t>$400</w:t>
      </w:r>
      <w:r w:rsidR="00BA2FAE" w:rsidRPr="00B66FB4">
        <w:t xml:space="preserve"> million.</w:t>
      </w:r>
    </w:p>
    <w:p w:rsidR="00A51160" w:rsidRPr="00B66FB4" w:rsidRDefault="00A51160" w:rsidP="00A51160">
      <w:pPr>
        <w:rPr>
          <w:rFonts w:eastAsia="Calibri"/>
        </w:rPr>
      </w:pPr>
    </w:p>
    <w:p w:rsidR="00D62D41" w:rsidRPr="00B66FB4" w:rsidRDefault="00886451" w:rsidP="00D62D41">
      <w:r>
        <w:rPr>
          <w:rFonts w:eastAsia="Calibri"/>
        </w:rPr>
        <w:t>In addition, t</w:t>
      </w:r>
      <w:r w:rsidR="00D62D41" w:rsidRPr="00B66FB4">
        <w:rPr>
          <w:rFonts w:eastAsia="Calibri"/>
        </w:rPr>
        <w:t xml:space="preserve">he </w:t>
      </w:r>
      <w:r w:rsidR="00D62D41" w:rsidRPr="00B66FB4">
        <w:rPr>
          <w:rFonts w:eastAsia="Calibri"/>
          <w:i/>
        </w:rPr>
        <w:t>CVFPP 2017 Update</w:t>
      </w:r>
      <w:r w:rsidR="004440B2" w:rsidRPr="00B66FB4">
        <w:rPr>
          <w:rStyle w:val="FootnoteReference"/>
          <w:rFonts w:eastAsia="Calibri"/>
          <w:i/>
        </w:rPr>
        <w:footnoteReference w:id="6"/>
      </w:r>
      <w:r w:rsidR="00D62D41" w:rsidRPr="00B66FB4">
        <w:rPr>
          <w:rFonts w:eastAsia="Calibri"/>
        </w:rPr>
        <w:t xml:space="preserve"> identifies the need for a combined Federal, State, and local investment of $17 billion to $21 billion in </w:t>
      </w:r>
      <w:r w:rsidR="009D35B3">
        <w:rPr>
          <w:rFonts w:eastAsia="Calibri"/>
        </w:rPr>
        <w:t xml:space="preserve">routine maintenance, repairs and </w:t>
      </w:r>
      <w:r w:rsidR="00D62D41" w:rsidRPr="00B66FB4">
        <w:rPr>
          <w:rFonts w:eastAsia="Calibri"/>
        </w:rPr>
        <w:t>flood control system improvements over the next 30 years.</w:t>
      </w:r>
      <w:r w:rsidR="003B4858" w:rsidRPr="00B66FB4">
        <w:rPr>
          <w:rStyle w:val="FootnoteReference"/>
          <w:rFonts w:eastAsia="Calibri"/>
        </w:rPr>
        <w:footnoteReference w:id="7"/>
      </w:r>
      <w:r w:rsidR="00D62D41" w:rsidRPr="00B66FB4">
        <w:rPr>
          <w:rFonts w:eastAsia="Calibri"/>
        </w:rPr>
        <w:t xml:space="preserve"> However, the Governor’s </w:t>
      </w:r>
      <w:r w:rsidR="00D62D41" w:rsidRPr="00AA1F23">
        <w:rPr>
          <w:rFonts w:eastAsia="Calibri"/>
          <w:i/>
          <w:highlight w:val="yellow"/>
        </w:rPr>
        <w:t>2018 Five-Year Investment Plan</w:t>
      </w:r>
      <w:r w:rsidR="00D62D41" w:rsidRPr="00B66FB4">
        <w:rPr>
          <w:rFonts w:eastAsia="Calibri"/>
        </w:rPr>
        <w:t xml:space="preserve"> failed to designate funding for the Department of Water Resources (DWR) to implement the CVFPP. </w:t>
      </w:r>
      <w:r w:rsidR="00D62D41" w:rsidRPr="00B66FB4">
        <w:t xml:space="preserve">With over $80 billion in damageable property currently protected by </w:t>
      </w:r>
      <w:r w:rsidR="00F713AF" w:rsidRPr="00B66FB4">
        <w:t>State Plan of Flood Control (</w:t>
      </w:r>
      <w:r w:rsidR="00D62D41" w:rsidRPr="00B66FB4">
        <w:t>SPFC</w:t>
      </w:r>
      <w:r w:rsidR="00F713AF" w:rsidRPr="00B66FB4">
        <w:t>)</w:t>
      </w:r>
      <w:r w:rsidR="00D62D41" w:rsidRPr="00B66FB4">
        <w:t xml:space="preserve"> facilities, there is a significant risk to the state General Fun</w:t>
      </w:r>
      <w:r w:rsidR="00CF5146" w:rsidRPr="00B66FB4">
        <w:t>d</w:t>
      </w:r>
      <w:r w:rsidR="00D62D41" w:rsidRPr="00B66FB4">
        <w:t xml:space="preserve"> should the </w:t>
      </w:r>
      <w:r w:rsidR="00CE6B46">
        <w:t>S</w:t>
      </w:r>
      <w:r w:rsidR="00D62D41" w:rsidRPr="00B66FB4">
        <w:t>tate fail to properly operate, maintain, and correct deficiencies with the flood control system</w:t>
      </w:r>
      <w:r w:rsidR="00CF5146" w:rsidRPr="00B66FB4">
        <w:t xml:space="preserve"> that</w:t>
      </w:r>
      <w:r w:rsidR="00D62D41" w:rsidRPr="00B66FB4">
        <w:t xml:space="preserve"> protects numerous cities, towns and communities through</w:t>
      </w:r>
      <w:r w:rsidR="00AA1F23">
        <w:t>out California’s Central Valley</w:t>
      </w:r>
      <w:r w:rsidR="00D62D41" w:rsidRPr="00B66FB4">
        <w:t>.</w:t>
      </w:r>
    </w:p>
    <w:p w:rsidR="00CC3ECD" w:rsidRPr="00B66FB4" w:rsidRDefault="00CC3ECD" w:rsidP="00D62D41"/>
    <w:p w:rsidR="00D62D41" w:rsidRPr="00B66FB4" w:rsidRDefault="00D62D41" w:rsidP="00BA2FAE">
      <w:r w:rsidRPr="00B66FB4">
        <w:t>Recent Federal authorization of flood control projects</w:t>
      </w:r>
      <w:r w:rsidR="00CC3ECD" w:rsidRPr="00B66FB4">
        <w:t xml:space="preserve"> in the Central Valley</w:t>
      </w:r>
      <w:r w:rsidR="00025557" w:rsidRPr="00B66FB4">
        <w:rPr>
          <w:rStyle w:val="FootnoteReference"/>
        </w:rPr>
        <w:footnoteReference w:id="8"/>
      </w:r>
      <w:r w:rsidRPr="00B66FB4">
        <w:t xml:space="preserve"> create</w:t>
      </w:r>
      <w:r w:rsidR="009B5894">
        <w:t>s</w:t>
      </w:r>
      <w:r w:rsidRPr="00B66FB4">
        <w:t xml:space="preserve"> an opportunity to </w:t>
      </w:r>
      <w:r w:rsidR="00025557" w:rsidRPr="00B66FB4">
        <w:t xml:space="preserve">access </w:t>
      </w:r>
      <w:r w:rsidRPr="00B66FB4">
        <w:t xml:space="preserve">Federal Funding </w:t>
      </w:r>
      <w:r w:rsidR="00025557" w:rsidRPr="00B66FB4">
        <w:t xml:space="preserve">for 50 to 65 percent of the total project costs, </w:t>
      </w:r>
      <w:r w:rsidR="00386E12" w:rsidRPr="00B66FB4">
        <w:t xml:space="preserve">but </w:t>
      </w:r>
      <w:r w:rsidR="00025557" w:rsidRPr="00B66FB4">
        <w:t>it</w:t>
      </w:r>
      <w:r w:rsidR="00386E12" w:rsidRPr="00B66FB4">
        <w:t xml:space="preserve"> require</w:t>
      </w:r>
      <w:r w:rsidR="00025557" w:rsidRPr="00B66FB4">
        <w:t>s</w:t>
      </w:r>
      <w:r w:rsidR="00386E12" w:rsidRPr="00B66FB4">
        <w:t xml:space="preserve"> </w:t>
      </w:r>
      <w:r w:rsidRPr="00B66FB4">
        <w:t xml:space="preserve">State </w:t>
      </w:r>
      <w:r w:rsidR="00386E12" w:rsidRPr="00B66FB4">
        <w:t xml:space="preserve">and local </w:t>
      </w:r>
      <w:r w:rsidR="009B5894">
        <w:t xml:space="preserve">funding </w:t>
      </w:r>
      <w:r w:rsidR="00386E12" w:rsidRPr="00B66FB4">
        <w:t xml:space="preserve">to </w:t>
      </w:r>
      <w:r w:rsidRPr="00B66FB4">
        <w:t>leverage</w:t>
      </w:r>
      <w:r w:rsidR="00386E12" w:rsidRPr="00B66FB4">
        <w:t xml:space="preserve"> this</w:t>
      </w:r>
      <w:r w:rsidRPr="00B66FB4">
        <w:t xml:space="preserve"> significant Federal investment.</w:t>
      </w:r>
    </w:p>
    <w:p w:rsidR="00D62D41" w:rsidRPr="00B66FB4" w:rsidRDefault="00D62D41" w:rsidP="00BA2FAE"/>
    <w:p w:rsidR="00D62D41" w:rsidRPr="00B66FB4" w:rsidRDefault="005F63C6" w:rsidP="00FE27A5">
      <w:pPr>
        <w:pStyle w:val="Heading1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5F63C6">
        <w:rPr>
          <w:rFonts w:ascii="Times New Roman" w:hAnsi="Times New Roman"/>
          <w:b/>
          <w:sz w:val="24"/>
          <w:szCs w:val="24"/>
        </w:rPr>
        <w:t>Conclusion</w:t>
      </w:r>
    </w:p>
    <w:p w:rsidR="005A14DC" w:rsidRDefault="005A14DC">
      <w:r w:rsidRPr="00B66FB4">
        <w:t xml:space="preserve">The extensive damage to the Oroville spillway and SPFC levee system from </w:t>
      </w:r>
      <w:r w:rsidR="00225004">
        <w:t xml:space="preserve">the series of </w:t>
      </w:r>
      <w:r w:rsidRPr="00B66FB4">
        <w:t xml:space="preserve">storms in 2017 highlights the state’s flood risk and vulnerability. Moreover, scientists predict that the frequency and severity of storms will increase as the result of a changing climate, placing additional stress on the state’s existing flood </w:t>
      </w:r>
      <w:r w:rsidR="00636035">
        <w:t xml:space="preserve">protection </w:t>
      </w:r>
      <w:r w:rsidRPr="00B66FB4">
        <w:t xml:space="preserve">infrastructure. </w:t>
      </w:r>
      <w:r w:rsidR="00A034F6">
        <w:t xml:space="preserve">In order </w:t>
      </w:r>
      <w:r w:rsidR="00A034F6" w:rsidRPr="00B66FB4">
        <w:t>to better manage its flood risk</w:t>
      </w:r>
      <w:r w:rsidR="00A034F6">
        <w:t>, c</w:t>
      </w:r>
      <w:r w:rsidR="00636035">
        <w:t>ontinued State investments in flood control infrastructure</w:t>
      </w:r>
      <w:r w:rsidRPr="00B66FB4">
        <w:t xml:space="preserve"> remain</w:t>
      </w:r>
      <w:r w:rsidR="00A034F6">
        <w:t>s</w:t>
      </w:r>
      <w:r w:rsidRPr="00B66FB4">
        <w:t xml:space="preserve"> essential and ongoing.</w:t>
      </w:r>
    </w:p>
    <w:p w:rsidR="005A14DC" w:rsidRDefault="005A14DC"/>
    <w:p w:rsidR="00BE18AB" w:rsidRPr="005A14DC" w:rsidRDefault="00996A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3571240</wp:posOffset>
            </wp:positionV>
            <wp:extent cx="7867650" cy="352425"/>
            <wp:effectExtent l="19050" t="0" r="0" b="0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081" w:rsidRPr="00B66FB4">
        <w:t xml:space="preserve">The State </w:t>
      </w:r>
      <w:r w:rsidR="00D62D41" w:rsidRPr="00B66FB4">
        <w:t xml:space="preserve">has a fundamental responsibility in protecting lives and property, providing for a stable economy and improving the environment. </w:t>
      </w:r>
      <w:r w:rsidR="00F31CCF">
        <w:t xml:space="preserve">A one-time General Fund augmentation of $400 million is necessary to perform emergency repair of 2017 storm damage. </w:t>
      </w:r>
      <w:r w:rsidR="004F74FB" w:rsidRPr="00B66FB4">
        <w:t>To implement the 2017 CVFPP, a</w:t>
      </w:r>
      <w:r w:rsidR="00D62D41" w:rsidRPr="00B66FB4">
        <w:t xml:space="preserve">n annual State General Fund appropriation of $100 million is needed to </w:t>
      </w:r>
      <w:r w:rsidR="003F6081" w:rsidRPr="00B66FB4">
        <w:t>reduce the backlog of deferred maintenance of the SPFC levee and bypass system, to</w:t>
      </w:r>
      <w:r w:rsidR="00D62D41" w:rsidRPr="00B66FB4">
        <w:t xml:space="preserve"> </w:t>
      </w:r>
      <w:r w:rsidR="00636035">
        <w:t>support</w:t>
      </w:r>
      <w:r w:rsidR="00D62D41" w:rsidRPr="00B66FB4">
        <w:t xml:space="preserve"> the investments made to date through Prop 1E and 84 </w:t>
      </w:r>
      <w:r w:rsidR="003F6081" w:rsidRPr="00B66FB4">
        <w:t xml:space="preserve">bond funds, </w:t>
      </w:r>
      <w:r w:rsidR="00D62D41" w:rsidRPr="00B66FB4">
        <w:t xml:space="preserve">and to leverage </w:t>
      </w:r>
      <w:r w:rsidR="003F6081" w:rsidRPr="00B66FB4">
        <w:t xml:space="preserve">future </w:t>
      </w:r>
      <w:r w:rsidR="00D62D41" w:rsidRPr="00B66FB4">
        <w:t xml:space="preserve">Federal funding. </w:t>
      </w:r>
      <w:r w:rsidR="0099609A" w:rsidRPr="00B66FB4">
        <w:t>Local flood control agencies are ready to perform this levee work on behalf of the State</w:t>
      </w:r>
      <w:r w:rsidR="007B6E7C" w:rsidRPr="00B66FB4">
        <w:t xml:space="preserve"> and</w:t>
      </w:r>
      <w:r w:rsidR="0099609A" w:rsidRPr="00B66FB4">
        <w:t xml:space="preserve"> committed to providing local funding </w:t>
      </w:r>
      <w:r w:rsidR="00636035">
        <w:t>to supplement the State’s</w:t>
      </w:r>
      <w:r w:rsidR="0099609A" w:rsidRPr="00B66FB4">
        <w:t xml:space="preserve"> flood risk reduction </w:t>
      </w:r>
      <w:r w:rsidR="00636035">
        <w:t>investments</w:t>
      </w:r>
      <w:r w:rsidR="0099609A" w:rsidRPr="00B66FB4">
        <w:t>.</w:t>
      </w:r>
      <w:r w:rsidR="00B66FB4" w:rsidRPr="00B66FB4" w:rsidDel="00B66FB4">
        <w:t xml:space="preserve"> </w:t>
      </w:r>
    </w:p>
    <w:sectPr w:rsidR="00BE18AB" w:rsidRPr="005A14DC" w:rsidSect="00B06CA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76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CD" w:rsidRPr="00DD7775" w:rsidRDefault="00DA4ECD" w:rsidP="006E7CAC">
      <w:pPr>
        <w:rPr>
          <w:sz w:val="22"/>
          <w:szCs w:val="22"/>
        </w:rPr>
      </w:pPr>
      <w:r w:rsidRPr="00DD7775">
        <w:rPr>
          <w:sz w:val="22"/>
          <w:szCs w:val="22"/>
        </w:rPr>
        <w:separator/>
      </w:r>
    </w:p>
  </w:endnote>
  <w:endnote w:type="continuationSeparator" w:id="0">
    <w:p w:rsidR="00DA4ECD" w:rsidRPr="00DD7775" w:rsidRDefault="00DA4ECD" w:rsidP="006E7CAC">
      <w:pPr>
        <w:rPr>
          <w:sz w:val="22"/>
          <w:szCs w:val="22"/>
        </w:rPr>
      </w:pPr>
      <w:r w:rsidRPr="00DD7775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387407"/>
      <w:docPartObj>
        <w:docPartGallery w:val="Page Numbers (Bottom of Page)"/>
        <w:docPartUnique/>
      </w:docPartObj>
    </w:sdtPr>
    <w:sdtContent>
      <w:p w:rsidR="009D4419" w:rsidRDefault="009311BC">
        <w:pPr>
          <w:pStyle w:val="Footer"/>
          <w:jc w:val="center"/>
        </w:pPr>
        <w:fldSimple w:instr=" PAGE   \* MERGEFORMAT ">
          <w:r w:rsidR="00CE6B46">
            <w:rPr>
              <w:noProof/>
            </w:rPr>
            <w:t>2</w:t>
          </w:r>
        </w:fldSimple>
      </w:p>
    </w:sdtContent>
  </w:sdt>
  <w:p w:rsidR="009D4419" w:rsidRPr="00DD7775" w:rsidRDefault="009D4419" w:rsidP="00B14F51">
    <w:pPr>
      <w:pStyle w:val="Footer"/>
      <w:ind w:firstLine="72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19" w:rsidRPr="00DD7775" w:rsidRDefault="009311BC">
    <w:pPr>
      <w:pStyle w:val="Footer"/>
      <w:rPr>
        <w:sz w:val="22"/>
        <w:szCs w:val="2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5pt;margin-top:-3.8pt;width:606.75pt;height:27pt;z-index:251659264" fillcolor="#17365d [2415]" stroked="f">
          <v:textbox style="mso-next-textbox:#_x0000_s2049">
            <w:txbxContent>
              <w:p w:rsidR="009D4419" w:rsidRPr="00DD7775" w:rsidRDefault="009D4419" w:rsidP="00637079">
                <w:pPr>
                  <w:jc w:val="center"/>
                  <w:rPr>
                    <w:color w:val="FFFFFF" w:themeColor="background1"/>
                    <w:sz w:val="22"/>
                    <w:szCs w:val="22"/>
                  </w:rPr>
                </w:pPr>
                <w:r w:rsidRPr="00DD7775">
                  <w:rPr>
                    <w:color w:val="FFFFFF" w:themeColor="background1"/>
                    <w:sz w:val="22"/>
                    <w:szCs w:val="22"/>
                  </w:rPr>
                  <w:t xml:space="preserve">910 K STREET, SUITE 310, SACRAMENTO, CA </w:t>
                </w:r>
                <w:proofErr w:type="gramStart"/>
                <w:r w:rsidRPr="00DD7775">
                  <w:rPr>
                    <w:color w:val="FFFFFF" w:themeColor="background1"/>
                    <w:sz w:val="22"/>
                    <w:szCs w:val="22"/>
                  </w:rPr>
                  <w:t>95814  |</w:t>
                </w:r>
                <w:proofErr w:type="gramEnd"/>
                <w:r w:rsidRPr="00DD7775">
                  <w:rPr>
                    <w:color w:val="FFFFFF" w:themeColor="background1"/>
                    <w:sz w:val="22"/>
                    <w:szCs w:val="22"/>
                  </w:rPr>
                  <w:t xml:space="preserve">  TEL. (916) 446-0197  |  WWW.FLOODASSOCIATION.NET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CD" w:rsidRPr="00DD7775" w:rsidRDefault="00DA4ECD" w:rsidP="006E7CAC">
      <w:pPr>
        <w:rPr>
          <w:sz w:val="22"/>
          <w:szCs w:val="22"/>
        </w:rPr>
      </w:pPr>
      <w:r w:rsidRPr="00DD7775">
        <w:rPr>
          <w:sz w:val="22"/>
          <w:szCs w:val="22"/>
        </w:rPr>
        <w:separator/>
      </w:r>
    </w:p>
  </w:footnote>
  <w:footnote w:type="continuationSeparator" w:id="0">
    <w:p w:rsidR="00DA4ECD" w:rsidRPr="00DD7775" w:rsidRDefault="00DA4ECD" w:rsidP="006E7CAC">
      <w:pPr>
        <w:rPr>
          <w:sz w:val="22"/>
          <w:szCs w:val="22"/>
        </w:rPr>
      </w:pPr>
      <w:r w:rsidRPr="00DD7775">
        <w:rPr>
          <w:sz w:val="22"/>
          <w:szCs w:val="22"/>
        </w:rPr>
        <w:continuationSeparator/>
      </w:r>
    </w:p>
  </w:footnote>
  <w:footnote w:id="1">
    <w:p w:rsidR="00A04A17" w:rsidRDefault="00A04A17">
      <w:pPr>
        <w:pStyle w:val="FootnoteText"/>
      </w:pPr>
      <w:r>
        <w:rPr>
          <w:rStyle w:val="FootnoteReference"/>
        </w:rPr>
        <w:footnoteRef/>
      </w:r>
      <w:r>
        <w:t xml:space="preserve"> 2017 CVFPP</w:t>
      </w:r>
      <w:r w:rsidR="00BF0150">
        <w:t xml:space="preserve">, Table 4-3, identifies </w:t>
      </w:r>
      <w:r>
        <w:t>$1</w:t>
      </w:r>
      <w:r w:rsidR="00BF0150">
        <w:t>18-$144</w:t>
      </w:r>
      <w:r>
        <w:t xml:space="preserve"> million needed annually for </w:t>
      </w:r>
      <w:r w:rsidR="00BF0150">
        <w:t xml:space="preserve">routine </w:t>
      </w:r>
      <w:r>
        <w:t>maintenance</w:t>
      </w:r>
      <w:r w:rsidR="00BF0150">
        <w:t xml:space="preserve"> (OMRR&amp;R)</w:t>
      </w:r>
      <w:r>
        <w:t xml:space="preserve"> of SPFC levees and bypasses.</w:t>
      </w:r>
    </w:p>
  </w:footnote>
  <w:footnote w:id="2">
    <w:p w:rsidR="009D20DA" w:rsidRDefault="009D20DA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B656E2">
        <w:rPr>
          <w:i/>
        </w:rPr>
        <w:t>2017 Storm Damage Emergency Rehabilitation Program Summary</w:t>
      </w:r>
      <w:r>
        <w:t xml:space="preserve">,” DWR, October 27, 2017”: </w:t>
      </w:r>
      <w:r w:rsidR="0039353E">
        <w:t xml:space="preserve">DWR and USACE evaluations identified </w:t>
      </w:r>
      <w:r>
        <w:t>395 levee damage sites.</w:t>
      </w:r>
    </w:p>
  </w:footnote>
  <w:footnote w:id="3">
    <w:p w:rsidR="00BA2FAE" w:rsidRDefault="00BA2FAE">
      <w:pPr>
        <w:pStyle w:val="FootnoteText"/>
      </w:pPr>
      <w:r>
        <w:rPr>
          <w:rStyle w:val="FootnoteReference"/>
        </w:rPr>
        <w:footnoteRef/>
      </w:r>
      <w:r>
        <w:t xml:space="preserve"> Total cost of damages since 1955 is in 2015 dollars. </w:t>
      </w:r>
    </w:p>
  </w:footnote>
  <w:footnote w:id="4">
    <w:p w:rsidR="00A51160" w:rsidRDefault="00A51160" w:rsidP="00A51160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“</w:t>
      </w:r>
      <w:r w:rsidRPr="00737B9A">
        <w:rPr>
          <w:i/>
        </w:rPr>
        <w:t>Central Valley Flood Protection Plan Investment Strategy</w:t>
      </w:r>
      <w:r>
        <w:t>,” Draft Technical Memorandum, DWR, March 2017</w:t>
      </w:r>
      <w:r w:rsidR="003D3CEA">
        <w:t>.</w:t>
      </w:r>
    </w:p>
  </w:footnote>
  <w:footnote w:id="5">
    <w:p w:rsidR="00BA2FAE" w:rsidRDefault="00BA2FAE" w:rsidP="00BA2FAE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5F63C6">
        <w:rPr>
          <w:i/>
        </w:rPr>
        <w:t>2017 Storm Damage Emergency Rehabilitation Program Summary</w:t>
      </w:r>
      <w:r>
        <w:t>,” DWR, October 27, 2017.</w:t>
      </w:r>
    </w:p>
  </w:footnote>
  <w:footnote w:id="6">
    <w:p w:rsidR="004440B2" w:rsidRDefault="004440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D3CEA">
        <w:t>The CVFPP was a</w:t>
      </w:r>
      <w:r>
        <w:t>dopted by the Central Valley Flood Protection Board on August 25, 2017.</w:t>
      </w:r>
    </w:p>
  </w:footnote>
  <w:footnote w:id="7">
    <w:p w:rsidR="003B4858" w:rsidRDefault="003B4858">
      <w:pPr>
        <w:pStyle w:val="FootnoteText"/>
      </w:pPr>
      <w:r>
        <w:rPr>
          <w:rStyle w:val="FootnoteReference"/>
        </w:rPr>
        <w:footnoteRef/>
      </w:r>
      <w:r>
        <w:t xml:space="preserve"> 2017 CVFPP, Figure 4-9, identifies State’s portion to be 56% ($9.7-$11.9 billion).</w:t>
      </w:r>
    </w:p>
  </w:footnote>
  <w:footnote w:id="8">
    <w:p w:rsidR="00025557" w:rsidRDefault="00025557" w:rsidP="000255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2E4B">
        <w:t xml:space="preserve">The Central Valley Flood Protection Board has </w:t>
      </w:r>
      <w:r>
        <w:t xml:space="preserve">15 active studies and project </w:t>
      </w:r>
      <w:r w:rsidRPr="000D2E4B">
        <w:t>cost share agreements with the USACE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sz w:val="22"/>
        <w:szCs w:val="22"/>
      </w:rPr>
      <w:id w:val="8712095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D4419" w:rsidRPr="00DD7775" w:rsidRDefault="009D441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sz w:val="22"/>
            <w:szCs w:val="22"/>
          </w:rPr>
        </w:pPr>
        <w:r w:rsidRPr="00DD7775">
          <w:rPr>
            <w:color w:val="7F7F7F" w:themeColor="background1" w:themeShade="7F"/>
            <w:spacing w:val="60"/>
            <w:sz w:val="22"/>
            <w:szCs w:val="22"/>
          </w:rPr>
          <w:t>Page</w:t>
        </w:r>
        <w:r w:rsidRPr="00DD7775">
          <w:rPr>
            <w:sz w:val="22"/>
            <w:szCs w:val="22"/>
          </w:rPr>
          <w:t xml:space="preserve"> | </w:t>
        </w:r>
        <w:r w:rsidR="009311BC" w:rsidRPr="00DD7775">
          <w:rPr>
            <w:sz w:val="22"/>
            <w:szCs w:val="22"/>
          </w:rPr>
          <w:fldChar w:fldCharType="begin"/>
        </w:r>
        <w:r w:rsidRPr="00DD7775">
          <w:rPr>
            <w:sz w:val="22"/>
            <w:szCs w:val="22"/>
          </w:rPr>
          <w:instrText xml:space="preserve"> PAGE   \* MERGEFORMAT </w:instrText>
        </w:r>
        <w:r w:rsidR="009311BC" w:rsidRPr="00DD7775">
          <w:rPr>
            <w:sz w:val="22"/>
            <w:szCs w:val="22"/>
          </w:rPr>
          <w:fldChar w:fldCharType="separate"/>
        </w:r>
        <w:r w:rsidR="00CE6B46" w:rsidRPr="00CE6B46">
          <w:rPr>
            <w:b/>
            <w:noProof/>
            <w:sz w:val="22"/>
            <w:szCs w:val="22"/>
          </w:rPr>
          <w:t>2</w:t>
        </w:r>
        <w:r w:rsidR="009311BC" w:rsidRPr="00DD7775">
          <w:rPr>
            <w:sz w:val="22"/>
            <w:szCs w:val="22"/>
          </w:rPr>
          <w:fldChar w:fldCharType="end"/>
        </w:r>
      </w:p>
    </w:sdtContent>
  </w:sdt>
  <w:p w:rsidR="009D4419" w:rsidRPr="00DD7775" w:rsidRDefault="009D4419" w:rsidP="006E7CAC">
    <w:pPr>
      <w:pStyle w:val="Header"/>
      <w:tabs>
        <w:tab w:val="clear" w:pos="4680"/>
        <w:tab w:val="clear" w:pos="9360"/>
        <w:tab w:val="left" w:pos="8040"/>
      </w:tabs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19" w:rsidRPr="00DD7775" w:rsidRDefault="009D4419" w:rsidP="005C4511">
    <w:pPr>
      <w:pStyle w:val="Header"/>
      <w:ind w:left="-1260"/>
      <w:rPr>
        <w:sz w:val="22"/>
        <w:szCs w:val="22"/>
      </w:rPr>
    </w:pPr>
    <w:r w:rsidRPr="00DD7775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-1149350</wp:posOffset>
          </wp:positionV>
          <wp:extent cx="1619250" cy="1727835"/>
          <wp:effectExtent l="19050" t="0" r="0" b="0"/>
          <wp:wrapSquare wrapText="bothSides"/>
          <wp:docPr id="3" name="Picture 1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72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419" w:rsidRPr="00DD7775" w:rsidRDefault="009D4419" w:rsidP="005C4511">
    <w:pPr>
      <w:pStyle w:val="Header"/>
      <w:ind w:left="-1260"/>
      <w:rPr>
        <w:sz w:val="22"/>
        <w:szCs w:val="22"/>
      </w:rPr>
    </w:pPr>
  </w:p>
  <w:tbl>
    <w:tblPr>
      <w:tblStyle w:val="TableGrid"/>
      <w:tblW w:w="3874" w:type="dxa"/>
      <w:tblInd w:w="6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1F497D" w:themeColor="text2"/>
      </w:tblBorders>
      <w:tblLook w:val="04A0"/>
    </w:tblPr>
    <w:tblGrid>
      <w:gridCol w:w="1965"/>
      <w:gridCol w:w="1909"/>
    </w:tblGrid>
    <w:tr w:rsidR="009D4419" w:rsidRPr="00DD7775" w:rsidTr="005C4511">
      <w:trPr>
        <w:trHeight w:val="288"/>
      </w:trPr>
      <w:tc>
        <w:tcPr>
          <w:tcW w:w="1965" w:type="dxa"/>
        </w:tcPr>
        <w:p w:rsidR="009D4419" w:rsidRPr="00DD7775" w:rsidRDefault="009D4419" w:rsidP="005C4511">
          <w:pPr>
            <w:pStyle w:val="Header"/>
            <w:jc w:val="right"/>
            <w:rPr>
              <w:i/>
              <w:color w:val="339933"/>
              <w:sz w:val="17"/>
              <w:szCs w:val="18"/>
            </w:rPr>
          </w:pPr>
          <w:r w:rsidRPr="00DD7775">
            <w:rPr>
              <w:i/>
              <w:color w:val="339933"/>
              <w:sz w:val="17"/>
              <w:szCs w:val="18"/>
            </w:rPr>
            <w:t>Executive Director</w:t>
          </w:r>
        </w:p>
      </w:tc>
      <w:tc>
        <w:tcPr>
          <w:tcW w:w="1909" w:type="dxa"/>
        </w:tcPr>
        <w:p w:rsidR="009D4419" w:rsidRPr="00DD7775" w:rsidRDefault="009D4419" w:rsidP="005C4511">
          <w:pPr>
            <w:pStyle w:val="Header"/>
            <w:jc w:val="both"/>
            <w:rPr>
              <w:b/>
              <w:color w:val="27325F"/>
              <w:sz w:val="17"/>
              <w:szCs w:val="18"/>
            </w:rPr>
          </w:pPr>
          <w:r w:rsidRPr="00DD7775">
            <w:rPr>
              <w:b/>
              <w:color w:val="27325F"/>
              <w:sz w:val="17"/>
              <w:szCs w:val="18"/>
            </w:rPr>
            <w:t>MELINDA TERRY</w:t>
          </w:r>
        </w:p>
      </w:tc>
    </w:tr>
    <w:tr w:rsidR="009D4419" w:rsidRPr="00DD7775" w:rsidTr="005C4511">
      <w:trPr>
        <w:trHeight w:val="288"/>
      </w:trPr>
      <w:tc>
        <w:tcPr>
          <w:tcW w:w="1965" w:type="dxa"/>
        </w:tcPr>
        <w:p w:rsidR="009D4419" w:rsidRPr="00DD7775" w:rsidRDefault="009D4419" w:rsidP="005C4511">
          <w:pPr>
            <w:pStyle w:val="Header"/>
            <w:jc w:val="right"/>
            <w:rPr>
              <w:i/>
              <w:color w:val="339933"/>
              <w:sz w:val="17"/>
              <w:szCs w:val="18"/>
            </w:rPr>
          </w:pPr>
          <w:r w:rsidRPr="00DD7775">
            <w:rPr>
              <w:i/>
              <w:color w:val="339933"/>
              <w:sz w:val="17"/>
              <w:szCs w:val="18"/>
            </w:rPr>
            <w:t>President</w:t>
          </w:r>
        </w:p>
      </w:tc>
      <w:tc>
        <w:tcPr>
          <w:tcW w:w="1909" w:type="dxa"/>
        </w:tcPr>
        <w:p w:rsidR="009D4419" w:rsidRPr="00DD7775" w:rsidRDefault="009D4419" w:rsidP="005C4511">
          <w:pPr>
            <w:pStyle w:val="Header"/>
            <w:jc w:val="both"/>
            <w:rPr>
              <w:b/>
              <w:color w:val="27325F"/>
              <w:sz w:val="17"/>
              <w:szCs w:val="18"/>
            </w:rPr>
          </w:pPr>
          <w:r w:rsidRPr="00DD7775">
            <w:rPr>
              <w:b/>
              <w:color w:val="27325F"/>
              <w:sz w:val="17"/>
              <w:szCs w:val="18"/>
            </w:rPr>
            <w:t>MIKE HARDESTY</w:t>
          </w:r>
        </w:p>
      </w:tc>
    </w:tr>
    <w:tr w:rsidR="009D4419" w:rsidRPr="00DD7775" w:rsidTr="005C4511">
      <w:trPr>
        <w:trHeight w:val="288"/>
      </w:trPr>
      <w:tc>
        <w:tcPr>
          <w:tcW w:w="1965" w:type="dxa"/>
        </w:tcPr>
        <w:p w:rsidR="009D4419" w:rsidRPr="00DD7775" w:rsidRDefault="009D4419" w:rsidP="005C4511">
          <w:pPr>
            <w:pStyle w:val="Header"/>
            <w:jc w:val="right"/>
            <w:rPr>
              <w:i/>
              <w:color w:val="339933"/>
              <w:sz w:val="17"/>
              <w:szCs w:val="18"/>
            </w:rPr>
          </w:pPr>
          <w:r w:rsidRPr="00DD7775">
            <w:rPr>
              <w:i/>
              <w:color w:val="339933"/>
              <w:sz w:val="17"/>
              <w:szCs w:val="18"/>
            </w:rPr>
            <w:t>Vice President</w:t>
          </w:r>
        </w:p>
      </w:tc>
      <w:tc>
        <w:tcPr>
          <w:tcW w:w="1909" w:type="dxa"/>
        </w:tcPr>
        <w:p w:rsidR="009D4419" w:rsidRPr="00DD7775" w:rsidRDefault="009D4419" w:rsidP="005C4511">
          <w:pPr>
            <w:pStyle w:val="Header"/>
            <w:jc w:val="both"/>
            <w:rPr>
              <w:b/>
              <w:color w:val="27325F"/>
              <w:sz w:val="17"/>
              <w:szCs w:val="18"/>
            </w:rPr>
          </w:pPr>
          <w:r w:rsidRPr="00DD7775">
            <w:rPr>
              <w:b/>
              <w:color w:val="27325F"/>
              <w:sz w:val="17"/>
              <w:szCs w:val="18"/>
            </w:rPr>
            <w:t>LEWIS BAIR</w:t>
          </w:r>
        </w:p>
      </w:tc>
    </w:tr>
    <w:tr w:rsidR="009D4419" w:rsidRPr="00DD7775" w:rsidTr="005C4511">
      <w:trPr>
        <w:trHeight w:val="288"/>
      </w:trPr>
      <w:tc>
        <w:tcPr>
          <w:tcW w:w="1965" w:type="dxa"/>
        </w:tcPr>
        <w:p w:rsidR="009D4419" w:rsidRPr="00DD7775" w:rsidRDefault="009D4419" w:rsidP="003357F4">
          <w:pPr>
            <w:pStyle w:val="Header"/>
            <w:jc w:val="right"/>
            <w:rPr>
              <w:i/>
              <w:color w:val="339933"/>
              <w:sz w:val="17"/>
              <w:szCs w:val="18"/>
            </w:rPr>
          </w:pPr>
          <w:r w:rsidRPr="00DD7775">
            <w:rPr>
              <w:i/>
              <w:color w:val="339933"/>
              <w:sz w:val="17"/>
              <w:szCs w:val="18"/>
            </w:rPr>
            <w:t xml:space="preserve">Treasurer </w:t>
          </w:r>
        </w:p>
      </w:tc>
      <w:tc>
        <w:tcPr>
          <w:tcW w:w="1909" w:type="dxa"/>
        </w:tcPr>
        <w:p w:rsidR="009D4419" w:rsidRPr="00DD7775" w:rsidRDefault="009D4419" w:rsidP="005C4511">
          <w:pPr>
            <w:pStyle w:val="Header"/>
            <w:jc w:val="both"/>
            <w:rPr>
              <w:b/>
              <w:color w:val="27325F"/>
              <w:sz w:val="17"/>
              <w:szCs w:val="18"/>
            </w:rPr>
          </w:pPr>
          <w:r w:rsidRPr="00DD7775">
            <w:rPr>
              <w:b/>
              <w:color w:val="27325F"/>
              <w:sz w:val="17"/>
              <w:szCs w:val="18"/>
            </w:rPr>
            <w:t>PETE GHELFI</w:t>
          </w:r>
        </w:p>
      </w:tc>
    </w:tr>
  </w:tbl>
  <w:p w:rsidR="009D4419" w:rsidRPr="00DD7775" w:rsidRDefault="009D4419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6B0"/>
    <w:multiLevelType w:val="hybridMultilevel"/>
    <w:tmpl w:val="BE94A80A"/>
    <w:lvl w:ilvl="0" w:tplc="87A681DE">
      <w:start w:val="1"/>
      <w:numFmt w:val="upperLetter"/>
      <w:lvlText w:val="%1."/>
      <w:lvlJc w:val="left"/>
      <w:pPr>
        <w:ind w:left="4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065B7385"/>
    <w:multiLevelType w:val="hybridMultilevel"/>
    <w:tmpl w:val="9F68EE2A"/>
    <w:lvl w:ilvl="0" w:tplc="3BF6B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A7AFC"/>
    <w:multiLevelType w:val="hybridMultilevel"/>
    <w:tmpl w:val="B98E2180"/>
    <w:lvl w:ilvl="0" w:tplc="A00EB752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D40AC5"/>
    <w:multiLevelType w:val="hybridMultilevel"/>
    <w:tmpl w:val="08DC5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C161B"/>
    <w:multiLevelType w:val="hybridMultilevel"/>
    <w:tmpl w:val="67280080"/>
    <w:lvl w:ilvl="0" w:tplc="4B22DEFE">
      <w:start w:val="1"/>
      <w:numFmt w:val="upp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9DB4CE0"/>
    <w:multiLevelType w:val="hybridMultilevel"/>
    <w:tmpl w:val="BC4656F2"/>
    <w:lvl w:ilvl="0" w:tplc="D3A2A6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681"/>
    <w:multiLevelType w:val="hybridMultilevel"/>
    <w:tmpl w:val="7CEABAD4"/>
    <w:lvl w:ilvl="0" w:tplc="18D6198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F2E1AA3"/>
    <w:multiLevelType w:val="hybridMultilevel"/>
    <w:tmpl w:val="3D682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26001"/>
    <w:multiLevelType w:val="hybridMultilevel"/>
    <w:tmpl w:val="909049CC"/>
    <w:lvl w:ilvl="0" w:tplc="32DA4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F31E53"/>
    <w:multiLevelType w:val="hybridMultilevel"/>
    <w:tmpl w:val="D1380C98"/>
    <w:lvl w:ilvl="0" w:tplc="6230579E">
      <w:start w:val="1"/>
      <w:numFmt w:val="upperLetter"/>
      <w:lvlText w:val="%1."/>
      <w:lvlJc w:val="left"/>
      <w:pPr>
        <w:ind w:left="16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17E73517"/>
    <w:multiLevelType w:val="hybridMultilevel"/>
    <w:tmpl w:val="2FA2AC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726E8"/>
    <w:multiLevelType w:val="hybridMultilevel"/>
    <w:tmpl w:val="AF328040"/>
    <w:lvl w:ilvl="0" w:tplc="D354C074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1B6479EF"/>
    <w:multiLevelType w:val="hybridMultilevel"/>
    <w:tmpl w:val="91341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6360D"/>
    <w:multiLevelType w:val="hybridMultilevel"/>
    <w:tmpl w:val="251CE530"/>
    <w:lvl w:ilvl="0" w:tplc="24482B1C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255C0032"/>
    <w:multiLevelType w:val="hybridMultilevel"/>
    <w:tmpl w:val="B6CADBAA"/>
    <w:lvl w:ilvl="0" w:tplc="F266F76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78A1422"/>
    <w:multiLevelType w:val="hybridMultilevel"/>
    <w:tmpl w:val="527610F6"/>
    <w:lvl w:ilvl="0" w:tplc="572A5E54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9BD6120"/>
    <w:multiLevelType w:val="hybridMultilevel"/>
    <w:tmpl w:val="55005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3398C"/>
    <w:multiLevelType w:val="hybridMultilevel"/>
    <w:tmpl w:val="508436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9632D2"/>
    <w:multiLevelType w:val="hybridMultilevel"/>
    <w:tmpl w:val="ABE27026"/>
    <w:lvl w:ilvl="0" w:tplc="533211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92DDF"/>
    <w:multiLevelType w:val="hybridMultilevel"/>
    <w:tmpl w:val="2328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64D3F"/>
    <w:multiLevelType w:val="hybridMultilevel"/>
    <w:tmpl w:val="C71646F2"/>
    <w:lvl w:ilvl="0" w:tplc="A6A20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A1D55"/>
    <w:multiLevelType w:val="hybridMultilevel"/>
    <w:tmpl w:val="0406A4E4"/>
    <w:lvl w:ilvl="0" w:tplc="432A2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776C"/>
    <w:multiLevelType w:val="hybridMultilevel"/>
    <w:tmpl w:val="AF328040"/>
    <w:lvl w:ilvl="0" w:tplc="D354C074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3C536F6F"/>
    <w:multiLevelType w:val="hybridMultilevel"/>
    <w:tmpl w:val="916C7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645A5"/>
    <w:multiLevelType w:val="hybridMultilevel"/>
    <w:tmpl w:val="62BAF316"/>
    <w:lvl w:ilvl="0" w:tplc="4C98D7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1A66DC"/>
    <w:multiLevelType w:val="hybridMultilevel"/>
    <w:tmpl w:val="AAFA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E45CE"/>
    <w:multiLevelType w:val="hybridMultilevel"/>
    <w:tmpl w:val="48D45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1167E"/>
    <w:multiLevelType w:val="hybridMultilevel"/>
    <w:tmpl w:val="1C92701E"/>
    <w:lvl w:ilvl="0" w:tplc="AD88B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992872"/>
    <w:multiLevelType w:val="hybridMultilevel"/>
    <w:tmpl w:val="E5CAFA56"/>
    <w:lvl w:ilvl="0" w:tplc="48623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D72C23"/>
    <w:multiLevelType w:val="hybridMultilevel"/>
    <w:tmpl w:val="0CEE564C"/>
    <w:lvl w:ilvl="0" w:tplc="29842202">
      <w:start w:val="1"/>
      <w:numFmt w:val="upp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EA65519"/>
    <w:multiLevelType w:val="hybridMultilevel"/>
    <w:tmpl w:val="639A941A"/>
    <w:lvl w:ilvl="0" w:tplc="E3582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148F8"/>
    <w:multiLevelType w:val="hybridMultilevel"/>
    <w:tmpl w:val="1BAE24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C762D4"/>
    <w:multiLevelType w:val="hybridMultilevel"/>
    <w:tmpl w:val="F7D0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C789D"/>
    <w:multiLevelType w:val="hybridMultilevel"/>
    <w:tmpl w:val="81FC2802"/>
    <w:lvl w:ilvl="0" w:tplc="60B67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611AEC"/>
    <w:multiLevelType w:val="hybridMultilevel"/>
    <w:tmpl w:val="76BA5C08"/>
    <w:lvl w:ilvl="0" w:tplc="060437F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C803947"/>
    <w:multiLevelType w:val="hybridMultilevel"/>
    <w:tmpl w:val="5088D76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D5D55FA"/>
    <w:multiLevelType w:val="hybridMultilevel"/>
    <w:tmpl w:val="4C5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779A1"/>
    <w:multiLevelType w:val="hybridMultilevel"/>
    <w:tmpl w:val="15D01648"/>
    <w:lvl w:ilvl="0" w:tplc="BBB0E51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30DA3"/>
    <w:multiLevelType w:val="hybridMultilevel"/>
    <w:tmpl w:val="090C57DC"/>
    <w:lvl w:ilvl="0" w:tplc="62C0EFEE">
      <w:start w:val="1"/>
      <w:numFmt w:val="upperLetter"/>
      <w:lvlText w:val="%1."/>
      <w:lvlJc w:val="left"/>
      <w:pPr>
        <w:ind w:left="79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B484C66"/>
    <w:multiLevelType w:val="hybridMultilevel"/>
    <w:tmpl w:val="645A5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A6273"/>
    <w:multiLevelType w:val="hybridMultilevel"/>
    <w:tmpl w:val="70AE4794"/>
    <w:lvl w:ilvl="0" w:tplc="654EE532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E920A83"/>
    <w:multiLevelType w:val="hybridMultilevel"/>
    <w:tmpl w:val="1B6C8800"/>
    <w:lvl w:ilvl="0" w:tplc="125A8B64">
      <w:start w:val="1"/>
      <w:numFmt w:val="lowerRoman"/>
      <w:lvlText w:val="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4"/>
  </w:num>
  <w:num w:numId="7">
    <w:abstractNumId w:val="6"/>
  </w:num>
  <w:num w:numId="8">
    <w:abstractNumId w:val="29"/>
  </w:num>
  <w:num w:numId="9">
    <w:abstractNumId w:val="22"/>
  </w:num>
  <w:num w:numId="10">
    <w:abstractNumId w:val="34"/>
  </w:num>
  <w:num w:numId="11">
    <w:abstractNumId w:val="4"/>
  </w:num>
  <w:num w:numId="12">
    <w:abstractNumId w:val="41"/>
  </w:num>
  <w:num w:numId="13">
    <w:abstractNumId w:val="15"/>
  </w:num>
  <w:num w:numId="14">
    <w:abstractNumId w:val="38"/>
  </w:num>
  <w:num w:numId="15">
    <w:abstractNumId w:val="13"/>
  </w:num>
  <w:num w:numId="16">
    <w:abstractNumId w:val="11"/>
  </w:num>
  <w:num w:numId="17">
    <w:abstractNumId w:val="40"/>
  </w:num>
  <w:num w:numId="18">
    <w:abstractNumId w:val="18"/>
  </w:num>
  <w:num w:numId="19">
    <w:abstractNumId w:val="39"/>
  </w:num>
  <w:num w:numId="20">
    <w:abstractNumId w:val="5"/>
  </w:num>
  <w:num w:numId="21">
    <w:abstractNumId w:val="32"/>
  </w:num>
  <w:num w:numId="22">
    <w:abstractNumId w:val="24"/>
  </w:num>
  <w:num w:numId="23">
    <w:abstractNumId w:val="20"/>
  </w:num>
  <w:num w:numId="24">
    <w:abstractNumId w:val="36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16"/>
  </w:num>
  <w:num w:numId="30">
    <w:abstractNumId w:val="26"/>
  </w:num>
  <w:num w:numId="31">
    <w:abstractNumId w:val="23"/>
  </w:num>
  <w:num w:numId="32">
    <w:abstractNumId w:val="0"/>
  </w:num>
  <w:num w:numId="33">
    <w:abstractNumId w:val="17"/>
  </w:num>
  <w:num w:numId="34">
    <w:abstractNumId w:val="33"/>
  </w:num>
  <w:num w:numId="35">
    <w:abstractNumId w:val="27"/>
  </w:num>
  <w:num w:numId="36">
    <w:abstractNumId w:val="1"/>
  </w:num>
  <w:num w:numId="37">
    <w:abstractNumId w:val="2"/>
  </w:num>
  <w:num w:numId="38">
    <w:abstractNumId w:val="8"/>
  </w:num>
  <w:num w:numId="39">
    <w:abstractNumId w:val="35"/>
  </w:num>
  <w:num w:numId="40">
    <w:abstractNumId w:val="31"/>
  </w:num>
  <w:num w:numId="41">
    <w:abstractNumId w:val="28"/>
  </w:num>
  <w:num w:numId="42">
    <w:abstractNumId w:val="1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7CAC"/>
    <w:rsid w:val="0000676D"/>
    <w:rsid w:val="00023926"/>
    <w:rsid w:val="00025557"/>
    <w:rsid w:val="000453F1"/>
    <w:rsid w:val="00046E76"/>
    <w:rsid w:val="00071D2B"/>
    <w:rsid w:val="000C7FAA"/>
    <w:rsid w:val="000E7E43"/>
    <w:rsid w:val="000F6503"/>
    <w:rsid w:val="00160E90"/>
    <w:rsid w:val="00164CB6"/>
    <w:rsid w:val="00165671"/>
    <w:rsid w:val="001725C6"/>
    <w:rsid w:val="00193FA4"/>
    <w:rsid w:val="001B4B84"/>
    <w:rsid w:val="001C28D0"/>
    <w:rsid w:val="001D44A1"/>
    <w:rsid w:val="001D4735"/>
    <w:rsid w:val="001E524C"/>
    <w:rsid w:val="001E5596"/>
    <w:rsid w:val="00210E85"/>
    <w:rsid w:val="00215ED4"/>
    <w:rsid w:val="0022174D"/>
    <w:rsid w:val="00225004"/>
    <w:rsid w:val="002413F1"/>
    <w:rsid w:val="002560A1"/>
    <w:rsid w:val="00270C81"/>
    <w:rsid w:val="00277B97"/>
    <w:rsid w:val="00281DFC"/>
    <w:rsid w:val="002C2205"/>
    <w:rsid w:val="002D4AE5"/>
    <w:rsid w:val="002E1A62"/>
    <w:rsid w:val="002E3BDA"/>
    <w:rsid w:val="002E5155"/>
    <w:rsid w:val="002E6711"/>
    <w:rsid w:val="0030022E"/>
    <w:rsid w:val="00302C71"/>
    <w:rsid w:val="00303CF0"/>
    <w:rsid w:val="00324C63"/>
    <w:rsid w:val="003357F4"/>
    <w:rsid w:val="00345852"/>
    <w:rsid w:val="003829A8"/>
    <w:rsid w:val="00383499"/>
    <w:rsid w:val="00386E12"/>
    <w:rsid w:val="0039353E"/>
    <w:rsid w:val="003B4858"/>
    <w:rsid w:val="003B4FCE"/>
    <w:rsid w:val="003C27B9"/>
    <w:rsid w:val="003D3CEA"/>
    <w:rsid w:val="003F6081"/>
    <w:rsid w:val="00423F66"/>
    <w:rsid w:val="004423FA"/>
    <w:rsid w:val="004440B2"/>
    <w:rsid w:val="004737F1"/>
    <w:rsid w:val="00480F6C"/>
    <w:rsid w:val="004A1C8C"/>
    <w:rsid w:val="004C1292"/>
    <w:rsid w:val="004E747E"/>
    <w:rsid w:val="004F74FB"/>
    <w:rsid w:val="00500182"/>
    <w:rsid w:val="00503088"/>
    <w:rsid w:val="00506074"/>
    <w:rsid w:val="0052398A"/>
    <w:rsid w:val="00525E35"/>
    <w:rsid w:val="00582A88"/>
    <w:rsid w:val="005A14DC"/>
    <w:rsid w:val="005A61C6"/>
    <w:rsid w:val="005C1C43"/>
    <w:rsid w:val="005C4511"/>
    <w:rsid w:val="005C4D47"/>
    <w:rsid w:val="005F50D9"/>
    <w:rsid w:val="005F63C6"/>
    <w:rsid w:val="00613FE1"/>
    <w:rsid w:val="00621D8E"/>
    <w:rsid w:val="00624261"/>
    <w:rsid w:val="00626E57"/>
    <w:rsid w:val="0063138A"/>
    <w:rsid w:val="00634920"/>
    <w:rsid w:val="00636035"/>
    <w:rsid w:val="00637079"/>
    <w:rsid w:val="00685688"/>
    <w:rsid w:val="00690FE1"/>
    <w:rsid w:val="006C7C3F"/>
    <w:rsid w:val="006D3712"/>
    <w:rsid w:val="006E7CAC"/>
    <w:rsid w:val="007122D8"/>
    <w:rsid w:val="007248A6"/>
    <w:rsid w:val="00743B8B"/>
    <w:rsid w:val="007468E2"/>
    <w:rsid w:val="00766771"/>
    <w:rsid w:val="00783F7A"/>
    <w:rsid w:val="007B5397"/>
    <w:rsid w:val="007B6307"/>
    <w:rsid w:val="007B6E7C"/>
    <w:rsid w:val="007C2897"/>
    <w:rsid w:val="007D4E97"/>
    <w:rsid w:val="007D51B9"/>
    <w:rsid w:val="007F3787"/>
    <w:rsid w:val="007F7A64"/>
    <w:rsid w:val="008557B8"/>
    <w:rsid w:val="008834D1"/>
    <w:rsid w:val="00886451"/>
    <w:rsid w:val="008B15D7"/>
    <w:rsid w:val="008B799A"/>
    <w:rsid w:val="008D4E64"/>
    <w:rsid w:val="008D7573"/>
    <w:rsid w:val="009311BC"/>
    <w:rsid w:val="00937790"/>
    <w:rsid w:val="00940150"/>
    <w:rsid w:val="0094793D"/>
    <w:rsid w:val="00950613"/>
    <w:rsid w:val="00955A29"/>
    <w:rsid w:val="00965C16"/>
    <w:rsid w:val="00976190"/>
    <w:rsid w:val="00985EEC"/>
    <w:rsid w:val="00986067"/>
    <w:rsid w:val="0099609A"/>
    <w:rsid w:val="00996A80"/>
    <w:rsid w:val="009B5894"/>
    <w:rsid w:val="009B69C8"/>
    <w:rsid w:val="009C2661"/>
    <w:rsid w:val="009D20DA"/>
    <w:rsid w:val="009D35B3"/>
    <w:rsid w:val="009D4419"/>
    <w:rsid w:val="009D685B"/>
    <w:rsid w:val="009F77FE"/>
    <w:rsid w:val="00A034F6"/>
    <w:rsid w:val="00A04A17"/>
    <w:rsid w:val="00A27029"/>
    <w:rsid w:val="00A40D5A"/>
    <w:rsid w:val="00A51160"/>
    <w:rsid w:val="00A65D36"/>
    <w:rsid w:val="00A84286"/>
    <w:rsid w:val="00AA000A"/>
    <w:rsid w:val="00AA08F5"/>
    <w:rsid w:val="00AA0AF0"/>
    <w:rsid w:val="00AA1F23"/>
    <w:rsid w:val="00AC6A29"/>
    <w:rsid w:val="00AF58AF"/>
    <w:rsid w:val="00B06191"/>
    <w:rsid w:val="00B06CA6"/>
    <w:rsid w:val="00B14F51"/>
    <w:rsid w:val="00B1720C"/>
    <w:rsid w:val="00B31DAB"/>
    <w:rsid w:val="00B44398"/>
    <w:rsid w:val="00B45FB7"/>
    <w:rsid w:val="00B50934"/>
    <w:rsid w:val="00B656E2"/>
    <w:rsid w:val="00B66FB4"/>
    <w:rsid w:val="00B716DF"/>
    <w:rsid w:val="00B978E7"/>
    <w:rsid w:val="00BA1580"/>
    <w:rsid w:val="00BA2FAE"/>
    <w:rsid w:val="00BB7990"/>
    <w:rsid w:val="00BC0C1A"/>
    <w:rsid w:val="00BC1C16"/>
    <w:rsid w:val="00BC4DB1"/>
    <w:rsid w:val="00BE18AB"/>
    <w:rsid w:val="00BE5D86"/>
    <w:rsid w:val="00BF0150"/>
    <w:rsid w:val="00C13967"/>
    <w:rsid w:val="00C21E49"/>
    <w:rsid w:val="00C47E6B"/>
    <w:rsid w:val="00C540E8"/>
    <w:rsid w:val="00C54FCA"/>
    <w:rsid w:val="00C6260E"/>
    <w:rsid w:val="00C6422B"/>
    <w:rsid w:val="00C921DE"/>
    <w:rsid w:val="00CA653E"/>
    <w:rsid w:val="00CC048A"/>
    <w:rsid w:val="00CC3ECD"/>
    <w:rsid w:val="00CD0BE3"/>
    <w:rsid w:val="00CD18CB"/>
    <w:rsid w:val="00CE5BA8"/>
    <w:rsid w:val="00CE6B46"/>
    <w:rsid w:val="00CF5146"/>
    <w:rsid w:val="00D00C8C"/>
    <w:rsid w:val="00D23BC3"/>
    <w:rsid w:val="00D319B3"/>
    <w:rsid w:val="00D43084"/>
    <w:rsid w:val="00D5535E"/>
    <w:rsid w:val="00D62D41"/>
    <w:rsid w:val="00D65EA6"/>
    <w:rsid w:val="00D76DE8"/>
    <w:rsid w:val="00DA4ECD"/>
    <w:rsid w:val="00DB01EC"/>
    <w:rsid w:val="00DC0659"/>
    <w:rsid w:val="00DC5751"/>
    <w:rsid w:val="00DD7775"/>
    <w:rsid w:val="00E05B8D"/>
    <w:rsid w:val="00E1042F"/>
    <w:rsid w:val="00E800C3"/>
    <w:rsid w:val="00EA2538"/>
    <w:rsid w:val="00EA42DA"/>
    <w:rsid w:val="00EA49DD"/>
    <w:rsid w:val="00EB3FD5"/>
    <w:rsid w:val="00ED0378"/>
    <w:rsid w:val="00EE2593"/>
    <w:rsid w:val="00F005FE"/>
    <w:rsid w:val="00F240C4"/>
    <w:rsid w:val="00F31CCF"/>
    <w:rsid w:val="00F47294"/>
    <w:rsid w:val="00F5529C"/>
    <w:rsid w:val="00F713AF"/>
    <w:rsid w:val="00F91BCC"/>
    <w:rsid w:val="00FE27A5"/>
    <w:rsid w:val="00FF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62D41"/>
    <w:pPr>
      <w:keepNext/>
      <w:keepLines/>
      <w:spacing w:before="240" w:after="120" w:line="259" w:lineRule="auto"/>
      <w:outlineLvl w:val="0"/>
    </w:pPr>
    <w:rPr>
      <w:rFonts w:ascii="Georgia" w:hAnsi="Georgia"/>
      <w:smallCap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AC"/>
  </w:style>
  <w:style w:type="paragraph" w:styleId="Footer">
    <w:name w:val="footer"/>
    <w:basedOn w:val="Normal"/>
    <w:link w:val="FooterChar"/>
    <w:uiPriority w:val="99"/>
    <w:unhideWhenUsed/>
    <w:rsid w:val="006E7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AC"/>
  </w:style>
  <w:style w:type="paragraph" w:styleId="BalloonText">
    <w:name w:val="Balloon Text"/>
    <w:basedOn w:val="Normal"/>
    <w:link w:val="BalloonTextChar"/>
    <w:uiPriority w:val="99"/>
    <w:semiHidden/>
    <w:unhideWhenUsed/>
    <w:rsid w:val="006E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7079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B14F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F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14F5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B14F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6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2D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1B4B84"/>
    <w:pPr>
      <w:widowControl w:val="0"/>
      <w:spacing w:after="240"/>
    </w:pPr>
  </w:style>
  <w:style w:type="character" w:customStyle="1" w:styleId="BodyTextChar">
    <w:name w:val="Body Text Char"/>
    <w:basedOn w:val="DefaultParagraphFont"/>
    <w:link w:val="BodyText"/>
    <w:rsid w:val="001B4B8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B4B84"/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4B84"/>
    <w:rPr>
      <w:rFonts w:ascii="Consolas" w:eastAsiaTheme="minorEastAsia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1B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4B8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B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B84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2D41"/>
    <w:rPr>
      <w:rFonts w:ascii="Georgia" w:eastAsia="Times New Roman" w:hAnsi="Georgia" w:cs="Times New Roman"/>
      <w:smallCaps/>
      <w:sz w:val="28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D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DE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9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910 K Street, Suite 310, Sacramento CA 95814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225FB4-6E20-40B5-86D1-823426F8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 the Proposed Regulatory Definition of “Waters of the United States” Under the Clean Water Act (Docket Nos. EPA-HQ-OW-2011-0880; FRL-9901-47-OW)</vt:lpstr>
    </vt:vector>
  </TitlesOfParts>
  <Company>Hewlett-Packard Company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the Proposed Regulatory Definition of “Waters of the United States” Under the Clean Water Act (Docket Nos. EPA-HQ-OW-2011-0880; FRL-9901-47-OW)</dc:title>
  <dc:subject>Comments</dc:subject>
  <dc:creator>CCVFCA</dc:creator>
  <cp:keywords>Flood, flood control, Rapanos, EPA, Army Corps, permitting, Section 404, Delta, Clean Water Act,</cp:keywords>
  <cp:lastModifiedBy>Melinda Terry</cp:lastModifiedBy>
  <cp:revision>27</cp:revision>
  <cp:lastPrinted>2014-11-05T23:03:00Z</cp:lastPrinted>
  <dcterms:created xsi:type="dcterms:W3CDTF">2018-03-03T20:25:00Z</dcterms:created>
  <dcterms:modified xsi:type="dcterms:W3CDTF">2018-03-04T20:42:00Z</dcterms:modified>
</cp:coreProperties>
</file>