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9D" w:rsidRDefault="0072395E">
      <w:pPr>
        <w:jc w:val="center"/>
        <w:rPr>
          <w:b/>
        </w:rPr>
      </w:pPr>
      <w:r>
        <w:rPr>
          <w:b/>
        </w:rPr>
        <w:t xml:space="preserve">Public Health </w:t>
      </w:r>
      <w:r w:rsidR="00AF6857">
        <w:rPr>
          <w:b/>
        </w:rPr>
        <w:t>Quarantine Recommendation</w:t>
      </w:r>
    </w:p>
    <w:p w:rsidR="0056529D" w:rsidRDefault="0056529D">
      <w:pPr>
        <w:jc w:val="center"/>
        <w:rPr>
          <w:b/>
        </w:rPr>
      </w:pPr>
    </w:p>
    <w:p w:rsidR="0056529D" w:rsidRDefault="0072395E">
      <w:pPr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</w:p>
    <w:p w:rsidR="00EA4B20" w:rsidRDefault="00EA4B20">
      <w:pPr>
        <w:rPr>
          <w:sz w:val="22"/>
          <w:szCs w:val="22"/>
        </w:rPr>
      </w:pPr>
      <w:bookmarkStart w:id="0" w:name="_GoBack"/>
      <w:bookmarkEnd w:id="0"/>
    </w:p>
    <w:p w:rsidR="009A631D" w:rsidRDefault="0072395E" w:rsidP="0025704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The Wyoming Department of Health </w:t>
      </w:r>
      <w:r w:rsidR="00AF6857">
        <w:rPr>
          <w:sz w:val="22"/>
          <w:szCs w:val="22"/>
        </w:rPr>
        <w:t xml:space="preserve">(WDH) </w:t>
      </w:r>
      <w:r>
        <w:rPr>
          <w:sz w:val="22"/>
          <w:szCs w:val="22"/>
        </w:rPr>
        <w:t xml:space="preserve">has reasonable cause to believe that you </w:t>
      </w:r>
      <w:proofErr w:type="gramStart"/>
      <w:r>
        <w:rPr>
          <w:sz w:val="22"/>
          <w:szCs w:val="22"/>
        </w:rPr>
        <w:t>may have been exposed</w:t>
      </w:r>
      <w:proofErr w:type="gramEnd"/>
      <w:r>
        <w:rPr>
          <w:sz w:val="22"/>
          <w:szCs w:val="22"/>
        </w:rPr>
        <w:t xml:space="preserve"> to a communicable disease that affects the public health: Coronavirus Disease 19 (COVID-19).</w:t>
      </w:r>
      <w:r w:rsidR="0025704E">
        <w:rPr>
          <w:sz w:val="22"/>
          <w:szCs w:val="22"/>
        </w:rPr>
        <w:t xml:space="preserve"> </w:t>
      </w:r>
    </w:p>
    <w:p w:rsidR="009A631D" w:rsidRDefault="009A631D" w:rsidP="0025704E">
      <w:pPr>
        <w:rPr>
          <w:sz w:val="22"/>
          <w:szCs w:val="22"/>
        </w:rPr>
      </w:pPr>
    </w:p>
    <w:p w:rsidR="0056529D" w:rsidRPr="00B51BBF" w:rsidRDefault="0025704E" w:rsidP="00B51BBF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>The WDH recommends that you quarantine for fourteen days following your most recent exposure. Quarantine means staying home, including not going to work</w:t>
      </w:r>
      <w:r w:rsidR="009A631D">
        <w:rPr>
          <w:sz w:val="22"/>
          <w:szCs w:val="22"/>
        </w:rPr>
        <w:t xml:space="preserve"> or school</w:t>
      </w:r>
      <w:r>
        <w:rPr>
          <w:sz w:val="22"/>
          <w:szCs w:val="22"/>
        </w:rPr>
        <w:t xml:space="preserve">. You can go outside on your property and exercise outdoors as long as you don’t have close contact with others and </w:t>
      </w:r>
      <w:r w:rsidR="00AF6857">
        <w:rPr>
          <w:sz w:val="22"/>
          <w:szCs w:val="22"/>
        </w:rPr>
        <w:t>refrain from</w:t>
      </w:r>
      <w:r>
        <w:rPr>
          <w:sz w:val="22"/>
          <w:szCs w:val="22"/>
        </w:rPr>
        <w:t xml:space="preserve"> using public </w:t>
      </w:r>
      <w:r w:rsidR="00AF6857">
        <w:rPr>
          <w:sz w:val="22"/>
          <w:szCs w:val="22"/>
        </w:rPr>
        <w:t xml:space="preserve">water fountains and restrooms. </w:t>
      </w:r>
      <w:r w:rsidR="009A631D" w:rsidRPr="009A631D">
        <w:rPr>
          <w:sz w:val="22"/>
          <w:szCs w:val="22"/>
        </w:rPr>
        <w:t xml:space="preserve">You may leave home to seek medical care, including </w:t>
      </w:r>
      <w:r w:rsidR="009A631D">
        <w:rPr>
          <w:sz w:val="22"/>
          <w:szCs w:val="22"/>
        </w:rPr>
        <w:t xml:space="preserve">to get </w:t>
      </w:r>
      <w:r w:rsidR="009A631D" w:rsidRPr="009A631D">
        <w:rPr>
          <w:sz w:val="22"/>
          <w:szCs w:val="22"/>
        </w:rPr>
        <w:t>tested for COVID-19.</w:t>
      </w:r>
    </w:p>
    <w:p w:rsidR="00FA4C24" w:rsidRDefault="00FA4C24" w:rsidP="0025704E">
      <w:pPr>
        <w:rPr>
          <w:sz w:val="22"/>
          <w:szCs w:val="22"/>
        </w:rPr>
      </w:pPr>
    </w:p>
    <w:p w:rsidR="00AF6857" w:rsidRDefault="00AF6857" w:rsidP="00D234B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A631D">
        <w:rPr>
          <w:sz w:val="22"/>
          <w:szCs w:val="22"/>
        </w:rPr>
        <w:t>During quarantine, y</w:t>
      </w:r>
      <w:r>
        <w:rPr>
          <w:sz w:val="22"/>
          <w:szCs w:val="22"/>
        </w:rPr>
        <w:t>ou should monitor yourself for symptoms of COVID-19 including fever</w:t>
      </w:r>
      <w:r w:rsidR="001215D1">
        <w:rPr>
          <w:sz w:val="22"/>
          <w:szCs w:val="22"/>
        </w:rPr>
        <w:t>, chills</w:t>
      </w:r>
      <w:r>
        <w:rPr>
          <w:sz w:val="22"/>
          <w:szCs w:val="22"/>
        </w:rPr>
        <w:t xml:space="preserve">, cough, shortness of breath, </w:t>
      </w:r>
      <w:r w:rsidR="001215D1">
        <w:rPr>
          <w:sz w:val="22"/>
          <w:szCs w:val="22"/>
        </w:rPr>
        <w:t xml:space="preserve">muscle aches, </w:t>
      </w:r>
      <w:r>
        <w:rPr>
          <w:sz w:val="22"/>
          <w:szCs w:val="22"/>
        </w:rPr>
        <w:t>sore throat,</w:t>
      </w:r>
      <w:r w:rsidR="001215D1">
        <w:rPr>
          <w:sz w:val="22"/>
          <w:szCs w:val="22"/>
        </w:rPr>
        <w:t xml:space="preserve"> fatigue, headache, loss of taste and smell, congestion, runny nose, nausea, vomiting, or diarrhea</w:t>
      </w:r>
      <w:r>
        <w:rPr>
          <w:sz w:val="22"/>
          <w:szCs w:val="22"/>
        </w:rPr>
        <w:t xml:space="preserve">. If you develop </w:t>
      </w:r>
      <w:r w:rsidR="00574085">
        <w:rPr>
          <w:sz w:val="22"/>
          <w:szCs w:val="22"/>
        </w:rPr>
        <w:t>any symptom</w:t>
      </w:r>
      <w:r>
        <w:rPr>
          <w:sz w:val="22"/>
          <w:szCs w:val="22"/>
        </w:rPr>
        <w:t xml:space="preserve">, please contact your healthcare provider. </w:t>
      </w:r>
    </w:p>
    <w:p w:rsidR="008C27FF" w:rsidRDefault="008C27FF" w:rsidP="00B51BBF">
      <w:pPr>
        <w:ind w:firstLine="720"/>
        <w:rPr>
          <w:sz w:val="22"/>
          <w:szCs w:val="22"/>
        </w:rPr>
      </w:pPr>
    </w:p>
    <w:p w:rsidR="008C27FF" w:rsidRDefault="008C27FF" w:rsidP="00B51B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During your quarantine, WDH recommends that you stay 6 feet away from others in your household as much as possible</w:t>
      </w:r>
      <w:r w:rsidR="00421391">
        <w:rPr>
          <w:sz w:val="22"/>
          <w:szCs w:val="22"/>
        </w:rPr>
        <w:t>, especially those who may be at increased risk for severe illness</w:t>
      </w:r>
      <w:r>
        <w:rPr>
          <w:sz w:val="22"/>
          <w:szCs w:val="22"/>
        </w:rPr>
        <w:t xml:space="preserve">. This will help make it less likely that your family members will get COVID-19 if you do become sick. WDH realizes keeping your distance within the household is not always possible, </w:t>
      </w:r>
      <w:r w:rsidR="00421391">
        <w:rPr>
          <w:sz w:val="22"/>
          <w:szCs w:val="22"/>
        </w:rPr>
        <w:t xml:space="preserve">for example if you have young children in the household. You should maintain a distance of 6 feet from anyone outside of your household, except when you are seeking medical care. </w:t>
      </w:r>
    </w:p>
    <w:p w:rsidR="003D14F3" w:rsidRDefault="003D14F3" w:rsidP="00B51BBF">
      <w:pPr>
        <w:ind w:firstLine="720"/>
        <w:rPr>
          <w:sz w:val="22"/>
          <w:szCs w:val="22"/>
        </w:rPr>
      </w:pPr>
    </w:p>
    <w:p w:rsidR="003D14F3" w:rsidRDefault="003D14F3" w:rsidP="00B51B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CDC published</w:t>
      </w:r>
      <w:r w:rsidR="00D234B4">
        <w:rPr>
          <w:sz w:val="22"/>
          <w:szCs w:val="22"/>
        </w:rPr>
        <w:t xml:space="preserve"> two</w:t>
      </w:r>
      <w:r>
        <w:rPr>
          <w:sz w:val="22"/>
          <w:szCs w:val="22"/>
        </w:rPr>
        <w:t xml:space="preserve"> options for reducing the length of quarantine following exposure to COVID-19. Options for shortening the quarantine period include:</w:t>
      </w:r>
    </w:p>
    <w:p w:rsidR="003D14F3" w:rsidRDefault="003D14F3" w:rsidP="00D234B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Ending quarantine</w:t>
      </w:r>
      <w:r w:rsidRPr="00D234B4">
        <w:rPr>
          <w:b/>
          <w:sz w:val="22"/>
          <w:szCs w:val="22"/>
          <w:u w:val="single"/>
        </w:rPr>
        <w:t xml:space="preserve"> after</w:t>
      </w:r>
      <w:r>
        <w:rPr>
          <w:sz w:val="22"/>
          <w:szCs w:val="22"/>
        </w:rPr>
        <w:t xml:space="preserve"> 10 days if you have monitored yourself daily and have not had </w:t>
      </w:r>
      <w:r w:rsidRPr="00D234B4">
        <w:rPr>
          <w:b/>
          <w:sz w:val="22"/>
          <w:szCs w:val="22"/>
          <w:u w:val="single"/>
        </w:rPr>
        <w:t xml:space="preserve">any </w:t>
      </w:r>
      <w:r>
        <w:rPr>
          <w:sz w:val="22"/>
          <w:szCs w:val="22"/>
        </w:rPr>
        <w:t>symptoms</w:t>
      </w:r>
    </w:p>
    <w:p w:rsidR="003D14F3" w:rsidRDefault="003D14F3" w:rsidP="00D234B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Ending quarantine </w:t>
      </w:r>
      <w:r w:rsidRPr="00D234B4">
        <w:rPr>
          <w:b/>
          <w:sz w:val="22"/>
          <w:szCs w:val="22"/>
          <w:u w:val="single"/>
        </w:rPr>
        <w:t xml:space="preserve">after </w:t>
      </w:r>
      <w:r>
        <w:rPr>
          <w:sz w:val="22"/>
          <w:szCs w:val="22"/>
        </w:rPr>
        <w:t xml:space="preserve">7 days if you have monitor red yourself daily and have not had </w:t>
      </w:r>
      <w:r w:rsidRPr="00D234B4">
        <w:rPr>
          <w:b/>
          <w:sz w:val="22"/>
          <w:szCs w:val="22"/>
          <w:u w:val="single"/>
        </w:rPr>
        <w:t>any</w:t>
      </w:r>
      <w:r>
        <w:rPr>
          <w:sz w:val="22"/>
          <w:szCs w:val="22"/>
        </w:rPr>
        <w:t xml:space="preserve"> symptoms </w:t>
      </w:r>
      <w:r w:rsidRPr="00D234B4">
        <w:rPr>
          <w:b/>
          <w:sz w:val="22"/>
          <w:szCs w:val="22"/>
          <w:u w:val="single"/>
        </w:rPr>
        <w:t>AND</w:t>
      </w:r>
      <w:r>
        <w:rPr>
          <w:sz w:val="22"/>
          <w:szCs w:val="22"/>
        </w:rPr>
        <w:t xml:space="preserve"> you had a negative PCR test collected on day 5 or later. In no circumstances can quarantine be discontinued before </w:t>
      </w:r>
      <w:proofErr w:type="gramStart"/>
      <w:r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 xml:space="preserve"> full days of quarantine have passed since exposure.</w:t>
      </w:r>
    </w:p>
    <w:p w:rsidR="003D14F3" w:rsidRDefault="003D14F3" w:rsidP="00D234B4">
      <w:pPr>
        <w:rPr>
          <w:sz w:val="22"/>
          <w:szCs w:val="22"/>
        </w:rPr>
      </w:pPr>
    </w:p>
    <w:p w:rsidR="003D14F3" w:rsidRPr="00D234B4" w:rsidRDefault="003D14F3" w:rsidP="00D234B4">
      <w:pPr>
        <w:rPr>
          <w:sz w:val="22"/>
          <w:szCs w:val="22"/>
        </w:rPr>
      </w:pPr>
      <w:r>
        <w:rPr>
          <w:sz w:val="22"/>
          <w:szCs w:val="22"/>
        </w:rPr>
        <w:t xml:space="preserve">If you choose to use one of the options above to shorten the quarantine period, you should continue to monitor for symptoms daily for the full 14 days. </w:t>
      </w:r>
      <w:r w:rsidR="00577FEF">
        <w:rPr>
          <w:sz w:val="22"/>
          <w:szCs w:val="22"/>
        </w:rPr>
        <w:t>WDH recommends that you</w:t>
      </w:r>
      <w:r>
        <w:rPr>
          <w:sz w:val="22"/>
          <w:szCs w:val="22"/>
        </w:rPr>
        <w:t xml:space="preserve"> continue to take measures to protect yourself and others such as avoiding crowds, social distancing, correct and consistent mask use, and hand and cough hygiene for the full 14 days.</w:t>
      </w:r>
    </w:p>
    <w:p w:rsidR="00FA4C24" w:rsidRPr="0025704E" w:rsidRDefault="00FA4C24" w:rsidP="0025704E">
      <w:pPr>
        <w:rPr>
          <w:sz w:val="22"/>
          <w:szCs w:val="22"/>
        </w:rPr>
      </w:pPr>
    </w:p>
    <w:p w:rsidR="0056529D" w:rsidRDefault="00AF6857" w:rsidP="00AF6857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Once you have completed </w:t>
      </w:r>
      <w:r w:rsidR="003D14F3">
        <w:rPr>
          <w:sz w:val="22"/>
          <w:szCs w:val="22"/>
        </w:rPr>
        <w:t>the</w:t>
      </w:r>
      <w:r>
        <w:rPr>
          <w:sz w:val="22"/>
          <w:szCs w:val="22"/>
        </w:rPr>
        <w:t xml:space="preserve"> quarantine period without developing symptoms or having a positive test, you may return to work </w:t>
      </w:r>
      <w:r w:rsidR="009A631D">
        <w:rPr>
          <w:sz w:val="22"/>
          <w:szCs w:val="22"/>
        </w:rPr>
        <w:t xml:space="preserve">and school </w:t>
      </w:r>
      <w:r>
        <w:rPr>
          <w:sz w:val="22"/>
          <w:szCs w:val="22"/>
        </w:rPr>
        <w:t>and resume normal activities</w:t>
      </w:r>
      <w:r w:rsidR="00FA4C24">
        <w:rPr>
          <w:sz w:val="22"/>
          <w:szCs w:val="22"/>
        </w:rPr>
        <w:t xml:space="preserve">. </w:t>
      </w:r>
    </w:p>
    <w:p w:rsidR="00FA4C24" w:rsidRDefault="00FA4C24" w:rsidP="00AF6857">
      <w:pPr>
        <w:ind w:firstLine="720"/>
        <w:rPr>
          <w:sz w:val="22"/>
          <w:szCs w:val="22"/>
        </w:rPr>
      </w:pPr>
    </w:p>
    <w:p w:rsidR="0056529D" w:rsidRDefault="0056529D">
      <w:pPr>
        <w:rPr>
          <w:sz w:val="22"/>
          <w:szCs w:val="22"/>
        </w:rPr>
      </w:pPr>
    </w:p>
    <w:p w:rsidR="0056529D" w:rsidRDefault="0056529D">
      <w:pPr>
        <w:rPr>
          <w:sz w:val="22"/>
          <w:szCs w:val="22"/>
        </w:rPr>
      </w:pPr>
    </w:p>
    <w:p w:rsidR="0056529D" w:rsidRDefault="0072395E" w:rsidP="00FA4C2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Any questions regarding this </w:t>
      </w:r>
      <w:r w:rsidR="00AF6857">
        <w:rPr>
          <w:sz w:val="22"/>
          <w:szCs w:val="22"/>
        </w:rPr>
        <w:t>recommendation should be sent to wdh.covid19@wyo.gov</w:t>
      </w:r>
      <w:r>
        <w:rPr>
          <w:sz w:val="22"/>
          <w:szCs w:val="22"/>
        </w:rPr>
        <w:t>.</w:t>
      </w:r>
    </w:p>
    <w:p w:rsidR="0056529D" w:rsidRDefault="0056529D">
      <w:pPr>
        <w:rPr>
          <w:sz w:val="22"/>
          <w:szCs w:val="22"/>
        </w:rPr>
      </w:pPr>
    </w:p>
    <w:p w:rsidR="0056529D" w:rsidRDefault="0056529D">
      <w:pPr>
        <w:rPr>
          <w:sz w:val="22"/>
          <w:szCs w:val="22"/>
        </w:rPr>
      </w:pPr>
    </w:p>
    <w:p w:rsidR="0056529D" w:rsidRDefault="0056529D"/>
    <w:p w:rsidR="0056529D" w:rsidRDefault="0056529D"/>
    <w:p w:rsidR="0056529D" w:rsidRDefault="0072395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6529D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23" w:rsidRDefault="00C82D23">
      <w:r>
        <w:separator/>
      </w:r>
    </w:p>
  </w:endnote>
  <w:endnote w:type="continuationSeparator" w:id="0">
    <w:p w:rsidR="00C82D23" w:rsidRDefault="00C8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9D" w:rsidRDefault="007239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23" w:rsidRDefault="00C82D23">
      <w:r>
        <w:separator/>
      </w:r>
    </w:p>
  </w:footnote>
  <w:footnote w:type="continuationSeparator" w:id="0">
    <w:p w:rsidR="00C82D23" w:rsidRDefault="00C82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9D" w:rsidRDefault="0072395E">
    <w:pPr>
      <w:tabs>
        <w:tab w:val="right" w:pos="9270"/>
      </w:tabs>
      <w:ind w:left="90" w:right="90"/>
      <w:jc w:val="both"/>
    </w:pPr>
    <w:r>
      <w:t>Name</w:t>
    </w:r>
    <w:r>
      <w:tab/>
      <w:t xml:space="preserve">Date                                                                                                                      </w:t>
    </w:r>
  </w:p>
  <w:p w:rsidR="0056529D" w:rsidRDefault="007239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270"/>
      </w:tabs>
      <w:ind w:left="90" w:right="90"/>
      <w:rPr>
        <w:color w:val="000000"/>
      </w:rPr>
    </w:pPr>
    <w:r>
      <w:rPr>
        <w:color w:val="000000"/>
      </w:rPr>
      <w:t xml:space="preserve">Page 2                                                                                                                   </w:t>
    </w:r>
    <w:r>
      <w:rPr>
        <w:color w:val="000000"/>
      </w:rPr>
      <w:tab/>
      <w:t>Ref.: F-2017-xxx</w:t>
    </w:r>
  </w:p>
  <w:p w:rsidR="0056529D" w:rsidRDefault="005652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29D" w:rsidRDefault="0056529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0"/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160"/>
      <w:gridCol w:w="5040"/>
      <w:gridCol w:w="2160"/>
    </w:tblGrid>
    <w:tr w:rsidR="0056529D">
      <w:trPr>
        <w:trHeight w:val="1890"/>
        <w:jc w:val="center"/>
      </w:trPr>
      <w:tc>
        <w:tcPr>
          <w:tcW w:w="2160" w:type="dxa"/>
          <w:tcBorders>
            <w:bottom w:val="single" w:sz="4" w:space="0" w:color="000000"/>
          </w:tcBorders>
          <w:shd w:val="clear" w:color="auto" w:fill="auto"/>
        </w:tcPr>
        <w:p w:rsidR="0056529D" w:rsidRDefault="007239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90" w:right="-7326"/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0</wp:posOffset>
                </wp:positionV>
                <wp:extent cx="876300" cy="1061720"/>
                <wp:effectExtent l="0" t="0" r="0" b="0"/>
                <wp:wrapSquare wrapText="bothSides" distT="0" distB="0" distL="0" distR="0"/>
                <wp:docPr id="22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1061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56529D" w:rsidRDefault="007239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401 Hathaway Building • Cheyenne, WY 82002</w:t>
          </w:r>
        </w:p>
        <w:p w:rsidR="0056529D" w:rsidRDefault="007239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Phone (307) 777-7656 • 1-866-571-0944</w:t>
          </w:r>
        </w:p>
        <w:p w:rsidR="0056529D" w:rsidRDefault="007239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Fax (307) 777-7439 • www.health.wyo.gov</w:t>
          </w:r>
        </w:p>
      </w:tc>
      <w:tc>
        <w:tcPr>
          <w:tcW w:w="2160" w:type="dxa"/>
          <w:tcBorders>
            <w:bottom w:val="single" w:sz="4" w:space="0" w:color="000000"/>
          </w:tcBorders>
          <w:shd w:val="clear" w:color="auto" w:fill="auto"/>
        </w:tcPr>
        <w:p w:rsidR="0056529D" w:rsidRDefault="007239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97790</wp:posOffset>
                </wp:positionV>
                <wp:extent cx="960120" cy="914400"/>
                <wp:effectExtent l="0" t="0" r="0" b="0"/>
                <wp:wrapSquare wrapText="bothSides" distT="0" distB="0" distL="0" distR="0"/>
                <wp:docPr id="22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56529D">
      <w:trPr>
        <w:trHeight w:val="540"/>
        <w:jc w:val="center"/>
      </w:trPr>
      <w:tc>
        <w:tcPr>
          <w:tcW w:w="21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56529D" w:rsidRDefault="007239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color w:val="7B7B7B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Michael A. Ceballos Director</w:t>
          </w:r>
        </w:p>
      </w:tc>
      <w:tc>
        <w:tcPr>
          <w:tcW w:w="504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56529D" w:rsidRDefault="005652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Libre Franklin" w:eastAsia="Libre Franklin" w:hAnsi="Libre Franklin" w:cs="Libre Franklin"/>
              <w:color w:val="000000"/>
              <w:sz w:val="20"/>
              <w:szCs w:val="20"/>
            </w:rPr>
          </w:pPr>
        </w:p>
      </w:tc>
      <w:tc>
        <w:tcPr>
          <w:tcW w:w="21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</w:tcPr>
        <w:p w:rsidR="0056529D" w:rsidRDefault="007239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Mark Gordon</w:t>
          </w:r>
        </w:p>
        <w:p w:rsidR="0056529D" w:rsidRDefault="007239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Libre Franklin" w:eastAsia="Libre Franklin" w:hAnsi="Libre Franklin" w:cs="Libre Frankli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Governor</w:t>
          </w:r>
        </w:p>
      </w:tc>
    </w:tr>
  </w:tbl>
  <w:p w:rsidR="0056529D" w:rsidRDefault="005652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F3047"/>
    <w:multiLevelType w:val="multilevel"/>
    <w:tmpl w:val="C1F2E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171C7"/>
    <w:multiLevelType w:val="hybridMultilevel"/>
    <w:tmpl w:val="3BCA2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9D"/>
    <w:rsid w:val="0004048F"/>
    <w:rsid w:val="001215D1"/>
    <w:rsid w:val="001A36E4"/>
    <w:rsid w:val="0025704E"/>
    <w:rsid w:val="00257607"/>
    <w:rsid w:val="00272D14"/>
    <w:rsid w:val="003141A0"/>
    <w:rsid w:val="003D14F3"/>
    <w:rsid w:val="00421391"/>
    <w:rsid w:val="00531D6A"/>
    <w:rsid w:val="00555A7D"/>
    <w:rsid w:val="0056529D"/>
    <w:rsid w:val="00574085"/>
    <w:rsid w:val="00577FEF"/>
    <w:rsid w:val="0072395E"/>
    <w:rsid w:val="00730FA4"/>
    <w:rsid w:val="007C56D5"/>
    <w:rsid w:val="008C27FF"/>
    <w:rsid w:val="008D65F7"/>
    <w:rsid w:val="0090738B"/>
    <w:rsid w:val="009A631D"/>
    <w:rsid w:val="00AF6857"/>
    <w:rsid w:val="00B231A8"/>
    <w:rsid w:val="00B51BBF"/>
    <w:rsid w:val="00BB1BFA"/>
    <w:rsid w:val="00C731A8"/>
    <w:rsid w:val="00C82D23"/>
    <w:rsid w:val="00D234B4"/>
    <w:rsid w:val="00EA4B20"/>
    <w:rsid w:val="00EE08E2"/>
    <w:rsid w:val="00FA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070C"/>
  <w15:docId w15:val="{0006EA30-2746-43CB-ABA9-1DF46AA4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E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D6D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948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93736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10369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0369C"/>
    <w:rPr>
      <w:sz w:val="24"/>
      <w:szCs w:val="24"/>
    </w:rPr>
  </w:style>
  <w:style w:type="table" w:styleId="TableGrid">
    <w:name w:val="Table Grid"/>
    <w:basedOn w:val="TableNormal"/>
    <w:uiPriority w:val="39"/>
    <w:rsid w:val="0010369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C72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260"/>
  </w:style>
  <w:style w:type="paragraph" w:styleId="CommentSubject">
    <w:name w:val="annotation subject"/>
    <w:basedOn w:val="CommentText"/>
    <w:next w:val="CommentText"/>
    <w:link w:val="CommentSubjectChar"/>
    <w:rsid w:val="00AC7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260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gZfofJdx7PEeNJofANC5dI5gFA==">AMUW2mVhQ1K5Apvv7Y5SYUdvhCaOmjQZ9a7+nagwz2ika+VnEjVawYpNavzFpdXn786gZwDY7bb+A2oSIJafLakSCwSH3yHdTWjDrbnpTD42iVY3kkxMmr1wJdfah1CTALkON/xaXpY3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Barnhart Communications</dc:creator>
  <cp:lastModifiedBy>Kasey Mullins</cp:lastModifiedBy>
  <cp:revision>2</cp:revision>
  <dcterms:created xsi:type="dcterms:W3CDTF">2020-12-04T22:58:00Z</dcterms:created>
  <dcterms:modified xsi:type="dcterms:W3CDTF">2020-12-04T22:58:00Z</dcterms:modified>
</cp:coreProperties>
</file>