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0846" w14:textId="77777777" w:rsidR="006419FE" w:rsidRPr="00503C4F" w:rsidRDefault="006419FE" w:rsidP="006419FE">
      <w:pPr>
        <w:spacing w:after="0" w:line="240" w:lineRule="auto"/>
        <w:ind w:left="360"/>
        <w:rPr>
          <w:b/>
          <w:bCs/>
          <w:sz w:val="32"/>
          <w:szCs w:val="32"/>
        </w:rPr>
      </w:pPr>
      <w:r>
        <w:rPr>
          <w:b/>
          <w:bCs/>
          <w:sz w:val="32"/>
          <w:szCs w:val="32"/>
        </w:rPr>
        <w:t>PISTOL</w:t>
      </w:r>
      <w:r w:rsidRPr="00503C4F">
        <w:rPr>
          <w:b/>
          <w:bCs/>
          <w:sz w:val="32"/>
          <w:szCs w:val="32"/>
        </w:rPr>
        <w:t xml:space="preserve"> RANGE USE:</w:t>
      </w:r>
    </w:p>
    <w:tbl>
      <w:tblPr>
        <w:tblW w:w="9360" w:type="dxa"/>
        <w:tblLook w:val="04A0" w:firstRow="1" w:lastRow="0" w:firstColumn="1" w:lastColumn="0" w:noHBand="0" w:noVBand="1"/>
      </w:tblPr>
      <w:tblGrid>
        <w:gridCol w:w="9360"/>
      </w:tblGrid>
      <w:tr w:rsidR="006419FE" w:rsidRPr="005B1688" w14:paraId="2170EA92" w14:textId="77777777" w:rsidTr="003E4C74">
        <w:trPr>
          <w:trHeight w:val="288"/>
        </w:trPr>
        <w:tc>
          <w:tcPr>
            <w:tcW w:w="9360" w:type="dxa"/>
            <w:tcBorders>
              <w:top w:val="nil"/>
              <w:left w:val="nil"/>
              <w:bottom w:val="nil"/>
              <w:right w:val="nil"/>
            </w:tcBorders>
            <w:shd w:val="clear" w:color="auto" w:fill="auto"/>
            <w:noWrap/>
            <w:vAlign w:val="center"/>
            <w:hideMark/>
          </w:tcPr>
          <w:p w14:paraId="4FD54E2E"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sidRPr="005B1688">
              <w:rPr>
                <w:rFonts w:ascii="Calibri" w:eastAsia="Times New Roman" w:hAnsi="Calibri" w:cs="Calibri"/>
                <w:color w:val="000000"/>
                <w:sz w:val="24"/>
                <w:szCs w:val="24"/>
              </w:rPr>
              <w:t xml:space="preserve">Sign in required, </w:t>
            </w:r>
            <w:r>
              <w:rPr>
                <w:rFonts w:ascii="Calibri" w:eastAsia="Times New Roman" w:hAnsi="Calibri" w:cs="Calibri"/>
                <w:color w:val="000000"/>
                <w:sz w:val="24"/>
                <w:szCs w:val="24"/>
              </w:rPr>
              <w:t>including date, name, time in / time out, caliber, description.</w:t>
            </w:r>
          </w:p>
          <w:p w14:paraId="45251201" w14:textId="77777777" w:rsidR="006419FE" w:rsidRPr="001764A8" w:rsidRDefault="006419FE" w:rsidP="003E4C74">
            <w:pPr>
              <w:pStyle w:val="ListParagraph"/>
              <w:spacing w:after="0" w:line="240" w:lineRule="auto"/>
              <w:rPr>
                <w:rFonts w:ascii="Calibri" w:eastAsia="Times New Roman" w:hAnsi="Calibri" w:cs="Calibri"/>
                <w:b/>
                <w:bCs/>
                <w:color w:val="000000"/>
                <w:sz w:val="24"/>
                <w:szCs w:val="24"/>
              </w:rPr>
            </w:pPr>
            <w:r w:rsidRPr="001764A8">
              <w:rPr>
                <w:rFonts w:ascii="Calibri" w:eastAsia="Times New Roman" w:hAnsi="Calibri" w:cs="Calibri"/>
                <w:b/>
                <w:bCs/>
                <w:color w:val="000000"/>
                <w:sz w:val="24"/>
                <w:szCs w:val="24"/>
              </w:rPr>
              <w:t>8/14/2021, John Doe, 6:30 PM – 7:30 PM, 38cal, SWC hand loads/preferred</w:t>
            </w:r>
          </w:p>
          <w:p w14:paraId="3A307B4B" w14:textId="77777777" w:rsidR="006419FE" w:rsidRPr="001764A8" w:rsidRDefault="006419FE" w:rsidP="003E4C74">
            <w:pPr>
              <w:pStyle w:val="ListParagraph"/>
              <w:spacing w:after="0" w:line="240" w:lineRule="auto"/>
              <w:rPr>
                <w:rFonts w:ascii="Calibri" w:eastAsia="Times New Roman" w:hAnsi="Calibri" w:cs="Calibri"/>
                <w:b/>
                <w:bCs/>
                <w:color w:val="000000"/>
                <w:sz w:val="24"/>
                <w:szCs w:val="24"/>
              </w:rPr>
            </w:pPr>
            <w:r w:rsidRPr="001764A8">
              <w:rPr>
                <w:rFonts w:ascii="Calibri" w:eastAsia="Times New Roman" w:hAnsi="Calibri" w:cs="Calibri"/>
                <w:b/>
                <w:bCs/>
                <w:color w:val="000000"/>
                <w:sz w:val="24"/>
                <w:szCs w:val="24"/>
              </w:rPr>
              <w:t xml:space="preserve">8/14/2021, Jane Doe, 6:30 PM – 7:30 PM, 9mm, Rem UMC/approved    </w:t>
            </w:r>
          </w:p>
          <w:p w14:paraId="70F6B84C"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w:t>
            </w:r>
            <w:r w:rsidRPr="005B1688">
              <w:rPr>
                <w:rFonts w:ascii="Calibri" w:eastAsia="Times New Roman" w:hAnsi="Calibri" w:cs="Calibri"/>
                <w:color w:val="000000"/>
                <w:sz w:val="24"/>
                <w:szCs w:val="24"/>
              </w:rPr>
              <w:t>ayment of per shooter per competition or practice session, based on posted schedule. Targets are included in the price of competitive event rounds, however not for practice sessions.</w:t>
            </w:r>
          </w:p>
          <w:p w14:paraId="44092376"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sidRPr="005B1688">
              <w:rPr>
                <w:rFonts w:ascii="Calibri" w:eastAsia="Times New Roman" w:hAnsi="Calibri" w:cs="Calibri"/>
                <w:color w:val="000000"/>
                <w:sz w:val="24"/>
                <w:szCs w:val="24"/>
              </w:rPr>
              <w:t>Cartridge Restrictions</w:t>
            </w:r>
            <w:r>
              <w:rPr>
                <w:rFonts w:ascii="Calibri" w:eastAsia="Times New Roman" w:hAnsi="Calibri" w:cs="Calibri"/>
                <w:color w:val="000000"/>
                <w:sz w:val="24"/>
                <w:szCs w:val="24"/>
              </w:rPr>
              <w:t xml:space="preserve"> – </w:t>
            </w:r>
            <w:r w:rsidRPr="001764A8">
              <w:rPr>
                <w:rFonts w:ascii="Calibri" w:eastAsia="Times New Roman" w:hAnsi="Calibri" w:cs="Calibri"/>
                <w:b/>
                <w:bCs/>
                <w:color w:val="000000"/>
                <w:sz w:val="24"/>
                <w:szCs w:val="24"/>
              </w:rPr>
              <w:t>See posted guideline examples</w:t>
            </w:r>
            <w:r>
              <w:rPr>
                <w:rFonts w:ascii="Calibri" w:eastAsia="Times New Roman" w:hAnsi="Calibri" w:cs="Calibri"/>
                <w:b/>
                <w:bCs/>
                <w:color w:val="000000"/>
                <w:sz w:val="24"/>
                <w:szCs w:val="24"/>
              </w:rPr>
              <w:t xml:space="preserve"> preferred/approved</w:t>
            </w:r>
          </w:p>
          <w:tbl>
            <w:tblPr>
              <w:tblW w:w="9144" w:type="dxa"/>
              <w:tblLook w:val="04A0" w:firstRow="1" w:lastRow="0" w:firstColumn="1" w:lastColumn="0" w:noHBand="0" w:noVBand="1"/>
            </w:tblPr>
            <w:tblGrid>
              <w:gridCol w:w="9144"/>
            </w:tblGrid>
            <w:tr w:rsidR="006419FE" w:rsidRPr="005B1688" w14:paraId="55DD0C36" w14:textId="77777777" w:rsidTr="003E4C74">
              <w:trPr>
                <w:trHeight w:val="288"/>
              </w:trPr>
              <w:tc>
                <w:tcPr>
                  <w:tcW w:w="9144" w:type="dxa"/>
                  <w:tcBorders>
                    <w:top w:val="nil"/>
                    <w:left w:val="nil"/>
                    <w:bottom w:val="nil"/>
                    <w:right w:val="nil"/>
                  </w:tcBorders>
                  <w:shd w:val="clear" w:color="auto" w:fill="auto"/>
                  <w:noWrap/>
                  <w:vAlign w:val="center"/>
                  <w:hideMark/>
                </w:tcPr>
                <w:p w14:paraId="2DA2366B" w14:textId="77777777" w:rsidR="006419FE"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w:t>
                  </w:r>
                  <w:r w:rsidRPr="005B1688">
                    <w:rPr>
                      <w:rFonts w:ascii="Calibri" w:eastAsia="Times New Roman" w:hAnsi="Calibri" w:cs="Calibri"/>
                      <w:color w:val="000000"/>
                      <w:sz w:val="24"/>
                      <w:szCs w:val="24"/>
                    </w:rPr>
                    <w:t xml:space="preserve">agnums of any caliber (including .22) are </w:t>
                  </w:r>
                  <w:r>
                    <w:rPr>
                      <w:rFonts w:ascii="Calibri" w:eastAsia="Times New Roman" w:hAnsi="Calibri" w:cs="Calibri"/>
                      <w:color w:val="000000"/>
                      <w:sz w:val="24"/>
                      <w:szCs w:val="24"/>
                    </w:rPr>
                    <w:t xml:space="preserve">NOT </w:t>
                  </w:r>
                  <w:r w:rsidRPr="005B1688">
                    <w:rPr>
                      <w:rFonts w:ascii="Calibri" w:eastAsia="Times New Roman" w:hAnsi="Calibri" w:cs="Calibri"/>
                      <w:color w:val="000000"/>
                      <w:sz w:val="24"/>
                      <w:szCs w:val="24"/>
                    </w:rPr>
                    <w:t>allowed.</w:t>
                  </w:r>
                </w:p>
                <w:p w14:paraId="430E6476" w14:textId="77777777" w:rsidR="006419FE"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sidRPr="005B1688">
                    <w:rPr>
                      <w:rFonts w:ascii="Calibri" w:eastAsia="Times New Roman" w:hAnsi="Calibri" w:cs="Calibri"/>
                      <w:color w:val="000000"/>
                      <w:sz w:val="24"/>
                      <w:szCs w:val="24"/>
                    </w:rPr>
                    <w:t xml:space="preserve">No </w:t>
                  </w:r>
                  <w:r>
                    <w:rPr>
                      <w:rFonts w:ascii="Calibri" w:eastAsia="Times New Roman" w:hAnsi="Calibri" w:cs="Calibri"/>
                      <w:color w:val="000000"/>
                      <w:sz w:val="24"/>
                      <w:szCs w:val="24"/>
                    </w:rPr>
                    <w:t xml:space="preserve">steel </w:t>
                  </w:r>
                  <w:r w:rsidRPr="005B1688">
                    <w:rPr>
                      <w:rFonts w:ascii="Calibri" w:eastAsia="Times New Roman" w:hAnsi="Calibri" w:cs="Calibri"/>
                      <w:color w:val="000000"/>
                      <w:sz w:val="24"/>
                      <w:szCs w:val="24"/>
                    </w:rPr>
                    <w:t xml:space="preserve">jacketed or </w:t>
                  </w:r>
                  <w:r>
                    <w:rPr>
                      <w:rFonts w:ascii="Calibri" w:eastAsia="Times New Roman" w:hAnsi="Calibri" w:cs="Calibri"/>
                      <w:color w:val="000000"/>
                      <w:sz w:val="24"/>
                      <w:szCs w:val="24"/>
                    </w:rPr>
                    <w:t xml:space="preserve">steel </w:t>
                  </w:r>
                  <w:r w:rsidRPr="005B1688">
                    <w:rPr>
                      <w:rFonts w:ascii="Calibri" w:eastAsia="Times New Roman" w:hAnsi="Calibri" w:cs="Calibri"/>
                      <w:color w:val="000000"/>
                      <w:sz w:val="24"/>
                      <w:szCs w:val="24"/>
                    </w:rPr>
                    <w:t>semi-jacketed bullets allowed.</w:t>
                  </w:r>
                </w:p>
                <w:p w14:paraId="1A30E88C" w14:textId="77777777" w:rsidR="006419FE"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sidRPr="005B1688">
                    <w:rPr>
                      <w:rFonts w:ascii="Calibri" w:eastAsia="Times New Roman" w:hAnsi="Calibri" w:cs="Calibri"/>
                      <w:color w:val="000000"/>
                      <w:sz w:val="24"/>
                      <w:szCs w:val="24"/>
                    </w:rPr>
                    <w:t>No cartridges with a muzzle velocity of over 1</w:t>
                  </w:r>
                  <w:r>
                    <w:rPr>
                      <w:rFonts w:ascii="Calibri" w:eastAsia="Times New Roman" w:hAnsi="Calibri" w:cs="Calibri"/>
                      <w:color w:val="000000"/>
                      <w:sz w:val="24"/>
                      <w:szCs w:val="24"/>
                    </w:rPr>
                    <w:t>2</w:t>
                  </w:r>
                  <w:r w:rsidRPr="005B1688">
                    <w:rPr>
                      <w:rFonts w:ascii="Calibri" w:eastAsia="Times New Roman" w:hAnsi="Calibri" w:cs="Calibri"/>
                      <w:color w:val="000000"/>
                      <w:sz w:val="24"/>
                      <w:szCs w:val="24"/>
                    </w:rPr>
                    <w:t>00 fps are allowed.</w:t>
                  </w:r>
                </w:p>
                <w:p w14:paraId="615608FE" w14:textId="77777777" w:rsidR="006419FE"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 cartridges with a muzzle energy exceeding 400 ft. lbs. are allowed.</w:t>
                  </w:r>
                </w:p>
                <w:p w14:paraId="3CA3D2B6" w14:textId="77777777" w:rsidR="006419FE"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sidRPr="005B1688">
                    <w:rPr>
                      <w:rFonts w:ascii="Calibri" w:eastAsia="Times New Roman" w:hAnsi="Calibri" w:cs="Calibri"/>
                      <w:color w:val="000000"/>
                      <w:sz w:val="24"/>
                      <w:szCs w:val="24"/>
                    </w:rPr>
                    <w:t>Copper clad bullets (electroplated or equivalent) that are wrapped only for coating the lead</w:t>
                  </w:r>
                  <w:r>
                    <w:rPr>
                      <w:rFonts w:ascii="Calibri" w:eastAsia="Times New Roman" w:hAnsi="Calibri" w:cs="Calibri"/>
                      <w:color w:val="000000"/>
                      <w:sz w:val="24"/>
                      <w:szCs w:val="24"/>
                    </w:rPr>
                    <w:t xml:space="preserve"> bullet are allowed, providing that the above conditions are met.</w:t>
                  </w:r>
                </w:p>
                <w:p w14:paraId="73D7732B" w14:textId="77777777" w:rsidR="006419FE" w:rsidRPr="004B0167"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sidRPr="004B0167">
                    <w:rPr>
                      <w:rFonts w:ascii="Calibri" w:eastAsia="Times New Roman" w:hAnsi="Calibri" w:cs="Calibri"/>
                      <w:color w:val="000000"/>
                      <w:sz w:val="24"/>
                      <w:szCs w:val="24"/>
                    </w:rPr>
                    <w:t>Combination of lead with frangible soft brass jackets</w:t>
                  </w:r>
                  <w:r>
                    <w:rPr>
                      <w:rFonts w:ascii="Calibri" w:eastAsia="Times New Roman" w:hAnsi="Calibri" w:cs="Calibri"/>
                      <w:color w:val="000000"/>
                      <w:sz w:val="24"/>
                      <w:szCs w:val="24"/>
                    </w:rPr>
                    <w:t xml:space="preserve"> are allowed, providing that the above conditions are met.</w:t>
                  </w:r>
                </w:p>
                <w:p w14:paraId="2B6A3DC5" w14:textId="77777777" w:rsidR="006419FE" w:rsidRDefault="006419FE" w:rsidP="006419FE">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use of frangible, lead-free bullets is encouraged.</w:t>
                  </w:r>
                </w:p>
                <w:p w14:paraId="25D07FDE" w14:textId="77777777" w:rsidR="006419FE" w:rsidRDefault="006419FE" w:rsidP="003E4C74">
                  <w:pPr>
                    <w:pStyle w:val="ListParagraph"/>
                    <w:spacing w:after="0" w:line="240" w:lineRule="auto"/>
                    <w:rPr>
                      <w:rFonts w:ascii="Calibri" w:eastAsia="Times New Roman" w:hAnsi="Calibri" w:cs="Calibri"/>
                      <w:color w:val="000000"/>
                      <w:sz w:val="24"/>
                      <w:szCs w:val="24"/>
                    </w:rPr>
                  </w:pPr>
                </w:p>
                <w:p w14:paraId="4AC61E32"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All fire will be controlled aim at targets placed in the proper mounting area at the backstop.</w:t>
                  </w:r>
                </w:p>
                <w:p w14:paraId="2D8146FF"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Paper targets only.</w:t>
                  </w:r>
                </w:p>
                <w:p w14:paraId="538D6E84"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 human silhouette targets.</w:t>
                  </w:r>
                </w:p>
                <w:p w14:paraId="73D59B89"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 cross lane firing.</w:t>
                  </w:r>
                </w:p>
                <w:p w14:paraId="64BCD1F3"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When two or more shooters are on the range, one of them shall function as a range officer to control the range. That person alone is in control of all fire.</w:t>
                  </w:r>
                </w:p>
                <w:p w14:paraId="3ACF48CB"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 loaded guns and all actions open when anyone </w:t>
                  </w:r>
                  <w:proofErr w:type="gramStart"/>
                  <w:r>
                    <w:rPr>
                      <w:rFonts w:ascii="Calibri" w:eastAsia="Times New Roman" w:hAnsi="Calibri" w:cs="Calibri"/>
                      <w:color w:val="000000"/>
                      <w:sz w:val="24"/>
                      <w:szCs w:val="24"/>
                    </w:rPr>
                    <w:t>advances</w:t>
                  </w:r>
                  <w:proofErr w:type="gramEnd"/>
                  <w:r>
                    <w:rPr>
                      <w:rFonts w:ascii="Calibri" w:eastAsia="Times New Roman" w:hAnsi="Calibri" w:cs="Calibri"/>
                      <w:color w:val="000000"/>
                      <w:sz w:val="24"/>
                      <w:szCs w:val="24"/>
                    </w:rPr>
                    <w:t xml:space="preserve"> downrange.</w:t>
                  </w:r>
                </w:p>
                <w:p w14:paraId="3D2874B4"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 alcoholic beverages on the range.</w:t>
                  </w:r>
                </w:p>
                <w:p w14:paraId="5411F8E1"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Police the range when finished. Place used brass in the designated container or take it out with you.</w:t>
                  </w:r>
                </w:p>
                <w:p w14:paraId="5085A142" w14:textId="77777777" w:rsidR="006419FE" w:rsidRDefault="006419FE" w:rsidP="003E4C74">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Range hours are from 9:00 AM until 9:00 PM.</w:t>
                  </w:r>
                </w:p>
                <w:p w14:paraId="318852CB" w14:textId="77777777" w:rsidR="006419FE" w:rsidRPr="005B1688" w:rsidRDefault="006419FE" w:rsidP="003E4C74">
                  <w:pPr>
                    <w:spacing w:after="0" w:line="240" w:lineRule="auto"/>
                    <w:rPr>
                      <w:rFonts w:ascii="Calibri" w:eastAsia="Times New Roman" w:hAnsi="Calibri" w:cs="Calibri"/>
                      <w:color w:val="000000"/>
                      <w:sz w:val="24"/>
                      <w:szCs w:val="24"/>
                    </w:rPr>
                  </w:pPr>
                </w:p>
              </w:tc>
            </w:tr>
          </w:tbl>
          <w:p w14:paraId="1C2A64FC" w14:textId="77777777" w:rsidR="006419FE" w:rsidRPr="005B1688" w:rsidRDefault="006419FE" w:rsidP="003E4C74">
            <w:pPr>
              <w:pStyle w:val="ListParagraph"/>
              <w:spacing w:after="0" w:line="240" w:lineRule="auto"/>
              <w:rPr>
                <w:rFonts w:ascii="Calibri" w:eastAsia="Times New Roman" w:hAnsi="Calibri" w:cs="Calibri"/>
                <w:color w:val="000000"/>
                <w:sz w:val="24"/>
                <w:szCs w:val="24"/>
              </w:rPr>
            </w:pPr>
          </w:p>
        </w:tc>
      </w:tr>
      <w:tr w:rsidR="006419FE" w:rsidRPr="005B1688" w14:paraId="4E8D868E" w14:textId="77777777" w:rsidTr="003E4C74">
        <w:trPr>
          <w:trHeight w:val="288"/>
        </w:trPr>
        <w:tc>
          <w:tcPr>
            <w:tcW w:w="9360" w:type="dxa"/>
            <w:tcBorders>
              <w:top w:val="nil"/>
              <w:left w:val="nil"/>
              <w:bottom w:val="nil"/>
              <w:right w:val="nil"/>
            </w:tcBorders>
            <w:shd w:val="clear" w:color="auto" w:fill="auto"/>
            <w:noWrap/>
            <w:vAlign w:val="center"/>
            <w:hideMark/>
          </w:tcPr>
          <w:p w14:paraId="03E3A069" w14:textId="77777777" w:rsidR="006419FE" w:rsidRPr="005B1688" w:rsidRDefault="006419FE" w:rsidP="003E4C74">
            <w:pPr>
              <w:pStyle w:val="ListParagraph"/>
              <w:spacing w:after="0" w:line="240" w:lineRule="auto"/>
              <w:rPr>
                <w:rFonts w:ascii="Calibri" w:eastAsia="Times New Roman" w:hAnsi="Calibri" w:cs="Calibri"/>
                <w:color w:val="000000"/>
                <w:sz w:val="24"/>
                <w:szCs w:val="24"/>
              </w:rPr>
            </w:pPr>
          </w:p>
        </w:tc>
      </w:tr>
      <w:tr w:rsidR="006419FE" w:rsidRPr="005B1688" w14:paraId="16A6BE77" w14:textId="77777777" w:rsidTr="003E4C74">
        <w:trPr>
          <w:trHeight w:val="288"/>
        </w:trPr>
        <w:tc>
          <w:tcPr>
            <w:tcW w:w="9360" w:type="dxa"/>
            <w:tcBorders>
              <w:top w:val="nil"/>
              <w:left w:val="nil"/>
              <w:bottom w:val="nil"/>
              <w:right w:val="nil"/>
            </w:tcBorders>
            <w:shd w:val="clear" w:color="auto" w:fill="auto"/>
            <w:noWrap/>
            <w:vAlign w:val="center"/>
            <w:hideMark/>
          </w:tcPr>
          <w:tbl>
            <w:tblPr>
              <w:tblW w:w="9144" w:type="dxa"/>
              <w:tblLook w:val="04A0" w:firstRow="1" w:lastRow="0" w:firstColumn="1" w:lastColumn="0" w:noHBand="0" w:noVBand="1"/>
            </w:tblPr>
            <w:tblGrid>
              <w:gridCol w:w="9144"/>
            </w:tblGrid>
            <w:tr w:rsidR="006419FE" w:rsidRPr="005B1688" w14:paraId="295BA6F2" w14:textId="77777777" w:rsidTr="003E4C74">
              <w:trPr>
                <w:trHeight w:val="288"/>
              </w:trPr>
              <w:tc>
                <w:tcPr>
                  <w:tcW w:w="9144" w:type="dxa"/>
                  <w:tcBorders>
                    <w:top w:val="nil"/>
                    <w:left w:val="nil"/>
                    <w:bottom w:val="nil"/>
                    <w:right w:val="nil"/>
                  </w:tcBorders>
                  <w:shd w:val="clear" w:color="auto" w:fill="auto"/>
                  <w:noWrap/>
                  <w:vAlign w:val="center"/>
                  <w:hideMark/>
                </w:tcPr>
                <w:p w14:paraId="266FC815" w14:textId="77777777" w:rsidR="006419FE" w:rsidRPr="005B1688" w:rsidRDefault="006419FE" w:rsidP="003E4C74">
                  <w:pPr>
                    <w:rPr>
                      <w:rFonts w:ascii="Calibri" w:eastAsia="Times New Roman" w:hAnsi="Calibri" w:cs="Calibri"/>
                      <w:color w:val="000000"/>
                      <w:sz w:val="24"/>
                      <w:szCs w:val="24"/>
                    </w:rPr>
                  </w:pPr>
                </w:p>
              </w:tc>
            </w:tr>
            <w:tr w:rsidR="006419FE" w:rsidRPr="005B1688" w14:paraId="509F0F86" w14:textId="77777777" w:rsidTr="003E4C74">
              <w:trPr>
                <w:trHeight w:val="288"/>
              </w:trPr>
              <w:tc>
                <w:tcPr>
                  <w:tcW w:w="9144" w:type="dxa"/>
                  <w:tcBorders>
                    <w:top w:val="nil"/>
                    <w:left w:val="nil"/>
                    <w:bottom w:val="nil"/>
                    <w:right w:val="nil"/>
                  </w:tcBorders>
                  <w:shd w:val="clear" w:color="auto" w:fill="auto"/>
                  <w:noWrap/>
                  <w:vAlign w:val="center"/>
                </w:tcPr>
                <w:p w14:paraId="3C20592C" w14:textId="77777777" w:rsidR="006419FE" w:rsidRDefault="006419FE" w:rsidP="003E4C74">
                  <w:pPr>
                    <w:spacing w:after="0" w:line="240" w:lineRule="auto"/>
                    <w:rPr>
                      <w:rFonts w:ascii="Calibri" w:eastAsia="Times New Roman" w:hAnsi="Calibri" w:cs="Calibri"/>
                      <w:color w:val="000000"/>
                      <w:sz w:val="24"/>
                      <w:szCs w:val="24"/>
                    </w:rPr>
                  </w:pPr>
                </w:p>
                <w:p w14:paraId="4009BCDC" w14:textId="77777777" w:rsidR="006419FE" w:rsidRPr="005B1688" w:rsidRDefault="006419FE" w:rsidP="003E4C74">
                  <w:pPr>
                    <w:spacing w:after="0" w:line="240" w:lineRule="auto"/>
                    <w:jc w:val="center"/>
                    <w:rPr>
                      <w:rFonts w:ascii="Calibri" w:eastAsia="Times New Roman" w:hAnsi="Calibri" w:cs="Calibri"/>
                      <w:color w:val="000000"/>
                      <w:sz w:val="24"/>
                      <w:szCs w:val="24"/>
                    </w:rPr>
                  </w:pPr>
                  <w:r w:rsidRPr="00BD24CB">
                    <w:rPr>
                      <w:rFonts w:ascii="Calibri" w:eastAsia="Times New Roman" w:hAnsi="Calibri" w:cs="Calibri"/>
                      <w:b/>
                      <w:bCs/>
                      <w:color w:val="000000"/>
                      <w:sz w:val="24"/>
                      <w:szCs w:val="24"/>
                    </w:rPr>
                    <w:t>Any person caught in violation of these range rules will be brought before the Executive Board for disciplinary action which may include loss of use of the facility, loss of membership, or referral to law enforcement.</w:t>
                  </w:r>
                </w:p>
              </w:tc>
            </w:tr>
            <w:tr w:rsidR="006419FE" w:rsidRPr="005B1688" w14:paraId="46F64AC1" w14:textId="77777777" w:rsidTr="003E4C74">
              <w:trPr>
                <w:trHeight w:val="288"/>
              </w:trPr>
              <w:tc>
                <w:tcPr>
                  <w:tcW w:w="9144" w:type="dxa"/>
                  <w:tcBorders>
                    <w:top w:val="nil"/>
                    <w:left w:val="nil"/>
                    <w:bottom w:val="nil"/>
                    <w:right w:val="nil"/>
                  </w:tcBorders>
                  <w:shd w:val="clear" w:color="auto" w:fill="auto"/>
                  <w:noWrap/>
                  <w:vAlign w:val="center"/>
                </w:tcPr>
                <w:p w14:paraId="01236C16" w14:textId="77777777" w:rsidR="006419FE" w:rsidRPr="005B1688" w:rsidRDefault="006419FE" w:rsidP="003E4C74">
                  <w:pPr>
                    <w:spacing w:after="0" w:line="240" w:lineRule="auto"/>
                    <w:jc w:val="center"/>
                    <w:rPr>
                      <w:rFonts w:ascii="Calibri" w:eastAsia="Times New Roman" w:hAnsi="Calibri" w:cs="Calibri"/>
                      <w:color w:val="000000"/>
                      <w:sz w:val="24"/>
                      <w:szCs w:val="24"/>
                    </w:rPr>
                  </w:pPr>
                </w:p>
              </w:tc>
            </w:tr>
            <w:tr w:rsidR="006419FE" w:rsidRPr="005B1688" w14:paraId="6DB54340" w14:textId="77777777" w:rsidTr="003E4C74">
              <w:trPr>
                <w:trHeight w:val="288"/>
              </w:trPr>
              <w:tc>
                <w:tcPr>
                  <w:tcW w:w="9144" w:type="dxa"/>
                  <w:tcBorders>
                    <w:top w:val="nil"/>
                    <w:left w:val="nil"/>
                    <w:bottom w:val="nil"/>
                    <w:right w:val="nil"/>
                  </w:tcBorders>
                  <w:shd w:val="clear" w:color="auto" w:fill="auto"/>
                  <w:noWrap/>
                  <w:vAlign w:val="center"/>
                </w:tcPr>
                <w:p w14:paraId="719EA1E2" w14:textId="77777777" w:rsidR="006419FE" w:rsidRPr="005B1688" w:rsidRDefault="006419FE" w:rsidP="003E4C74">
                  <w:pPr>
                    <w:spacing w:after="0" w:line="240" w:lineRule="auto"/>
                    <w:rPr>
                      <w:rFonts w:ascii="Calibri" w:eastAsia="Times New Roman" w:hAnsi="Calibri" w:cs="Calibri"/>
                      <w:color w:val="000000"/>
                      <w:sz w:val="24"/>
                      <w:szCs w:val="24"/>
                    </w:rPr>
                  </w:pPr>
                </w:p>
              </w:tc>
            </w:tr>
            <w:tr w:rsidR="006419FE" w:rsidRPr="005B1688" w14:paraId="2F11383A" w14:textId="77777777" w:rsidTr="003E4C74">
              <w:trPr>
                <w:trHeight w:val="288"/>
              </w:trPr>
              <w:tc>
                <w:tcPr>
                  <w:tcW w:w="9144" w:type="dxa"/>
                  <w:tcBorders>
                    <w:top w:val="nil"/>
                    <w:left w:val="nil"/>
                    <w:bottom w:val="nil"/>
                    <w:right w:val="nil"/>
                  </w:tcBorders>
                  <w:shd w:val="clear" w:color="auto" w:fill="auto"/>
                  <w:noWrap/>
                  <w:vAlign w:val="center"/>
                  <w:hideMark/>
                </w:tcPr>
                <w:p w14:paraId="5DE1DAAB" w14:textId="77777777" w:rsidR="006419FE" w:rsidRPr="005B1688" w:rsidRDefault="006419FE" w:rsidP="003E4C74">
                  <w:pPr>
                    <w:spacing w:after="0" w:line="240" w:lineRule="auto"/>
                    <w:rPr>
                      <w:rFonts w:ascii="Calibri" w:eastAsia="Times New Roman" w:hAnsi="Calibri" w:cs="Calibri"/>
                      <w:color w:val="000000"/>
                      <w:sz w:val="24"/>
                      <w:szCs w:val="24"/>
                    </w:rPr>
                  </w:pPr>
                </w:p>
                <w:p w14:paraId="3C8ECC08" w14:textId="77777777" w:rsidR="006419FE" w:rsidRPr="005B1688" w:rsidRDefault="006419FE" w:rsidP="003E4C74">
                  <w:pPr>
                    <w:spacing w:after="0" w:line="240" w:lineRule="auto"/>
                    <w:rPr>
                      <w:rFonts w:ascii="Calibri" w:eastAsia="Times New Roman" w:hAnsi="Calibri" w:cs="Calibri"/>
                      <w:color w:val="000000"/>
                      <w:sz w:val="24"/>
                      <w:szCs w:val="24"/>
                    </w:rPr>
                  </w:pPr>
                </w:p>
                <w:p w14:paraId="4D3616B0" w14:textId="77777777" w:rsidR="006419FE" w:rsidRPr="005B1688" w:rsidRDefault="006419FE" w:rsidP="003E4C74">
                  <w:pPr>
                    <w:spacing w:after="0" w:line="240" w:lineRule="auto"/>
                    <w:jc w:val="center"/>
                    <w:rPr>
                      <w:rFonts w:ascii="Calibri" w:eastAsia="Times New Roman" w:hAnsi="Calibri" w:cs="Calibri"/>
                      <w:b/>
                      <w:bCs/>
                      <w:color w:val="000000"/>
                      <w:sz w:val="24"/>
                      <w:szCs w:val="24"/>
                    </w:rPr>
                  </w:pPr>
                </w:p>
              </w:tc>
            </w:tr>
          </w:tbl>
          <w:p w14:paraId="42A6DE30" w14:textId="77777777" w:rsidR="006419FE" w:rsidRPr="005B1688" w:rsidRDefault="006419FE" w:rsidP="003E4C74">
            <w:pPr>
              <w:spacing w:after="0" w:line="240" w:lineRule="auto"/>
              <w:rPr>
                <w:rFonts w:ascii="Calibri" w:eastAsia="Times New Roman" w:hAnsi="Calibri" w:cs="Calibri"/>
                <w:color w:val="000000"/>
                <w:sz w:val="24"/>
                <w:szCs w:val="24"/>
              </w:rPr>
            </w:pPr>
          </w:p>
        </w:tc>
      </w:tr>
      <w:tr w:rsidR="006419FE" w:rsidRPr="005B1688" w14:paraId="26F8F561" w14:textId="77777777" w:rsidTr="003E4C74">
        <w:trPr>
          <w:trHeight w:val="288"/>
        </w:trPr>
        <w:tc>
          <w:tcPr>
            <w:tcW w:w="9360" w:type="dxa"/>
            <w:tcBorders>
              <w:top w:val="nil"/>
              <w:left w:val="nil"/>
              <w:bottom w:val="nil"/>
              <w:right w:val="nil"/>
            </w:tcBorders>
            <w:shd w:val="clear" w:color="auto" w:fill="auto"/>
            <w:noWrap/>
            <w:vAlign w:val="center"/>
          </w:tcPr>
          <w:p w14:paraId="15E5ABB5" w14:textId="77777777" w:rsidR="006419FE" w:rsidRPr="00BD24CB" w:rsidRDefault="006419FE" w:rsidP="003E4C74">
            <w:pPr>
              <w:spacing w:after="0" w:line="240" w:lineRule="auto"/>
              <w:rPr>
                <w:rFonts w:ascii="Calibri" w:eastAsia="Times New Roman" w:hAnsi="Calibri" w:cs="Calibri"/>
                <w:color w:val="000000"/>
                <w:sz w:val="24"/>
                <w:szCs w:val="24"/>
              </w:rPr>
            </w:pPr>
          </w:p>
        </w:tc>
      </w:tr>
    </w:tbl>
    <w:p w14:paraId="517024A3" w14:textId="7C5016D7" w:rsidR="00CA4795" w:rsidRPr="0090724A" w:rsidRDefault="00CA4795" w:rsidP="00CA4795">
      <w:pPr>
        <w:jc w:val="center"/>
        <w:rPr>
          <w:b/>
          <w:bCs/>
          <w:sz w:val="40"/>
          <w:szCs w:val="40"/>
        </w:rPr>
      </w:pPr>
      <w:r w:rsidRPr="0090724A">
        <w:rPr>
          <w:b/>
          <w:bCs/>
          <w:sz w:val="40"/>
          <w:szCs w:val="40"/>
        </w:rPr>
        <w:lastRenderedPageBreak/>
        <w:t>Skaneateles Rod and Gun Club</w:t>
      </w:r>
    </w:p>
    <w:p w14:paraId="1D701E39" w14:textId="10815C87" w:rsidR="00CA4795" w:rsidRDefault="00CA4795" w:rsidP="00CA4795">
      <w:pPr>
        <w:jc w:val="center"/>
        <w:rPr>
          <w:b/>
          <w:bCs/>
          <w:sz w:val="40"/>
          <w:szCs w:val="40"/>
        </w:rPr>
      </w:pPr>
      <w:r w:rsidRPr="0090724A">
        <w:rPr>
          <w:b/>
          <w:bCs/>
          <w:sz w:val="40"/>
          <w:szCs w:val="40"/>
        </w:rPr>
        <w:t>Pistol Barn Ammunition Guidelines</w:t>
      </w:r>
    </w:p>
    <w:p w14:paraId="236A1A8A" w14:textId="77777777" w:rsidR="00AB3B87" w:rsidRPr="0090724A" w:rsidRDefault="00AB3B87" w:rsidP="00CA4795">
      <w:pPr>
        <w:jc w:val="center"/>
        <w:rPr>
          <w:b/>
          <w:bCs/>
          <w:sz w:val="40"/>
          <w:szCs w:val="40"/>
        </w:rPr>
      </w:pPr>
    </w:p>
    <w:p w14:paraId="59AD4D53" w14:textId="4EB296C0" w:rsidR="00CA4795" w:rsidRPr="008A3E3A" w:rsidRDefault="00CA4795" w:rsidP="00CA4795">
      <w:pPr>
        <w:jc w:val="center"/>
        <w:rPr>
          <w:b/>
          <w:bCs/>
          <w:color w:val="FF0000"/>
          <w:sz w:val="48"/>
          <w:szCs w:val="48"/>
        </w:rPr>
      </w:pPr>
      <w:r w:rsidRPr="0090724A">
        <w:rPr>
          <w:b/>
          <w:bCs/>
          <w:color w:val="FF0000"/>
          <w:sz w:val="40"/>
          <w:szCs w:val="40"/>
        </w:rPr>
        <w:t>Preferred Ammo</w:t>
      </w:r>
    </w:p>
    <w:p w14:paraId="6572A71B" w14:textId="5821040A" w:rsidR="008A3E3A" w:rsidRPr="00770FC1" w:rsidRDefault="00CA4795" w:rsidP="00CA4795">
      <w:pPr>
        <w:pStyle w:val="ListParagraph"/>
        <w:numPr>
          <w:ilvl w:val="0"/>
          <w:numId w:val="1"/>
        </w:numPr>
        <w:jc w:val="center"/>
        <w:rPr>
          <w:b/>
          <w:bCs/>
          <w:sz w:val="36"/>
          <w:szCs w:val="36"/>
        </w:rPr>
      </w:pPr>
      <w:r w:rsidRPr="00770FC1">
        <w:rPr>
          <w:b/>
          <w:bCs/>
          <w:sz w:val="36"/>
          <w:szCs w:val="36"/>
        </w:rPr>
        <w:t>Lead or Copper Plated Lead</w:t>
      </w:r>
      <w:r w:rsidR="008A3E3A" w:rsidRPr="00770FC1">
        <w:rPr>
          <w:b/>
          <w:bCs/>
          <w:sz w:val="36"/>
          <w:szCs w:val="36"/>
        </w:rPr>
        <w:t xml:space="preserve"> </w:t>
      </w:r>
      <w:r w:rsidR="00240703" w:rsidRPr="00770FC1">
        <w:rPr>
          <w:b/>
          <w:bCs/>
          <w:sz w:val="36"/>
          <w:szCs w:val="36"/>
        </w:rPr>
        <w:t>-</w:t>
      </w:r>
      <w:r w:rsidR="0090724A" w:rsidRPr="00770FC1">
        <w:rPr>
          <w:b/>
          <w:bCs/>
          <w:sz w:val="36"/>
          <w:szCs w:val="36"/>
        </w:rPr>
        <w:t xml:space="preserve"> </w:t>
      </w:r>
      <w:r w:rsidR="008A3E3A" w:rsidRPr="00770FC1">
        <w:rPr>
          <w:b/>
          <w:bCs/>
          <w:sz w:val="36"/>
          <w:szCs w:val="36"/>
        </w:rPr>
        <w:t>Brass Casing Soft point</w:t>
      </w:r>
    </w:p>
    <w:p w14:paraId="30060718" w14:textId="77777777" w:rsidR="0090724A" w:rsidRPr="00770FC1" w:rsidRDefault="0090724A" w:rsidP="0090724A">
      <w:pPr>
        <w:pStyle w:val="ListParagraph"/>
        <w:rPr>
          <w:b/>
          <w:bCs/>
          <w:sz w:val="36"/>
          <w:szCs w:val="36"/>
        </w:rPr>
      </w:pPr>
      <w:r w:rsidRPr="00770FC1">
        <w:rPr>
          <w:b/>
          <w:bCs/>
          <w:sz w:val="36"/>
          <w:szCs w:val="36"/>
        </w:rPr>
        <w:t>Examples:</w:t>
      </w:r>
    </w:p>
    <w:p w14:paraId="4D3068C7" w14:textId="05A4D066" w:rsidR="008A3E3A" w:rsidRPr="00770FC1" w:rsidRDefault="0090724A" w:rsidP="0090724A">
      <w:pPr>
        <w:jc w:val="center"/>
        <w:rPr>
          <w:b/>
          <w:bCs/>
          <w:sz w:val="36"/>
          <w:szCs w:val="36"/>
        </w:rPr>
      </w:pPr>
      <w:r w:rsidRPr="00770FC1">
        <w:rPr>
          <w:b/>
          <w:bCs/>
          <w:sz w:val="36"/>
          <w:szCs w:val="36"/>
        </w:rPr>
        <w:t>22 Cal. Rimfire</w:t>
      </w:r>
    </w:p>
    <w:p w14:paraId="3F9C05BF" w14:textId="0F53DD78" w:rsidR="008A3E3A" w:rsidRPr="0090724A" w:rsidRDefault="0090724A" w:rsidP="008A3E3A">
      <w:pPr>
        <w:jc w:val="center"/>
        <w:rPr>
          <w:b/>
          <w:bCs/>
          <w:sz w:val="32"/>
          <w:szCs w:val="32"/>
        </w:rPr>
      </w:pPr>
      <w:r>
        <w:rPr>
          <w:rFonts w:ascii="Lato" w:hAnsi="Lato"/>
          <w:noProof/>
          <w:color w:val="000000"/>
          <w:sz w:val="30"/>
          <w:szCs w:val="30"/>
          <w:shd w:val="clear" w:color="auto" w:fill="FFFFFF"/>
        </w:rPr>
        <w:drawing>
          <wp:inline distT="0" distB="0" distL="0" distR="0" wp14:anchorId="1F63EC62" wp14:editId="57703062">
            <wp:extent cx="2962656" cy="1901952"/>
            <wp:effectExtent l="0" t="0" r="9525" b="317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656" cy="1901952"/>
                    </a:xfrm>
                    <a:prstGeom prst="rect">
                      <a:avLst/>
                    </a:prstGeom>
                  </pic:spPr>
                </pic:pic>
              </a:graphicData>
            </a:graphic>
          </wp:inline>
        </w:drawing>
      </w:r>
    </w:p>
    <w:p w14:paraId="75680F11" w14:textId="77777777" w:rsidR="0090724A" w:rsidRDefault="0090724A" w:rsidP="00CA4795">
      <w:pPr>
        <w:jc w:val="center"/>
        <w:rPr>
          <w:b/>
          <w:bCs/>
          <w:sz w:val="32"/>
          <w:szCs w:val="32"/>
        </w:rPr>
      </w:pPr>
    </w:p>
    <w:p w14:paraId="7C10566E" w14:textId="2EF58A85" w:rsidR="008A3E3A" w:rsidRPr="00770FC1" w:rsidRDefault="0090724A" w:rsidP="00CA4795">
      <w:pPr>
        <w:jc w:val="center"/>
        <w:rPr>
          <w:b/>
          <w:bCs/>
          <w:sz w:val="36"/>
          <w:szCs w:val="36"/>
        </w:rPr>
      </w:pPr>
      <w:r w:rsidRPr="00770FC1">
        <w:rPr>
          <w:b/>
          <w:bCs/>
          <w:sz w:val="36"/>
          <w:szCs w:val="36"/>
        </w:rPr>
        <w:t>Centerfire</w:t>
      </w:r>
    </w:p>
    <w:p w14:paraId="3B6CBC73" w14:textId="77777777" w:rsidR="00A876F7" w:rsidRDefault="00A876F7" w:rsidP="00CA4795">
      <w:pPr>
        <w:jc w:val="center"/>
        <w:rPr>
          <w:b/>
          <w:bCs/>
          <w:sz w:val="40"/>
          <w:szCs w:val="40"/>
        </w:rPr>
      </w:pPr>
    </w:p>
    <w:p w14:paraId="364238E7" w14:textId="3E945174" w:rsidR="008A3E3A" w:rsidRDefault="0090724A" w:rsidP="00CA4795">
      <w:pPr>
        <w:jc w:val="center"/>
        <w:rPr>
          <w:b/>
          <w:bCs/>
          <w:sz w:val="40"/>
          <w:szCs w:val="40"/>
        </w:rPr>
      </w:pPr>
      <w:r>
        <w:rPr>
          <w:b/>
          <w:bCs/>
          <w:noProof/>
          <w:sz w:val="40"/>
          <w:szCs w:val="40"/>
        </w:rPr>
        <w:drawing>
          <wp:inline distT="0" distB="0" distL="0" distR="0" wp14:anchorId="5B05B02C" wp14:editId="195AD843">
            <wp:extent cx="1800225" cy="1732547"/>
            <wp:effectExtent l="0" t="0" r="0" b="1270"/>
            <wp:docPr id="6" name="Picture 6" descr="A close-up of a salt shak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alt shak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454" cy="1737580"/>
                    </a:xfrm>
                    <a:prstGeom prst="rect">
                      <a:avLst/>
                    </a:prstGeom>
                  </pic:spPr>
                </pic:pic>
              </a:graphicData>
            </a:graphic>
          </wp:inline>
        </w:drawing>
      </w:r>
    </w:p>
    <w:p w14:paraId="5FDE693F" w14:textId="19233931" w:rsidR="008A3E3A" w:rsidRPr="0090724A" w:rsidRDefault="008A3E3A" w:rsidP="008A3E3A">
      <w:pPr>
        <w:jc w:val="center"/>
        <w:rPr>
          <w:b/>
          <w:bCs/>
          <w:sz w:val="40"/>
          <w:szCs w:val="40"/>
        </w:rPr>
      </w:pPr>
      <w:r w:rsidRPr="0090724A">
        <w:rPr>
          <w:b/>
          <w:bCs/>
          <w:sz w:val="40"/>
          <w:szCs w:val="40"/>
        </w:rPr>
        <w:lastRenderedPageBreak/>
        <w:t>Skaneateles Rod and Gun Club</w:t>
      </w:r>
    </w:p>
    <w:p w14:paraId="727884C7" w14:textId="5B4CDA76" w:rsidR="008A3E3A" w:rsidRDefault="008A3E3A" w:rsidP="008A3E3A">
      <w:pPr>
        <w:jc w:val="center"/>
        <w:rPr>
          <w:b/>
          <w:bCs/>
          <w:sz w:val="40"/>
          <w:szCs w:val="40"/>
        </w:rPr>
      </w:pPr>
      <w:r w:rsidRPr="0090724A">
        <w:rPr>
          <w:b/>
          <w:bCs/>
          <w:sz w:val="40"/>
          <w:szCs w:val="40"/>
        </w:rPr>
        <w:t>Pistol Barn Ammunition Guidelines</w:t>
      </w:r>
    </w:p>
    <w:p w14:paraId="4D53CC8B" w14:textId="29F0D344" w:rsidR="008A3E3A" w:rsidRPr="0090724A" w:rsidRDefault="008A3E3A" w:rsidP="008A3E3A">
      <w:pPr>
        <w:jc w:val="center"/>
        <w:rPr>
          <w:b/>
          <w:bCs/>
          <w:color w:val="FF0000"/>
          <w:sz w:val="40"/>
          <w:szCs w:val="40"/>
        </w:rPr>
      </w:pPr>
      <w:r w:rsidRPr="0090724A">
        <w:rPr>
          <w:b/>
          <w:bCs/>
          <w:color w:val="FF0000"/>
          <w:sz w:val="40"/>
          <w:szCs w:val="40"/>
        </w:rPr>
        <w:t>Preferred Ammo</w:t>
      </w:r>
    </w:p>
    <w:p w14:paraId="14869BD8" w14:textId="77777777" w:rsidR="008A3E3A" w:rsidRPr="0090724A" w:rsidRDefault="008A3E3A" w:rsidP="008A3E3A">
      <w:pPr>
        <w:pStyle w:val="ListParagraph"/>
        <w:numPr>
          <w:ilvl w:val="0"/>
          <w:numId w:val="1"/>
        </w:numPr>
        <w:jc w:val="center"/>
        <w:rPr>
          <w:b/>
          <w:bCs/>
          <w:sz w:val="36"/>
          <w:szCs w:val="36"/>
        </w:rPr>
      </w:pPr>
      <w:r>
        <w:rPr>
          <w:b/>
          <w:bCs/>
          <w:sz w:val="40"/>
          <w:szCs w:val="40"/>
        </w:rPr>
        <w:t xml:space="preserve"> </w:t>
      </w:r>
      <w:r w:rsidRPr="0090724A">
        <w:rPr>
          <w:b/>
          <w:bCs/>
          <w:sz w:val="36"/>
          <w:szCs w:val="36"/>
        </w:rPr>
        <w:t xml:space="preserve">Synthetic: American Eagle Syntech </w:t>
      </w:r>
    </w:p>
    <w:p w14:paraId="6EDFBD1C" w14:textId="754F82DD" w:rsidR="008A3E3A" w:rsidRPr="0090724A" w:rsidRDefault="008A3E3A" w:rsidP="008A3E3A">
      <w:pPr>
        <w:pStyle w:val="ListParagraph"/>
        <w:rPr>
          <w:b/>
          <w:bCs/>
          <w:sz w:val="36"/>
          <w:szCs w:val="36"/>
        </w:rPr>
      </w:pPr>
      <w:r w:rsidRPr="0090724A">
        <w:rPr>
          <w:b/>
          <w:bCs/>
          <w:sz w:val="36"/>
          <w:szCs w:val="36"/>
        </w:rPr>
        <w:t xml:space="preserve">    </w:t>
      </w:r>
      <w:r w:rsidR="004E3E9F" w:rsidRPr="0090724A">
        <w:rPr>
          <w:b/>
          <w:bCs/>
          <w:sz w:val="36"/>
          <w:szCs w:val="36"/>
        </w:rPr>
        <w:t>Semi-Automatic</w:t>
      </w:r>
      <w:r w:rsidRPr="0090724A">
        <w:rPr>
          <w:b/>
          <w:bCs/>
          <w:sz w:val="36"/>
          <w:szCs w:val="36"/>
        </w:rPr>
        <w:t>/ACP</w:t>
      </w:r>
      <w:r w:rsidR="00D266AA">
        <w:rPr>
          <w:b/>
          <w:bCs/>
          <w:sz w:val="36"/>
          <w:szCs w:val="36"/>
        </w:rPr>
        <w:t xml:space="preserve"> -</w:t>
      </w:r>
      <w:r w:rsidR="004E3E9F" w:rsidRPr="0090724A">
        <w:rPr>
          <w:b/>
          <w:bCs/>
          <w:sz w:val="36"/>
          <w:szCs w:val="36"/>
        </w:rPr>
        <w:t xml:space="preserve"> 380, 9mm, 40</w:t>
      </w:r>
      <w:r w:rsidR="00D266AA">
        <w:rPr>
          <w:b/>
          <w:bCs/>
          <w:sz w:val="36"/>
          <w:szCs w:val="36"/>
        </w:rPr>
        <w:t>,</w:t>
      </w:r>
      <w:r w:rsidR="004E3E9F" w:rsidRPr="0090724A">
        <w:rPr>
          <w:b/>
          <w:bCs/>
          <w:sz w:val="36"/>
          <w:szCs w:val="36"/>
        </w:rPr>
        <w:t xml:space="preserve"> 45</w:t>
      </w:r>
    </w:p>
    <w:p w14:paraId="6FBF34EF" w14:textId="77777777" w:rsidR="004E3E9F" w:rsidRDefault="004E3E9F" w:rsidP="008A3E3A">
      <w:pPr>
        <w:pStyle w:val="ListParagraph"/>
        <w:rPr>
          <w:b/>
          <w:bCs/>
          <w:sz w:val="40"/>
          <w:szCs w:val="40"/>
        </w:rPr>
      </w:pPr>
    </w:p>
    <w:p w14:paraId="7DDE7A11" w14:textId="297317B8" w:rsidR="008A3E3A" w:rsidRPr="008A3E3A" w:rsidRDefault="004E3E9F" w:rsidP="004E3E9F">
      <w:pPr>
        <w:pStyle w:val="ListParagraph"/>
        <w:jc w:val="center"/>
        <w:rPr>
          <w:b/>
          <w:bCs/>
          <w:sz w:val="40"/>
          <w:szCs w:val="40"/>
        </w:rPr>
      </w:pPr>
      <w:r>
        <w:rPr>
          <w:b/>
          <w:bCs/>
          <w:noProof/>
          <w:sz w:val="40"/>
          <w:szCs w:val="40"/>
        </w:rPr>
        <w:drawing>
          <wp:inline distT="0" distB="0" distL="0" distR="0" wp14:anchorId="3F61B028" wp14:editId="0D731651">
            <wp:extent cx="3502152" cy="1837944"/>
            <wp:effectExtent l="0" t="0" r="317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2152" cy="1837944"/>
                    </a:xfrm>
                    <a:prstGeom prst="rect">
                      <a:avLst/>
                    </a:prstGeom>
                  </pic:spPr>
                </pic:pic>
              </a:graphicData>
            </a:graphic>
          </wp:inline>
        </w:drawing>
      </w:r>
    </w:p>
    <w:p w14:paraId="4A91BC29" w14:textId="77777777" w:rsidR="00770FC1" w:rsidRDefault="00770FC1" w:rsidP="00770FC1">
      <w:pPr>
        <w:ind w:left="360"/>
        <w:jc w:val="center"/>
        <w:rPr>
          <w:b/>
          <w:bCs/>
          <w:sz w:val="40"/>
          <w:szCs w:val="40"/>
        </w:rPr>
      </w:pPr>
    </w:p>
    <w:p w14:paraId="6BA752A2" w14:textId="2A1E89EE" w:rsidR="004E3E9F" w:rsidRPr="00770FC1" w:rsidRDefault="00770FC1" w:rsidP="00770FC1">
      <w:pPr>
        <w:ind w:left="360"/>
        <w:jc w:val="center"/>
        <w:rPr>
          <w:b/>
          <w:bCs/>
          <w:sz w:val="36"/>
          <w:szCs w:val="36"/>
        </w:rPr>
      </w:pPr>
      <w:r w:rsidRPr="00770FC1">
        <w:rPr>
          <w:b/>
          <w:bCs/>
          <w:sz w:val="36"/>
          <w:szCs w:val="36"/>
        </w:rPr>
        <w:t>3.</w:t>
      </w:r>
      <w:r w:rsidR="004E3E9F" w:rsidRPr="00770FC1">
        <w:rPr>
          <w:b/>
          <w:bCs/>
          <w:sz w:val="40"/>
          <w:szCs w:val="40"/>
        </w:rPr>
        <w:t xml:space="preserve"> </w:t>
      </w:r>
      <w:r w:rsidR="004E3E9F" w:rsidRPr="00770FC1">
        <w:rPr>
          <w:b/>
          <w:bCs/>
          <w:sz w:val="36"/>
          <w:szCs w:val="36"/>
        </w:rPr>
        <w:t>Composite Frangible</w:t>
      </w:r>
    </w:p>
    <w:p w14:paraId="4F24DCEB" w14:textId="06EB7FD9" w:rsidR="004E3E9F" w:rsidRPr="0090724A" w:rsidRDefault="004E3E9F" w:rsidP="004E3E9F">
      <w:pPr>
        <w:pStyle w:val="ListParagraph"/>
        <w:jc w:val="center"/>
        <w:rPr>
          <w:b/>
          <w:bCs/>
          <w:sz w:val="36"/>
          <w:szCs w:val="36"/>
        </w:rPr>
      </w:pPr>
      <w:r w:rsidRPr="0090724A">
        <w:rPr>
          <w:b/>
          <w:bCs/>
          <w:sz w:val="36"/>
          <w:szCs w:val="36"/>
        </w:rPr>
        <w:t xml:space="preserve">Semi-Automatic/ACP </w:t>
      </w:r>
      <w:r w:rsidR="00D266AA">
        <w:rPr>
          <w:b/>
          <w:bCs/>
          <w:sz w:val="36"/>
          <w:szCs w:val="36"/>
        </w:rPr>
        <w:t xml:space="preserve">- </w:t>
      </w:r>
      <w:r w:rsidRPr="0090724A">
        <w:rPr>
          <w:b/>
          <w:bCs/>
          <w:sz w:val="36"/>
          <w:szCs w:val="36"/>
        </w:rPr>
        <w:t>380</w:t>
      </w:r>
      <w:r w:rsidR="00D266AA">
        <w:rPr>
          <w:b/>
          <w:bCs/>
          <w:sz w:val="36"/>
          <w:szCs w:val="36"/>
        </w:rPr>
        <w:t>,</w:t>
      </w:r>
      <w:r w:rsidRPr="0090724A">
        <w:rPr>
          <w:b/>
          <w:bCs/>
          <w:sz w:val="36"/>
          <w:szCs w:val="36"/>
        </w:rPr>
        <w:t xml:space="preserve"> 9mm,</w:t>
      </w:r>
      <w:r w:rsidR="00D266AA">
        <w:rPr>
          <w:b/>
          <w:bCs/>
          <w:sz w:val="36"/>
          <w:szCs w:val="36"/>
        </w:rPr>
        <w:t xml:space="preserve"> </w:t>
      </w:r>
      <w:r w:rsidRPr="0090724A">
        <w:rPr>
          <w:b/>
          <w:bCs/>
          <w:sz w:val="36"/>
          <w:szCs w:val="36"/>
        </w:rPr>
        <w:t>40,</w:t>
      </w:r>
      <w:r w:rsidR="00D266AA">
        <w:rPr>
          <w:b/>
          <w:bCs/>
          <w:sz w:val="36"/>
          <w:szCs w:val="36"/>
        </w:rPr>
        <w:t xml:space="preserve"> </w:t>
      </w:r>
      <w:r w:rsidRPr="0090724A">
        <w:rPr>
          <w:b/>
          <w:bCs/>
          <w:sz w:val="36"/>
          <w:szCs w:val="36"/>
        </w:rPr>
        <w:t>45</w:t>
      </w:r>
    </w:p>
    <w:p w14:paraId="3A4BACD6" w14:textId="1AF9451C" w:rsidR="004E3E9F" w:rsidRPr="004E3E9F" w:rsidRDefault="004E3E9F" w:rsidP="004E3E9F">
      <w:pPr>
        <w:pStyle w:val="ListParagraph"/>
        <w:jc w:val="center"/>
        <w:rPr>
          <w:b/>
          <w:bCs/>
          <w:sz w:val="40"/>
          <w:szCs w:val="40"/>
        </w:rPr>
      </w:pPr>
      <w:r>
        <w:rPr>
          <w:b/>
          <w:bCs/>
          <w:noProof/>
          <w:sz w:val="40"/>
          <w:szCs w:val="40"/>
        </w:rPr>
        <w:drawing>
          <wp:inline distT="0" distB="0" distL="0" distR="0" wp14:anchorId="67DCF107" wp14:editId="6D3D775A">
            <wp:extent cx="2139696" cy="1828800"/>
            <wp:effectExtent l="0" t="0" r="0" b="0"/>
            <wp:docPr id="3" name="Picture 3" descr="A picture containing table, indoor, bullet, project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 indoor, bullet, projecti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696" cy="1828800"/>
                    </a:xfrm>
                    <a:prstGeom prst="rect">
                      <a:avLst/>
                    </a:prstGeom>
                  </pic:spPr>
                </pic:pic>
              </a:graphicData>
            </a:graphic>
          </wp:inline>
        </w:drawing>
      </w:r>
    </w:p>
    <w:p w14:paraId="19DD0C25" w14:textId="77777777" w:rsidR="00770FC1" w:rsidRDefault="00297BFE" w:rsidP="00297BFE">
      <w:pPr>
        <w:jc w:val="center"/>
        <w:rPr>
          <w:b/>
          <w:bCs/>
          <w:sz w:val="36"/>
          <w:szCs w:val="36"/>
        </w:rPr>
      </w:pPr>
      <w:r w:rsidRPr="0090724A">
        <w:rPr>
          <w:b/>
          <w:bCs/>
          <w:sz w:val="36"/>
          <w:szCs w:val="36"/>
        </w:rPr>
        <w:t>Order by mail/not available in stores</w:t>
      </w:r>
    </w:p>
    <w:p w14:paraId="5E98A5EF" w14:textId="628BF152" w:rsidR="00297BFE" w:rsidRPr="00770FC1" w:rsidRDefault="00297BFE" w:rsidP="00297BFE">
      <w:pPr>
        <w:jc w:val="center"/>
        <w:rPr>
          <w:b/>
          <w:bCs/>
          <w:sz w:val="40"/>
          <w:szCs w:val="40"/>
        </w:rPr>
      </w:pPr>
      <w:r w:rsidRPr="0090724A">
        <w:rPr>
          <w:b/>
          <w:bCs/>
          <w:sz w:val="36"/>
          <w:szCs w:val="36"/>
        </w:rPr>
        <w:lastRenderedPageBreak/>
        <w:t xml:space="preserve"> </w:t>
      </w:r>
      <w:r w:rsidRPr="00770FC1">
        <w:rPr>
          <w:b/>
          <w:bCs/>
          <w:sz w:val="40"/>
          <w:szCs w:val="40"/>
        </w:rPr>
        <w:t>Skaneateles Rod and Gun Club</w:t>
      </w:r>
    </w:p>
    <w:p w14:paraId="21229F90" w14:textId="4B922300" w:rsidR="00297BFE" w:rsidRDefault="00297BFE" w:rsidP="00297BFE">
      <w:pPr>
        <w:jc w:val="center"/>
        <w:rPr>
          <w:b/>
          <w:bCs/>
          <w:sz w:val="40"/>
          <w:szCs w:val="40"/>
        </w:rPr>
      </w:pPr>
      <w:r w:rsidRPr="00770FC1">
        <w:rPr>
          <w:b/>
          <w:bCs/>
          <w:sz w:val="40"/>
          <w:szCs w:val="40"/>
        </w:rPr>
        <w:t>Pistol Barn Ammunition Guidelines</w:t>
      </w:r>
    </w:p>
    <w:p w14:paraId="485013B4" w14:textId="417C1BA3" w:rsidR="00297BFE" w:rsidRDefault="00297BFE" w:rsidP="00297BFE">
      <w:pPr>
        <w:jc w:val="center"/>
        <w:rPr>
          <w:b/>
          <w:bCs/>
          <w:color w:val="FF0000"/>
          <w:sz w:val="40"/>
          <w:szCs w:val="40"/>
        </w:rPr>
      </w:pPr>
      <w:r w:rsidRPr="00770FC1">
        <w:rPr>
          <w:b/>
          <w:bCs/>
          <w:color w:val="FF0000"/>
          <w:sz w:val="40"/>
          <w:szCs w:val="40"/>
        </w:rPr>
        <w:t>Approved Ammo</w:t>
      </w:r>
    </w:p>
    <w:p w14:paraId="3F998B04" w14:textId="71B66FA8" w:rsidR="008A3E3A" w:rsidRDefault="00297BFE" w:rsidP="00CA4795">
      <w:pPr>
        <w:jc w:val="center"/>
        <w:rPr>
          <w:b/>
          <w:bCs/>
          <w:sz w:val="36"/>
          <w:szCs w:val="36"/>
        </w:rPr>
      </w:pPr>
      <w:r w:rsidRPr="00770FC1">
        <w:rPr>
          <w:b/>
          <w:bCs/>
          <w:sz w:val="36"/>
          <w:szCs w:val="36"/>
        </w:rPr>
        <w:t>Brass Plated/Lead Soft Point Core FMJ</w:t>
      </w:r>
    </w:p>
    <w:p w14:paraId="7EE66867" w14:textId="1B936FC3" w:rsidR="00770FC1" w:rsidRDefault="00770FC1" w:rsidP="00CA4795">
      <w:pPr>
        <w:jc w:val="center"/>
        <w:rPr>
          <w:b/>
          <w:bCs/>
          <w:sz w:val="36"/>
          <w:szCs w:val="36"/>
        </w:rPr>
      </w:pPr>
      <w:r>
        <w:rPr>
          <w:b/>
          <w:bCs/>
          <w:sz w:val="36"/>
          <w:szCs w:val="36"/>
        </w:rPr>
        <w:t>(Combination of lead with frangible soft brass jacket)</w:t>
      </w:r>
    </w:p>
    <w:p w14:paraId="2288151C" w14:textId="405599AE" w:rsidR="00297BFE" w:rsidRPr="00770FC1" w:rsidRDefault="00297BFE" w:rsidP="00CA4795">
      <w:pPr>
        <w:jc w:val="center"/>
        <w:rPr>
          <w:b/>
          <w:bCs/>
          <w:sz w:val="36"/>
          <w:szCs w:val="36"/>
        </w:rPr>
      </w:pPr>
      <w:r w:rsidRPr="00770FC1">
        <w:rPr>
          <w:b/>
          <w:bCs/>
          <w:sz w:val="36"/>
          <w:szCs w:val="36"/>
        </w:rPr>
        <w:t xml:space="preserve">Semi-Automatic/ACP </w:t>
      </w:r>
      <w:r w:rsidR="00240703" w:rsidRPr="00770FC1">
        <w:rPr>
          <w:b/>
          <w:bCs/>
          <w:sz w:val="36"/>
          <w:szCs w:val="36"/>
        </w:rPr>
        <w:t xml:space="preserve">in </w:t>
      </w:r>
      <w:r w:rsidRPr="00770FC1">
        <w:rPr>
          <w:b/>
          <w:bCs/>
          <w:sz w:val="36"/>
          <w:szCs w:val="36"/>
        </w:rPr>
        <w:t>380, 9mm,40,45</w:t>
      </w:r>
    </w:p>
    <w:p w14:paraId="194E58AA" w14:textId="797993EF" w:rsidR="00297BFE" w:rsidRPr="00770FC1" w:rsidRDefault="00297BFE" w:rsidP="00CA4795">
      <w:pPr>
        <w:jc w:val="center"/>
        <w:rPr>
          <w:b/>
          <w:bCs/>
          <w:sz w:val="36"/>
          <w:szCs w:val="36"/>
        </w:rPr>
      </w:pPr>
      <w:r w:rsidRPr="00770FC1">
        <w:rPr>
          <w:b/>
          <w:bCs/>
          <w:sz w:val="36"/>
          <w:szCs w:val="36"/>
        </w:rPr>
        <w:t>Examples: Winchester White Box, Remington UMC,</w:t>
      </w:r>
    </w:p>
    <w:p w14:paraId="11763414" w14:textId="77777777" w:rsidR="00AB3B87" w:rsidRPr="00AB3B87" w:rsidRDefault="00297BFE" w:rsidP="00CA4795">
      <w:pPr>
        <w:jc w:val="center"/>
        <w:rPr>
          <w:b/>
          <w:bCs/>
          <w:sz w:val="36"/>
          <w:szCs w:val="36"/>
        </w:rPr>
      </w:pPr>
      <w:r w:rsidRPr="00AB3B87">
        <w:rPr>
          <w:b/>
          <w:bCs/>
          <w:sz w:val="36"/>
          <w:szCs w:val="36"/>
        </w:rPr>
        <w:t>Magtech, American Eagle, Sig Sauer,</w:t>
      </w:r>
      <w:r w:rsidR="00317714" w:rsidRPr="00AB3B87">
        <w:rPr>
          <w:b/>
          <w:bCs/>
          <w:sz w:val="36"/>
          <w:szCs w:val="36"/>
        </w:rPr>
        <w:t xml:space="preserve"> CC</w:t>
      </w:r>
      <w:r w:rsidRPr="00AB3B87">
        <w:rPr>
          <w:b/>
          <w:bCs/>
          <w:sz w:val="36"/>
          <w:szCs w:val="36"/>
        </w:rPr>
        <w:t>l</w:t>
      </w:r>
      <w:r w:rsidR="00317714" w:rsidRPr="00AB3B87">
        <w:rPr>
          <w:b/>
          <w:bCs/>
          <w:sz w:val="36"/>
          <w:szCs w:val="36"/>
        </w:rPr>
        <w:t xml:space="preserve"> Blazer, Aguila FMJ &amp; Frangible Duty or Defense Ammo</w:t>
      </w:r>
    </w:p>
    <w:p w14:paraId="482D3388" w14:textId="2610AEDF" w:rsidR="00297BFE" w:rsidRPr="00AB3B87" w:rsidRDefault="00317714" w:rsidP="00CA4795">
      <w:pPr>
        <w:jc w:val="center"/>
        <w:rPr>
          <w:b/>
          <w:bCs/>
          <w:sz w:val="36"/>
          <w:szCs w:val="36"/>
        </w:rPr>
      </w:pPr>
      <w:r w:rsidRPr="00AB3B87">
        <w:rPr>
          <w:b/>
          <w:bCs/>
          <w:sz w:val="36"/>
          <w:szCs w:val="36"/>
        </w:rPr>
        <w:t xml:space="preserve"> </w:t>
      </w:r>
      <w:r w:rsidR="00AB3B87" w:rsidRPr="00AB3B87">
        <w:rPr>
          <w:b/>
          <w:bCs/>
          <w:sz w:val="36"/>
          <w:szCs w:val="36"/>
        </w:rPr>
        <w:t>(i.e.,</w:t>
      </w:r>
      <w:r w:rsidRPr="00AB3B87">
        <w:rPr>
          <w:b/>
          <w:bCs/>
          <w:sz w:val="36"/>
          <w:szCs w:val="36"/>
        </w:rPr>
        <w:t xml:space="preserve"> Hornady Critical</w:t>
      </w:r>
      <w:r w:rsidR="00AB3B87" w:rsidRPr="00AB3B87">
        <w:rPr>
          <w:b/>
          <w:bCs/>
          <w:sz w:val="36"/>
          <w:szCs w:val="36"/>
        </w:rPr>
        <w:t xml:space="preserve"> </w:t>
      </w:r>
      <w:r w:rsidRPr="00AB3B87">
        <w:rPr>
          <w:b/>
          <w:bCs/>
          <w:sz w:val="36"/>
          <w:szCs w:val="36"/>
        </w:rPr>
        <w:t>Defense</w:t>
      </w:r>
      <w:r w:rsidR="00AB3B87" w:rsidRPr="00AB3B87">
        <w:rPr>
          <w:b/>
          <w:bCs/>
          <w:sz w:val="36"/>
          <w:szCs w:val="36"/>
        </w:rPr>
        <w:t>)</w:t>
      </w:r>
    </w:p>
    <w:p w14:paraId="25680E24" w14:textId="483BB67C" w:rsidR="00317714" w:rsidRDefault="00317714" w:rsidP="00CA4795">
      <w:pPr>
        <w:jc w:val="center"/>
        <w:rPr>
          <w:b/>
          <w:bCs/>
          <w:sz w:val="40"/>
          <w:szCs w:val="40"/>
        </w:rPr>
      </w:pPr>
      <w:r>
        <w:rPr>
          <w:b/>
          <w:bCs/>
          <w:noProof/>
          <w:sz w:val="40"/>
          <w:szCs w:val="40"/>
        </w:rPr>
        <w:drawing>
          <wp:inline distT="0" distB="0" distL="0" distR="0" wp14:anchorId="35D4865E" wp14:editId="2082B8AA">
            <wp:extent cx="2706624" cy="1801368"/>
            <wp:effectExtent l="0" t="0" r="0" b="8890"/>
            <wp:docPr id="4" name="Picture 4" descr="A group of nu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nut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06624" cy="1801368"/>
                    </a:xfrm>
                    <a:prstGeom prst="rect">
                      <a:avLst/>
                    </a:prstGeom>
                  </pic:spPr>
                </pic:pic>
              </a:graphicData>
            </a:graphic>
          </wp:inline>
        </w:drawing>
      </w:r>
    </w:p>
    <w:p w14:paraId="2BF5DC57" w14:textId="2F3EEBDD" w:rsidR="00240703" w:rsidRPr="00CA4795" w:rsidRDefault="00317714" w:rsidP="00CA4795">
      <w:pPr>
        <w:jc w:val="center"/>
        <w:rPr>
          <w:b/>
          <w:bCs/>
          <w:sz w:val="40"/>
          <w:szCs w:val="40"/>
        </w:rPr>
      </w:pPr>
      <w:r>
        <w:rPr>
          <w:b/>
          <w:bCs/>
          <w:noProof/>
          <w:sz w:val="40"/>
          <w:szCs w:val="40"/>
        </w:rPr>
        <w:drawing>
          <wp:inline distT="0" distB="0" distL="0" distR="0" wp14:anchorId="08E843B2" wp14:editId="3FF476EA">
            <wp:extent cx="2194560" cy="1755648"/>
            <wp:effectExtent l="0" t="0" r="0" b="0"/>
            <wp:docPr id="5" name="Picture 5" descr="A picture containing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s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94560" cy="1755648"/>
                    </a:xfrm>
                    <a:prstGeom prst="rect">
                      <a:avLst/>
                    </a:prstGeom>
                  </pic:spPr>
                </pic:pic>
              </a:graphicData>
            </a:graphic>
          </wp:inline>
        </w:drawing>
      </w:r>
    </w:p>
    <w:sectPr w:rsidR="00240703" w:rsidRPr="00CA479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9802" w14:textId="77777777" w:rsidR="005E1425" w:rsidRDefault="005E1425" w:rsidP="00A81901">
      <w:pPr>
        <w:spacing w:after="0" w:line="240" w:lineRule="auto"/>
      </w:pPr>
      <w:r>
        <w:separator/>
      </w:r>
    </w:p>
  </w:endnote>
  <w:endnote w:type="continuationSeparator" w:id="0">
    <w:p w14:paraId="77EB2893" w14:textId="77777777" w:rsidR="005E1425" w:rsidRDefault="005E1425" w:rsidP="00A8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10EB" w14:textId="77777777" w:rsidR="00A976D3" w:rsidRDefault="00A97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7E25" w14:textId="6B689577" w:rsidR="00A81901" w:rsidRDefault="00A976D3" w:rsidP="00A976D3">
    <w:pPr>
      <w:pStyle w:val="Footer"/>
      <w:jc w:val="center"/>
    </w:pPr>
    <w:r>
      <w:t>APPROVED 8/19/2021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4D9" w14:textId="77777777" w:rsidR="00A976D3" w:rsidRDefault="00A97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60BE" w14:textId="77777777" w:rsidR="005E1425" w:rsidRDefault="005E1425" w:rsidP="00A81901">
      <w:pPr>
        <w:spacing w:after="0" w:line="240" w:lineRule="auto"/>
      </w:pPr>
      <w:r>
        <w:separator/>
      </w:r>
    </w:p>
  </w:footnote>
  <w:footnote w:type="continuationSeparator" w:id="0">
    <w:p w14:paraId="7C18BDD6" w14:textId="77777777" w:rsidR="005E1425" w:rsidRDefault="005E1425" w:rsidP="00A8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14B8" w14:textId="77777777" w:rsidR="00A976D3" w:rsidRDefault="00A97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41" w14:textId="374994BB" w:rsidR="001F33D5" w:rsidRPr="001F33D5" w:rsidRDefault="001F33D5" w:rsidP="001F33D5">
    <w:pPr>
      <w:pStyle w:val="Header"/>
      <w:jc w:val="center"/>
      <w:rPr>
        <w:rFonts w:ascii="Calibri" w:hAnsi="Calibri"/>
        <w:color w:val="FFFFFF" w:themeColor="background1"/>
        <w:sz w:val="28"/>
      </w:rPr>
    </w:pPr>
    <w:r w:rsidRPr="001F33D5">
      <w:rPr>
        <w:rFonts w:ascii="Calibri" w:hAnsi="Calibri"/>
        <w:noProof/>
        <w:color w:val="FFFFFF" w:themeColor="background1"/>
        <w:sz w:val="28"/>
        <w:highlight w:val="blue"/>
      </w:rPr>
      <mc:AlternateContent>
        <mc:Choice Requires="wps">
          <w:drawing>
            <wp:anchor distT="0" distB="0" distL="118745" distR="118745" simplePos="0" relativeHeight="251659264" behindDoc="1" locked="0" layoutInCell="1" allowOverlap="0" wp14:anchorId="1CDB8BDF" wp14:editId="2D91BDD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D05FAC4" w14:textId="643B59C1" w:rsidR="001F33D5" w:rsidRPr="001F33D5" w:rsidRDefault="001F33D5">
                              <w:pPr>
                                <w:pStyle w:val="Header"/>
                                <w:tabs>
                                  <w:tab w:val="clear" w:pos="4680"/>
                                  <w:tab w:val="clear" w:pos="9360"/>
                                </w:tabs>
                                <w:jc w:val="center"/>
                                <w:rPr>
                                  <w:caps/>
                                  <w:color w:val="FFFFFF" w:themeColor="background1"/>
                                  <w:sz w:val="28"/>
                                  <w:szCs w:val="28"/>
                                </w:rPr>
                              </w:pPr>
                              <w:r w:rsidRPr="001F33D5">
                                <w:rPr>
                                  <w:caps/>
                                  <w:color w:val="FFFFFF" w:themeColor="background1"/>
                                  <w:sz w:val="28"/>
                                  <w:szCs w:val="28"/>
                                </w:rPr>
                                <w:t>SKANEATELES ROD &amp; GUN CLUB, INC.</w:t>
                              </w:r>
                            </w:p>
                          </w:sdtContent>
                        </w:sdt>
                        <w:p w14:paraId="53EF2B83" w14:textId="69AFBD57" w:rsidR="001F33D5" w:rsidRPr="001F33D5" w:rsidRDefault="001F33D5">
                          <w:pPr>
                            <w:pStyle w:val="Header"/>
                            <w:tabs>
                              <w:tab w:val="clear" w:pos="4680"/>
                              <w:tab w:val="clear" w:pos="9360"/>
                            </w:tabs>
                            <w:jc w:val="center"/>
                            <w:rPr>
                              <w:caps/>
                              <w:color w:val="FFFFFF" w:themeColor="background1"/>
                              <w:sz w:val="28"/>
                              <w:szCs w:val="28"/>
                            </w:rPr>
                          </w:pPr>
                          <w:r w:rsidRPr="001F33D5">
                            <w:rPr>
                              <w:caps/>
                              <w:color w:val="FFFFFF" w:themeColor="background1"/>
                              <w:sz w:val="28"/>
                              <w:szCs w:val="28"/>
                            </w:rPr>
                            <w:t>1168 JEWETT ROAD, SKANEATELES, N.Y., 13152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DB8BDF"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D05FAC4" w14:textId="643B59C1" w:rsidR="001F33D5" w:rsidRPr="001F33D5" w:rsidRDefault="001F33D5">
                        <w:pPr>
                          <w:pStyle w:val="Header"/>
                          <w:tabs>
                            <w:tab w:val="clear" w:pos="4680"/>
                            <w:tab w:val="clear" w:pos="9360"/>
                          </w:tabs>
                          <w:jc w:val="center"/>
                          <w:rPr>
                            <w:caps/>
                            <w:color w:val="FFFFFF" w:themeColor="background1"/>
                            <w:sz w:val="28"/>
                            <w:szCs w:val="28"/>
                          </w:rPr>
                        </w:pPr>
                        <w:r w:rsidRPr="001F33D5">
                          <w:rPr>
                            <w:caps/>
                            <w:color w:val="FFFFFF" w:themeColor="background1"/>
                            <w:sz w:val="28"/>
                            <w:szCs w:val="28"/>
                          </w:rPr>
                          <w:t>SKANEATELES ROD &amp; GUN CLUB, INC.</w:t>
                        </w:r>
                      </w:p>
                    </w:sdtContent>
                  </w:sdt>
                  <w:p w14:paraId="53EF2B83" w14:textId="69AFBD57" w:rsidR="001F33D5" w:rsidRPr="001F33D5" w:rsidRDefault="001F33D5">
                    <w:pPr>
                      <w:pStyle w:val="Header"/>
                      <w:tabs>
                        <w:tab w:val="clear" w:pos="4680"/>
                        <w:tab w:val="clear" w:pos="9360"/>
                      </w:tabs>
                      <w:jc w:val="center"/>
                      <w:rPr>
                        <w:caps/>
                        <w:color w:val="FFFFFF" w:themeColor="background1"/>
                        <w:sz w:val="28"/>
                        <w:szCs w:val="28"/>
                      </w:rPr>
                    </w:pPr>
                    <w:r w:rsidRPr="001F33D5">
                      <w:rPr>
                        <w:caps/>
                        <w:color w:val="FFFFFF" w:themeColor="background1"/>
                        <w:sz w:val="28"/>
                        <w:szCs w:val="28"/>
                      </w:rPr>
                      <w:t>1168 JEWETT ROAD, SKANEATELES, N.Y., 13152</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62E0" w14:textId="77777777" w:rsidR="00A976D3" w:rsidRDefault="00A97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A2C"/>
    <w:multiLevelType w:val="hybridMultilevel"/>
    <w:tmpl w:val="D1CA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F2338"/>
    <w:multiLevelType w:val="hybridMultilevel"/>
    <w:tmpl w:val="88E8B6A2"/>
    <w:lvl w:ilvl="0" w:tplc="EEC453E4">
      <w:start w:val="1"/>
      <w:numFmt w:val="bullet"/>
      <w:lvlText w:val=""/>
      <w:lvlJc w:val="left"/>
      <w:pPr>
        <w:ind w:left="720" w:hanging="216"/>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97C67"/>
    <w:multiLevelType w:val="hybridMultilevel"/>
    <w:tmpl w:val="3BEC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95"/>
    <w:rsid w:val="001F33D5"/>
    <w:rsid w:val="00222723"/>
    <w:rsid w:val="00240703"/>
    <w:rsid w:val="00297BFE"/>
    <w:rsid w:val="00317714"/>
    <w:rsid w:val="004E3E9F"/>
    <w:rsid w:val="005921CC"/>
    <w:rsid w:val="005E1425"/>
    <w:rsid w:val="006419FE"/>
    <w:rsid w:val="00706159"/>
    <w:rsid w:val="00741EF3"/>
    <w:rsid w:val="00770FC1"/>
    <w:rsid w:val="007D7D3E"/>
    <w:rsid w:val="007E72FA"/>
    <w:rsid w:val="008A3E3A"/>
    <w:rsid w:val="0090724A"/>
    <w:rsid w:val="00A81901"/>
    <w:rsid w:val="00A876F7"/>
    <w:rsid w:val="00A976D3"/>
    <w:rsid w:val="00AB3B87"/>
    <w:rsid w:val="00BB0340"/>
    <w:rsid w:val="00CA4795"/>
    <w:rsid w:val="00CB72EF"/>
    <w:rsid w:val="00D266AA"/>
    <w:rsid w:val="00EB4E69"/>
    <w:rsid w:val="00F3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D9221"/>
  <w15:chartTrackingRefBased/>
  <w15:docId w15:val="{C54E29B4-5409-4495-808F-EB8871E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E3A"/>
    <w:pPr>
      <w:ind w:left="720"/>
      <w:contextualSpacing/>
    </w:pPr>
  </w:style>
  <w:style w:type="paragraph" w:styleId="Header">
    <w:name w:val="header"/>
    <w:basedOn w:val="Normal"/>
    <w:link w:val="HeaderChar"/>
    <w:uiPriority w:val="99"/>
    <w:unhideWhenUsed/>
    <w:rsid w:val="00A8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01"/>
  </w:style>
  <w:style w:type="paragraph" w:styleId="Footer">
    <w:name w:val="footer"/>
    <w:basedOn w:val="Normal"/>
    <w:link w:val="FooterChar"/>
    <w:uiPriority w:val="99"/>
    <w:unhideWhenUsed/>
    <w:rsid w:val="00A8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C3C0-ED35-4CC3-83E5-B6F9D3ED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SKANEATELES ROD &amp; GUN CLUB, INC.</dc:title>
  <dc:subject/>
  <dc:creator>Buck Stephens</dc:creator>
  <cp:keywords/>
  <dc:description/>
  <cp:lastModifiedBy>George Knight</cp:lastModifiedBy>
  <cp:revision>2</cp:revision>
  <cp:lastPrinted>2021-06-17T01:22:00Z</cp:lastPrinted>
  <dcterms:created xsi:type="dcterms:W3CDTF">2022-01-26T20:40:00Z</dcterms:created>
  <dcterms:modified xsi:type="dcterms:W3CDTF">2022-01-26T20:40:00Z</dcterms:modified>
</cp:coreProperties>
</file>