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B820" w14:textId="77777777" w:rsidR="00631089" w:rsidRPr="008132F2" w:rsidRDefault="00631089" w:rsidP="00B97E1E">
      <w:pPr>
        <w:ind w:left="360"/>
        <w:jc w:val="center"/>
        <w:rPr>
          <w:b/>
          <w:iCs/>
          <w:strike/>
          <w:sz w:val="24"/>
          <w:szCs w:val="24"/>
        </w:rPr>
      </w:pPr>
      <w:bookmarkStart w:id="0" w:name="_GoBack"/>
      <w:bookmarkEnd w:id="0"/>
      <w:r w:rsidRPr="008132F2">
        <w:rPr>
          <w:b/>
          <w:iCs/>
          <w:strike/>
          <w:sz w:val="24"/>
          <w:szCs w:val="24"/>
        </w:rPr>
        <w:t>Sidebar</w:t>
      </w:r>
    </w:p>
    <w:p w14:paraId="78E564CF" w14:textId="77777777" w:rsidR="00B97E1E" w:rsidRPr="008132F2" w:rsidRDefault="00B97E1E" w:rsidP="00B97E1E">
      <w:pPr>
        <w:ind w:left="360"/>
        <w:jc w:val="center"/>
        <w:rPr>
          <w:b/>
          <w:iCs/>
          <w:strike/>
          <w:sz w:val="24"/>
          <w:szCs w:val="24"/>
        </w:rPr>
      </w:pPr>
    </w:p>
    <w:p w14:paraId="13595A74" w14:textId="77777777" w:rsidR="00631089" w:rsidRPr="008132F2" w:rsidRDefault="00631089" w:rsidP="00B97E1E">
      <w:pPr>
        <w:ind w:left="360"/>
        <w:jc w:val="center"/>
        <w:rPr>
          <w:b/>
          <w:iCs/>
          <w:strike/>
          <w:sz w:val="24"/>
          <w:szCs w:val="24"/>
        </w:rPr>
      </w:pPr>
      <w:r w:rsidRPr="008132F2">
        <w:rPr>
          <w:b/>
          <w:iCs/>
          <w:strike/>
          <w:sz w:val="24"/>
          <w:szCs w:val="24"/>
        </w:rPr>
        <w:t>Article 11</w:t>
      </w:r>
    </w:p>
    <w:p w14:paraId="65EFD45A" w14:textId="77777777" w:rsidR="00631089" w:rsidRPr="008132F2" w:rsidRDefault="00631089" w:rsidP="00B97E1E">
      <w:pPr>
        <w:ind w:left="360"/>
        <w:jc w:val="center"/>
        <w:rPr>
          <w:iCs/>
          <w:strike/>
          <w:sz w:val="24"/>
          <w:szCs w:val="24"/>
        </w:rPr>
      </w:pPr>
    </w:p>
    <w:p w14:paraId="3CB27416" w14:textId="77777777" w:rsidR="00631089" w:rsidRPr="008132F2" w:rsidRDefault="00631089" w:rsidP="00B97E1E">
      <w:pPr>
        <w:ind w:left="360"/>
        <w:rPr>
          <w:iCs/>
          <w:strike/>
          <w:sz w:val="24"/>
          <w:szCs w:val="24"/>
        </w:rPr>
      </w:pPr>
    </w:p>
    <w:p w14:paraId="251C3F58" w14:textId="77777777" w:rsidR="00631089" w:rsidRPr="008132F2" w:rsidRDefault="00631089" w:rsidP="00B97E1E">
      <w:pPr>
        <w:ind w:left="360"/>
        <w:rPr>
          <w:iCs/>
          <w:strike/>
          <w:sz w:val="24"/>
          <w:szCs w:val="24"/>
        </w:rPr>
      </w:pPr>
    </w:p>
    <w:p w14:paraId="47B6D428" w14:textId="77777777" w:rsidR="00254AA6" w:rsidRPr="008132F2" w:rsidRDefault="00254AA6" w:rsidP="00B97E1E">
      <w:pPr>
        <w:numPr>
          <w:ilvl w:val="0"/>
          <w:numId w:val="1"/>
        </w:numPr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If a Council President (</w:t>
      </w:r>
      <w:r w:rsidR="00882975" w:rsidRPr="008132F2">
        <w:rPr>
          <w:iCs/>
          <w:strike/>
          <w:sz w:val="24"/>
          <w:szCs w:val="24"/>
        </w:rPr>
        <w:t>Skwierczynski</w:t>
      </w:r>
      <w:r w:rsidRPr="008132F2">
        <w:rPr>
          <w:iCs/>
          <w:strike/>
          <w:sz w:val="24"/>
          <w:szCs w:val="24"/>
        </w:rPr>
        <w:t xml:space="preserve">, Marshall, Joseph, Tucker, and Hartman) retires, the Council will retain use of the agency provided space as long as it is being occupied and used.   </w:t>
      </w:r>
    </w:p>
    <w:p w14:paraId="4BF5DD6B" w14:textId="77777777" w:rsidR="00254AA6" w:rsidRPr="008132F2" w:rsidRDefault="00254AA6" w:rsidP="00B97E1E">
      <w:pPr>
        <w:ind w:left="720"/>
        <w:rPr>
          <w:iCs/>
          <w:strike/>
          <w:sz w:val="24"/>
          <w:szCs w:val="24"/>
        </w:rPr>
      </w:pPr>
    </w:p>
    <w:p w14:paraId="323C3860" w14:textId="77777777" w:rsidR="00325A46" w:rsidRPr="008132F2" w:rsidRDefault="00325A46" w:rsidP="00B97E1E">
      <w:pPr>
        <w:numPr>
          <w:ilvl w:val="0"/>
          <w:numId w:val="1"/>
        </w:numPr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 xml:space="preserve">Should the successor to </w:t>
      </w:r>
      <w:r w:rsidR="00EE5401" w:rsidRPr="008132F2">
        <w:rPr>
          <w:iCs/>
          <w:strike/>
          <w:sz w:val="24"/>
          <w:szCs w:val="24"/>
        </w:rPr>
        <w:t xml:space="preserve">a Council </w:t>
      </w:r>
      <w:r w:rsidRPr="008132F2">
        <w:rPr>
          <w:iCs/>
          <w:strike/>
          <w:sz w:val="24"/>
          <w:szCs w:val="24"/>
        </w:rPr>
        <w:t xml:space="preserve">President be designated as a </w:t>
      </w:r>
      <w:r w:rsidR="00EE5401" w:rsidRPr="008132F2">
        <w:rPr>
          <w:iCs/>
          <w:strike/>
          <w:sz w:val="24"/>
          <w:szCs w:val="24"/>
        </w:rPr>
        <w:t xml:space="preserve">2080, 1440, 1040 official time </w:t>
      </w:r>
      <w:proofErr w:type="gramStart"/>
      <w:r w:rsidR="00EE5401" w:rsidRPr="008132F2">
        <w:rPr>
          <w:iCs/>
          <w:strike/>
          <w:sz w:val="24"/>
          <w:szCs w:val="24"/>
        </w:rPr>
        <w:t>hours</w:t>
      </w:r>
      <w:proofErr w:type="gramEnd"/>
      <w:r w:rsidR="00EE5401" w:rsidRPr="008132F2">
        <w:rPr>
          <w:iCs/>
          <w:strike/>
          <w:sz w:val="24"/>
          <w:szCs w:val="24"/>
        </w:rPr>
        <w:t xml:space="preserve"> user</w:t>
      </w:r>
      <w:r w:rsidRPr="008132F2">
        <w:rPr>
          <w:iCs/>
          <w:strike/>
          <w:sz w:val="24"/>
          <w:szCs w:val="24"/>
        </w:rPr>
        <w:t xml:space="preserve">, the successor will have the option of requesting relocation to </w:t>
      </w:r>
      <w:r w:rsidR="00EE5401" w:rsidRPr="008132F2">
        <w:rPr>
          <w:iCs/>
          <w:strike/>
          <w:sz w:val="24"/>
          <w:szCs w:val="24"/>
        </w:rPr>
        <w:t>the current Council President’s location</w:t>
      </w:r>
      <w:r w:rsidRPr="008132F2">
        <w:rPr>
          <w:iCs/>
          <w:strike/>
          <w:sz w:val="24"/>
          <w:szCs w:val="24"/>
        </w:rPr>
        <w:t xml:space="preserve"> (at no expense to the agency) for the purpose of using the additional </w:t>
      </w:r>
      <w:r w:rsidR="00EE5401" w:rsidRPr="008132F2">
        <w:rPr>
          <w:iCs/>
          <w:strike/>
          <w:sz w:val="24"/>
          <w:szCs w:val="24"/>
        </w:rPr>
        <w:t xml:space="preserve">agency </w:t>
      </w:r>
      <w:r w:rsidRPr="008132F2">
        <w:rPr>
          <w:iCs/>
          <w:strike/>
          <w:sz w:val="24"/>
          <w:szCs w:val="24"/>
        </w:rPr>
        <w:t>provided space</w:t>
      </w:r>
      <w:r w:rsidR="00EE5401" w:rsidRPr="008132F2">
        <w:rPr>
          <w:iCs/>
          <w:strike/>
          <w:sz w:val="24"/>
          <w:szCs w:val="24"/>
        </w:rPr>
        <w:t xml:space="preserve"> at that location</w:t>
      </w:r>
      <w:r w:rsidRPr="008132F2">
        <w:rPr>
          <w:iCs/>
          <w:strike/>
          <w:sz w:val="24"/>
          <w:szCs w:val="24"/>
        </w:rPr>
        <w:t>.</w:t>
      </w:r>
    </w:p>
    <w:p w14:paraId="4B4B80EF" w14:textId="77777777" w:rsidR="00EE5401" w:rsidRPr="008132F2" w:rsidRDefault="00EE5401" w:rsidP="00B97E1E">
      <w:pPr>
        <w:ind w:left="720"/>
        <w:rPr>
          <w:iCs/>
          <w:strike/>
          <w:sz w:val="24"/>
          <w:szCs w:val="24"/>
        </w:rPr>
      </w:pPr>
    </w:p>
    <w:p w14:paraId="2A9E244C" w14:textId="77777777" w:rsidR="00325A46" w:rsidRPr="008132F2" w:rsidRDefault="00325A46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Should the successor elect not to request a relocation</w:t>
      </w:r>
      <w:r w:rsidR="00D3491D" w:rsidRPr="008132F2">
        <w:rPr>
          <w:iCs/>
          <w:strike/>
          <w:sz w:val="24"/>
          <w:szCs w:val="24"/>
        </w:rPr>
        <w:t xml:space="preserve"> and the Council space is not being occupied and used (per # 1 above)</w:t>
      </w:r>
      <w:r w:rsidRPr="008132F2">
        <w:rPr>
          <w:iCs/>
          <w:strike/>
          <w:sz w:val="24"/>
          <w:szCs w:val="24"/>
        </w:rPr>
        <w:t>, the additional agency provided space will revert to the agency within sixty (60</w:t>
      </w:r>
      <w:r w:rsidR="00EE5401" w:rsidRPr="008132F2">
        <w:rPr>
          <w:iCs/>
          <w:strike/>
          <w:sz w:val="24"/>
          <w:szCs w:val="24"/>
        </w:rPr>
        <w:t>)</w:t>
      </w:r>
      <w:r w:rsidRPr="008132F2">
        <w:rPr>
          <w:iCs/>
          <w:strike/>
          <w:sz w:val="24"/>
          <w:szCs w:val="24"/>
        </w:rPr>
        <w:t xml:space="preserve"> days.</w:t>
      </w:r>
    </w:p>
    <w:p w14:paraId="0FE3386D" w14:textId="77777777" w:rsidR="00EE5401" w:rsidRPr="008132F2" w:rsidRDefault="00EE5401" w:rsidP="00B97E1E">
      <w:pPr>
        <w:ind w:left="720"/>
        <w:rPr>
          <w:iCs/>
          <w:strike/>
          <w:sz w:val="24"/>
          <w:szCs w:val="24"/>
        </w:rPr>
      </w:pPr>
    </w:p>
    <w:p w14:paraId="1AF865A6" w14:textId="77777777" w:rsidR="00EE5401" w:rsidRPr="008132F2" w:rsidRDefault="00EE5401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In this situation, the successor will discuss the possibilities of additional agency assigned space (if he/she does not currently have such space) with his/her Regional Commissioner/Regional Chief ALJ</w:t>
      </w:r>
      <w:r w:rsidR="00D201FD" w:rsidRPr="008132F2">
        <w:rPr>
          <w:iCs/>
          <w:strike/>
          <w:sz w:val="24"/>
          <w:szCs w:val="24"/>
        </w:rPr>
        <w:t>/Regional Director</w:t>
      </w:r>
      <w:r w:rsidRPr="008132F2">
        <w:rPr>
          <w:iCs/>
          <w:strike/>
          <w:sz w:val="24"/>
          <w:szCs w:val="24"/>
        </w:rPr>
        <w:t>.  However, there will be no bargaining on successor space.</w:t>
      </w:r>
    </w:p>
    <w:p w14:paraId="46603FAF" w14:textId="77777777" w:rsidR="00631089" w:rsidRPr="008132F2" w:rsidRDefault="00631089" w:rsidP="00B97E1E">
      <w:pPr>
        <w:ind w:left="360"/>
        <w:rPr>
          <w:iCs/>
          <w:strike/>
          <w:sz w:val="24"/>
          <w:szCs w:val="24"/>
        </w:rPr>
      </w:pPr>
    </w:p>
    <w:p w14:paraId="7578071F" w14:textId="77777777" w:rsidR="00631089" w:rsidRPr="008132F2" w:rsidRDefault="00631089" w:rsidP="00B97E1E">
      <w:pPr>
        <w:numPr>
          <w:ilvl w:val="0"/>
          <w:numId w:val="1"/>
        </w:numPr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 xml:space="preserve">General Committee space and furnishings as provided for in the 1990 National Agreement (and specifically identified below) will continue through the </w:t>
      </w:r>
      <w:r w:rsidR="00EE5401" w:rsidRPr="008132F2">
        <w:rPr>
          <w:iCs/>
          <w:strike/>
          <w:sz w:val="24"/>
          <w:szCs w:val="24"/>
        </w:rPr>
        <w:t>life</w:t>
      </w:r>
      <w:r w:rsidRPr="008132F2">
        <w:rPr>
          <w:iCs/>
          <w:strike/>
          <w:sz w:val="24"/>
          <w:szCs w:val="24"/>
        </w:rPr>
        <w:t xml:space="preserve"> of the contract.</w:t>
      </w:r>
    </w:p>
    <w:p w14:paraId="18B61558" w14:textId="77777777" w:rsidR="00631089" w:rsidRPr="008132F2" w:rsidRDefault="00631089" w:rsidP="00B97E1E">
      <w:pPr>
        <w:ind w:left="360"/>
        <w:rPr>
          <w:iCs/>
          <w:strike/>
          <w:sz w:val="24"/>
          <w:szCs w:val="24"/>
        </w:rPr>
      </w:pPr>
    </w:p>
    <w:p w14:paraId="1C5D85CC" w14:textId="77777777" w:rsidR="00631089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Region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  <w:t>Location</w:t>
      </w:r>
    </w:p>
    <w:p w14:paraId="4AE298C2" w14:textId="77777777" w:rsidR="00631089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New York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="00D3491D" w:rsidRPr="008132F2">
        <w:rPr>
          <w:iCs/>
          <w:strike/>
          <w:sz w:val="24"/>
          <w:szCs w:val="24"/>
        </w:rPr>
        <w:t>In the Regional Office</w:t>
      </w:r>
    </w:p>
    <w:p w14:paraId="720B2669" w14:textId="77777777" w:rsidR="00631089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 xml:space="preserve">Dallas 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  <w:t>In the Regional Office</w:t>
      </w:r>
    </w:p>
    <w:p w14:paraId="30CD857A" w14:textId="77777777" w:rsidR="00631089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Kansas City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  <w:t>In the MAMPSC</w:t>
      </w:r>
    </w:p>
    <w:p w14:paraId="5786728F" w14:textId="77777777" w:rsidR="00631089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Chicago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="00855480" w:rsidRPr="008132F2">
        <w:rPr>
          <w:iCs/>
          <w:strike/>
          <w:sz w:val="24"/>
          <w:szCs w:val="24"/>
        </w:rPr>
        <w:t xml:space="preserve">In </w:t>
      </w:r>
      <w:r w:rsidR="00BA12D6" w:rsidRPr="008132F2">
        <w:rPr>
          <w:iCs/>
          <w:strike/>
          <w:sz w:val="24"/>
          <w:szCs w:val="24"/>
        </w:rPr>
        <w:t>Piqua</w:t>
      </w:r>
      <w:r w:rsidR="00855480" w:rsidRPr="008132F2">
        <w:rPr>
          <w:iCs/>
          <w:strike/>
          <w:sz w:val="24"/>
          <w:szCs w:val="24"/>
        </w:rPr>
        <w:t>, Ohio</w:t>
      </w:r>
      <w:r w:rsidR="00626875" w:rsidRPr="008132F2">
        <w:rPr>
          <w:iCs/>
          <w:strike/>
          <w:sz w:val="24"/>
          <w:szCs w:val="24"/>
        </w:rPr>
        <w:t xml:space="preserve"> FO</w:t>
      </w:r>
      <w:r w:rsidR="00855480" w:rsidRPr="008132F2">
        <w:rPr>
          <w:iCs/>
          <w:strike/>
          <w:sz w:val="24"/>
          <w:szCs w:val="24"/>
        </w:rPr>
        <w:t xml:space="preserve"> </w:t>
      </w:r>
    </w:p>
    <w:p w14:paraId="5BE5BE99" w14:textId="77777777" w:rsidR="00171EF1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San Francisco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  <w:t xml:space="preserve">In the </w:t>
      </w:r>
      <w:r w:rsidR="00171EF1" w:rsidRPr="008132F2">
        <w:rPr>
          <w:iCs/>
          <w:strike/>
          <w:sz w:val="24"/>
          <w:szCs w:val="24"/>
        </w:rPr>
        <w:t xml:space="preserve">Oakland </w:t>
      </w:r>
      <w:r w:rsidR="00D201FD" w:rsidRPr="008132F2">
        <w:rPr>
          <w:iCs/>
          <w:strike/>
          <w:sz w:val="24"/>
          <w:szCs w:val="24"/>
        </w:rPr>
        <w:t>TSC</w:t>
      </w:r>
    </w:p>
    <w:p w14:paraId="17CDEDF1" w14:textId="77777777" w:rsidR="00631089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Philadelphia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  <w:t>In the MATPSC</w:t>
      </w:r>
    </w:p>
    <w:p w14:paraId="522E01C7" w14:textId="77777777" w:rsidR="00631089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Seattle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  <w:t>In the Regional Office</w:t>
      </w:r>
    </w:p>
    <w:p w14:paraId="4A071738" w14:textId="77777777" w:rsidR="00631089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Denver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="00FC76EA" w:rsidRPr="008132F2">
        <w:rPr>
          <w:iCs/>
          <w:strike/>
          <w:sz w:val="24"/>
          <w:szCs w:val="24"/>
        </w:rPr>
        <w:t xml:space="preserve">In the </w:t>
      </w:r>
      <w:r w:rsidR="00D201FD" w:rsidRPr="008132F2">
        <w:rPr>
          <w:iCs/>
          <w:strike/>
          <w:sz w:val="24"/>
          <w:szCs w:val="24"/>
        </w:rPr>
        <w:t>Trinidad, CO Field Office</w:t>
      </w:r>
    </w:p>
    <w:p w14:paraId="0D1296B7" w14:textId="77777777" w:rsidR="00631089" w:rsidRPr="008132F2" w:rsidRDefault="00631089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Boston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  <w:t>I</w:t>
      </w:r>
      <w:r w:rsidR="00EE5401" w:rsidRPr="008132F2">
        <w:rPr>
          <w:iCs/>
          <w:strike/>
          <w:sz w:val="24"/>
          <w:szCs w:val="24"/>
        </w:rPr>
        <w:t>n</w:t>
      </w:r>
      <w:r w:rsidRPr="008132F2">
        <w:rPr>
          <w:iCs/>
          <w:strike/>
          <w:sz w:val="24"/>
          <w:szCs w:val="24"/>
        </w:rPr>
        <w:t xml:space="preserve"> the Coast Guard Building</w:t>
      </w:r>
    </w:p>
    <w:p w14:paraId="1D2C9604" w14:textId="77777777" w:rsidR="00D3491D" w:rsidRPr="008132F2" w:rsidRDefault="00D3491D" w:rsidP="00B97E1E">
      <w:pPr>
        <w:ind w:left="720"/>
        <w:rPr>
          <w:iCs/>
          <w:strike/>
          <w:sz w:val="24"/>
          <w:szCs w:val="24"/>
        </w:rPr>
      </w:pPr>
      <w:r w:rsidRPr="008132F2">
        <w:rPr>
          <w:iCs/>
          <w:strike/>
          <w:sz w:val="24"/>
          <w:szCs w:val="24"/>
        </w:rPr>
        <w:t>Atlanta</w:t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Pr="008132F2">
        <w:rPr>
          <w:iCs/>
          <w:strike/>
          <w:sz w:val="24"/>
          <w:szCs w:val="24"/>
        </w:rPr>
        <w:tab/>
      </w:r>
      <w:r w:rsidR="00FC76EA" w:rsidRPr="008132F2">
        <w:rPr>
          <w:iCs/>
          <w:strike/>
          <w:sz w:val="24"/>
          <w:szCs w:val="24"/>
        </w:rPr>
        <w:t>In the Regional Office</w:t>
      </w:r>
    </w:p>
    <w:p w14:paraId="5283DF62" w14:textId="77777777" w:rsidR="00631089" w:rsidRPr="008132F2" w:rsidRDefault="00631089" w:rsidP="00B97E1E">
      <w:pPr>
        <w:ind w:left="360"/>
        <w:rPr>
          <w:iCs/>
          <w:strike/>
          <w:sz w:val="24"/>
          <w:szCs w:val="24"/>
        </w:rPr>
      </w:pPr>
    </w:p>
    <w:p w14:paraId="281D9AD4" w14:textId="77777777" w:rsidR="007605AD" w:rsidRPr="008132F2" w:rsidRDefault="007605AD" w:rsidP="00B97E1E">
      <w:pPr>
        <w:rPr>
          <w:strike/>
        </w:rPr>
      </w:pPr>
    </w:p>
    <w:sectPr w:rsidR="007605AD" w:rsidRPr="008132F2" w:rsidSect="008C396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F95D" w14:textId="77777777" w:rsidR="00D15F6C" w:rsidRDefault="00D15F6C" w:rsidP="00171EF1">
      <w:r>
        <w:separator/>
      </w:r>
    </w:p>
  </w:endnote>
  <w:endnote w:type="continuationSeparator" w:id="0">
    <w:p w14:paraId="46E25FD1" w14:textId="77777777" w:rsidR="00D15F6C" w:rsidRDefault="00D15F6C" w:rsidP="0017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BF546" w14:textId="77777777" w:rsidR="00D15F6C" w:rsidRDefault="00D15F6C" w:rsidP="00171EF1">
      <w:r>
        <w:separator/>
      </w:r>
    </w:p>
  </w:footnote>
  <w:footnote w:type="continuationSeparator" w:id="0">
    <w:p w14:paraId="184D5C8B" w14:textId="77777777" w:rsidR="00D15F6C" w:rsidRDefault="00D15F6C" w:rsidP="0017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AF25" w14:textId="62CF5923" w:rsidR="008132F2" w:rsidRDefault="008132F2" w:rsidP="008132F2">
    <w:pPr>
      <w:pStyle w:val="Header"/>
      <w:jc w:val="right"/>
    </w:pPr>
    <w:r>
      <w:t>Exec Order Implementation</w:t>
    </w:r>
  </w:p>
  <w:p w14:paraId="479B7858" w14:textId="37CFD9FE" w:rsidR="00DE2DD5" w:rsidRDefault="00DE2DD5" w:rsidP="008132F2">
    <w:pPr>
      <w:pStyle w:val="Header"/>
      <w:jc w:val="right"/>
    </w:pPr>
    <w:r>
      <w:t>Management 1</w:t>
    </w:r>
  </w:p>
  <w:p w14:paraId="48BD4BF6" w14:textId="67F2CE02" w:rsidR="008132F2" w:rsidRDefault="00DE2DD5" w:rsidP="008132F2">
    <w:pPr>
      <w:pStyle w:val="Header"/>
      <w:jc w:val="right"/>
    </w:pPr>
    <w:r>
      <w:t>06/27/18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22"/>
    <w:multiLevelType w:val="hybridMultilevel"/>
    <w:tmpl w:val="F9A6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89"/>
    <w:rsid w:val="00171EF1"/>
    <w:rsid w:val="00254AA6"/>
    <w:rsid w:val="002A0741"/>
    <w:rsid w:val="00325A46"/>
    <w:rsid w:val="00617114"/>
    <w:rsid w:val="00626875"/>
    <w:rsid w:val="00631089"/>
    <w:rsid w:val="007605AD"/>
    <w:rsid w:val="007618E8"/>
    <w:rsid w:val="008132F2"/>
    <w:rsid w:val="00855480"/>
    <w:rsid w:val="00882975"/>
    <w:rsid w:val="008C396A"/>
    <w:rsid w:val="009A6925"/>
    <w:rsid w:val="00A63D04"/>
    <w:rsid w:val="00B97E1E"/>
    <w:rsid w:val="00BA12D6"/>
    <w:rsid w:val="00D15F6C"/>
    <w:rsid w:val="00D201FD"/>
    <w:rsid w:val="00D3491D"/>
    <w:rsid w:val="00DE2DD5"/>
    <w:rsid w:val="00EB698C"/>
    <w:rsid w:val="00EE5401"/>
    <w:rsid w:val="00F20CFE"/>
    <w:rsid w:val="00F571A9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212A"/>
  <w15:docId w15:val="{11175923-9D55-4D05-9201-2D4C8A8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8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F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1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F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780CCC2D9064FA9E9ABD8E2C632D4" ma:contentTypeVersion="0" ma:contentTypeDescription="Create a new document." ma:contentTypeScope="" ma:versionID="31227a7418ee687e7205d041f7cf4f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FDB41C3-DFF2-4DD6-8CCF-ADEB39FA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5A470-0086-4FFA-B643-B81F6979F8B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31FD06-8392-49B7-B2D3-321909D30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049CD-781E-455A-9EC4-6A4B58A9C7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Gehlken, Krista</dc:creator>
  <cp:lastModifiedBy>Leiby, Jack</cp:lastModifiedBy>
  <cp:revision>2</cp:revision>
  <cp:lastPrinted>2012-04-26T14:16:00Z</cp:lastPrinted>
  <dcterms:created xsi:type="dcterms:W3CDTF">2018-06-27T14:21:00Z</dcterms:created>
  <dcterms:modified xsi:type="dcterms:W3CDTF">2018-06-27T14:21:00Z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0x010100E03780CCC2D9064FA9E9ABD8E2C632D4</vt:lpwstr>
  </property>
  <property fmtid="{D5CDD505-2E9C-101B-9397-08002B2CF9AE}" pid="4" name="_AdHocReviewCycleID">
    <vt:i4>741504918</vt:i4>
  </property>
  <property fmtid="{D5CDD505-2E9C-101B-9397-08002B2CF9AE}" pid="5" name="_NewReviewCycle">
    <vt:lpwstr/>
  </property>
  <property fmtid="{D5CDD505-2E9C-101B-9397-08002B2CF9AE}" pid="6" name="_EmailSubject">
    <vt:lpwstr>SSA Executive Order Proposals (June 27 2018)</vt:lpwstr>
  </property>
  <property fmtid="{D5CDD505-2E9C-101B-9397-08002B2CF9AE}" pid="7" name="_AuthorEmail">
    <vt:lpwstr>Jack.Leiby@ssa.gov</vt:lpwstr>
  </property>
  <property fmtid="{D5CDD505-2E9C-101B-9397-08002B2CF9AE}" pid="8" name="_AuthorEmailDisplayName">
    <vt:lpwstr>Leiby, Jack</vt:lpwstr>
  </property>
</Properties>
</file>