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5C7" w:rsidRDefault="001E45C7" w:rsidP="001E45C7">
      <w:pPr>
        <w:pStyle w:val="NormalWeb"/>
        <w:shd w:val="clear" w:color="auto" w:fill="FFFFFF"/>
        <w:jc w:val="center"/>
        <w:rPr>
          <w:rFonts w:ascii="Helvetica" w:hAnsi="Helvetica" w:cs="Helvetica"/>
          <w:b/>
          <w:color w:val="000000"/>
          <w:u w:val="single"/>
          <w:lang w:val="en"/>
        </w:rPr>
      </w:pPr>
    </w:p>
    <w:p w:rsidR="001E45C7" w:rsidRPr="001E45C7" w:rsidRDefault="001E45C7" w:rsidP="001E45C7">
      <w:pPr>
        <w:pStyle w:val="NormalWeb"/>
        <w:shd w:val="clear" w:color="auto" w:fill="FFFFFF"/>
        <w:jc w:val="center"/>
        <w:rPr>
          <w:rFonts w:ascii="Helvetica" w:hAnsi="Helvetica" w:cs="Helvetica"/>
          <w:b/>
          <w:color w:val="000000"/>
          <w:u w:val="single"/>
          <w:lang w:val="en"/>
        </w:rPr>
      </w:pPr>
      <w:r>
        <w:rPr>
          <w:rFonts w:ascii="Helvetica" w:hAnsi="Helvetica" w:cs="Helvetica"/>
          <w:b/>
          <w:color w:val="000000"/>
          <w:u w:val="single"/>
          <w:lang w:val="en"/>
        </w:rPr>
        <w:t>FLAGGER TRAINING</w:t>
      </w: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r>
        <w:rPr>
          <w:rFonts w:ascii="Helvetica" w:hAnsi="Helvetica" w:cs="Helvetica"/>
          <w:color w:val="000000"/>
          <w:sz w:val="21"/>
          <w:szCs w:val="21"/>
          <w:lang w:val="en"/>
        </w:rPr>
        <w:t>This instructor-led Flagger Training</w:t>
      </w:r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 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will be conducted</w:t>
      </w:r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 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for individuals who have flagging responsibilities on ANY ROAD OPEN TO THE PUBLIC. Others who would benefit from this course include: utility companies working on low volume roads, law enforcement personnel, municipal managers and elected officials (to understand the importance, and for budgeting purposes).</w:t>
      </w: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r>
        <w:rPr>
          <w:rFonts w:ascii="Helvetica" w:hAnsi="Helvetica" w:cs="Helvetica"/>
          <w:color w:val="000000"/>
          <w:sz w:val="21"/>
          <w:szCs w:val="21"/>
          <w:lang w:val="en"/>
        </w:rPr>
        <w:t>This course has been designed to meet the PennDOT Publication 408 flagger training requirements mandated for all flaggers in Pennsylvania. The course covers flagging procedures, work zone set-up requirements, and traffic control devices based on information from PennDOT Publication 213—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Temporary Traffic Control Guidelines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, the 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Manual on Uniform Traffic Control Devices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 (MUTCD), and PennDOT Publication 234—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Flagging Handbook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.</w:t>
      </w: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r>
        <w:rPr>
          <w:rFonts w:ascii="Helvetica" w:hAnsi="Helvetica" w:cs="Helvetica"/>
          <w:color w:val="000000"/>
          <w:sz w:val="21"/>
          <w:szCs w:val="21"/>
          <w:lang w:val="en"/>
        </w:rPr>
        <w:t>The course covers development of traffic control plans for flagging, use of typical layout figures from the Publication 213, and flagger visibility/procedures.  The course emphasizes teaching work zone traffic control guidelines and set-ups for typical municipal and utility work. All attendees who pass (70%) a 20-question exam will receive a flagger training wallet card, which is valid for three years.</w:t>
      </w: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INTENDED AUDIENCE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: Individuals who are performing work such as maintenance/ construction activities on ANY ROAD OPEN TO THE PUBLIC including: roadmasters, foreman, and street superintendents. Others who would benefit from this course include safety coordinators, law enforcement personnel and municipal engineers/managers.</w:t>
      </w:r>
    </w:p>
    <w:p w:rsidR="001E45C7" w:rsidRDefault="001E45C7" w:rsidP="001E45C7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</w:pPr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bookmarkStart w:id="0" w:name="_GoBack"/>
      <w:bookmarkEnd w:id="0"/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CLASS MATERIALS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:  Attendees should bring a copy of PennDOT Publication 213 —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Temporary Traffic Control Guidelines (April 2014 edition) 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to the class. Publication 213 can be downloaded from PennDOT’s website at:   </w:t>
      </w:r>
      <w:hyperlink r:id="rId4" w:history="1">
        <w:r>
          <w:rPr>
            <w:rStyle w:val="Strong"/>
            <w:rFonts w:ascii="Helvetica" w:hAnsi="Helvetica" w:cs="Helvetica"/>
            <w:color w:val="0000FF"/>
            <w:sz w:val="21"/>
            <w:szCs w:val="21"/>
            <w:lang w:val="en"/>
          </w:rPr>
          <w:t>http://www.dot.state.pa.us/public/PubsForms/Publications/PUB%20213.pdf</w:t>
        </w:r>
      </w:hyperlink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.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 </w:t>
      </w:r>
      <w:r>
        <w:rPr>
          <w:rStyle w:val="Strong"/>
          <w:rFonts w:ascii="Helvetica" w:hAnsi="Helvetica" w:cs="Helvetica"/>
          <w:i/>
          <w:iCs/>
          <w:color w:val="000000"/>
          <w:sz w:val="21"/>
          <w:szCs w:val="21"/>
          <w:lang w:val="en"/>
        </w:rPr>
        <w:t>THIS MAY BE SHARED – IT IS NOT NECESSARY FOR EACH PERSON TO HAVE ONE COMPLETE COPY OF THE PUBLICATION</w:t>
      </w:r>
      <w:r>
        <w:rPr>
          <w:rStyle w:val="Strong"/>
          <w:rFonts w:ascii="Helvetica" w:hAnsi="Helvetica" w:cs="Helvetica"/>
          <w:color w:val="000000"/>
          <w:sz w:val="21"/>
          <w:szCs w:val="21"/>
          <w:lang w:val="en"/>
        </w:rPr>
        <w:t>.   </w:t>
      </w:r>
      <w:r>
        <w:rPr>
          <w:rFonts w:ascii="Helvetica" w:hAnsi="Helvetica" w:cs="Helvetica"/>
          <w:color w:val="000000"/>
          <w:sz w:val="21"/>
          <w:szCs w:val="21"/>
          <w:lang w:val="en"/>
        </w:rPr>
        <w:t>Other materials that would be helpful, but are not required, include the 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Manual on Uniform Traffic Control Devices Part 6 Temporary Traffic Control</w:t>
      </w:r>
      <w:hyperlink r:id="rId5" w:history="1">
        <w:r>
          <w:rPr>
            <w:rStyle w:val="Hyperlink"/>
            <w:rFonts w:ascii="Helvetica" w:hAnsi="Helvetica" w:cs="Helvetica"/>
            <w:sz w:val="21"/>
            <w:szCs w:val="21"/>
            <w:lang w:val="en"/>
          </w:rPr>
          <w:t>www.mutcd.fhwa.dot.gov</w:t>
        </w:r>
      </w:hyperlink>
      <w:r>
        <w:rPr>
          <w:rFonts w:ascii="Helvetica" w:hAnsi="Helvetica" w:cs="Helvetica"/>
          <w:color w:val="000000"/>
          <w:sz w:val="21"/>
          <w:szCs w:val="21"/>
          <w:lang w:val="en"/>
        </w:rPr>
        <w:t>  and PennDOT Publication 234—</w:t>
      </w:r>
      <w:r>
        <w:rPr>
          <w:rStyle w:val="Emphasis"/>
          <w:rFonts w:ascii="Helvetica" w:hAnsi="Helvetica" w:cs="Helvetica"/>
          <w:color w:val="000000"/>
          <w:sz w:val="21"/>
          <w:szCs w:val="21"/>
          <w:lang w:val="en"/>
        </w:rPr>
        <w:t>Flagging Handbook </w:t>
      </w:r>
      <w:hyperlink r:id="rId6" w:history="1">
        <w:r>
          <w:rPr>
            <w:rStyle w:val="Hyperlink"/>
            <w:rFonts w:ascii="Helvetica" w:hAnsi="Helvetica" w:cs="Helvetica"/>
            <w:sz w:val="21"/>
            <w:szCs w:val="21"/>
            <w:lang w:val="en"/>
          </w:rPr>
          <w:t>http://www.dot.state.pa.us/public/PubsForms/Publications/PUB%20234.pdf</w:t>
        </w:r>
      </w:hyperlink>
    </w:p>
    <w:p w:rsidR="001E45C7" w:rsidRDefault="001E45C7" w:rsidP="001E45C7">
      <w:pPr>
        <w:pStyle w:val="NormalWeb"/>
        <w:shd w:val="clear" w:color="auto" w:fill="FFFFFF"/>
        <w:rPr>
          <w:rFonts w:ascii="Helvetica" w:hAnsi="Helvetica" w:cs="Helvetica"/>
          <w:color w:val="000000"/>
          <w:sz w:val="21"/>
          <w:szCs w:val="21"/>
          <w:lang w:val="en"/>
        </w:rPr>
      </w:pPr>
      <w:r>
        <w:rPr>
          <w:rFonts w:ascii="Helvetica" w:hAnsi="Helvetica" w:cs="Helvetica"/>
          <w:color w:val="000000"/>
          <w:sz w:val="21"/>
          <w:szCs w:val="21"/>
          <w:lang w:val="en"/>
        </w:rPr>
        <w:t>This class is eligible for 2 PMGA Public Works points </w:t>
      </w:r>
    </w:p>
    <w:p w:rsidR="00387F5C" w:rsidRPr="001E45C7" w:rsidRDefault="00387F5C" w:rsidP="001E45C7"/>
    <w:sectPr w:rsidR="00387F5C" w:rsidRPr="001E45C7" w:rsidSect="001E45C7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C7"/>
    <w:rsid w:val="001E45C7"/>
    <w:rsid w:val="003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3D36"/>
  <w15:chartTrackingRefBased/>
  <w15:docId w15:val="{5D19E46F-FC68-4ECB-ACAF-A211D18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5C7"/>
    <w:rPr>
      <w:b w:val="0"/>
      <w:bCs w:val="0"/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1E45C7"/>
    <w:rPr>
      <w:i/>
      <w:iCs/>
    </w:rPr>
  </w:style>
  <w:style w:type="character" w:styleId="Strong">
    <w:name w:val="Strong"/>
    <w:basedOn w:val="DefaultParagraphFont"/>
    <w:uiPriority w:val="22"/>
    <w:qFormat/>
    <w:rsid w:val="001E45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5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77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DDDDDD"/>
                                        <w:left w:val="single" w:sz="6" w:space="15" w:color="DDDDDD"/>
                                        <w:bottom w:val="single" w:sz="6" w:space="15" w:color="DDDDDD"/>
                                        <w:right w:val="single" w:sz="6" w:space="15" w:color="DDDDDD"/>
                                      </w:divBdr>
                                      <w:divsChild>
                                        <w:div w:id="15296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.state.pa.us/public/PubsForms/Publications/PUB%20234.pdf" TargetMode="External"/><Relationship Id="rId5" Type="http://schemas.openxmlformats.org/officeDocument/2006/relationships/hyperlink" Target="http://www.mutcd.fhwa.dot.gov/" TargetMode="External"/><Relationship Id="rId4" Type="http://schemas.openxmlformats.org/officeDocument/2006/relationships/hyperlink" Target="https://www.dot.state.pa.us/public/PubsForms/Publications/PUB%202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Maxwell</dc:creator>
  <cp:keywords/>
  <dc:description/>
  <cp:lastModifiedBy>Trisha Maxwell</cp:lastModifiedBy>
  <cp:revision>1</cp:revision>
  <dcterms:created xsi:type="dcterms:W3CDTF">2019-07-17T15:48:00Z</dcterms:created>
  <dcterms:modified xsi:type="dcterms:W3CDTF">2019-07-17T15:51:00Z</dcterms:modified>
</cp:coreProperties>
</file>