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262F2" w:rsidRDefault="001262F2">
      <w:pPr>
        <w:rPr>
          <w:rFonts w:ascii="Arial" w:eastAsia="Arial" w:hAnsi="Arial" w:cs="Arial"/>
          <w:b/>
          <w:color w:val="4472C4"/>
          <w:highlight w:val="yellow"/>
        </w:rPr>
      </w:pPr>
    </w:p>
    <w:p w14:paraId="00000002" w14:textId="77777777" w:rsidR="001262F2" w:rsidRDefault="00371E4D">
      <w:pPr>
        <w:rPr>
          <w:rFonts w:ascii="Arial" w:eastAsia="Arial" w:hAnsi="Arial" w:cs="Arial"/>
          <w:color w:val="1F497D"/>
        </w:rPr>
      </w:pPr>
      <w:r>
        <w:rPr>
          <w:rFonts w:ascii="Arial" w:eastAsia="Arial" w:hAnsi="Arial" w:cs="Arial"/>
          <w:color w:val="1F497D"/>
        </w:rPr>
        <w:t>PRIORITY TESTING FOR COVID-19 – PRIVACY INFORMATION</w:t>
      </w:r>
    </w:p>
    <w:p w14:paraId="00000003" w14:textId="77777777" w:rsidR="001262F2" w:rsidRDefault="001262F2">
      <w:pPr>
        <w:rPr>
          <w:rFonts w:ascii="Arial" w:eastAsia="Arial" w:hAnsi="Arial" w:cs="Arial"/>
          <w:b/>
          <w:color w:val="4472C4"/>
        </w:rPr>
      </w:pPr>
    </w:p>
    <w:p w14:paraId="00000004" w14:textId="77777777" w:rsidR="001262F2" w:rsidRDefault="00371E4D">
      <w:pPr>
        <w:rPr>
          <w:color w:val="000000"/>
        </w:rPr>
      </w:pPr>
      <w:r>
        <w:rPr>
          <w:rFonts w:ascii="Arial" w:eastAsia="Arial" w:hAnsi="Arial" w:cs="Arial"/>
          <w:color w:val="000000"/>
        </w:rPr>
        <w:t>You have been invited to undertake a Covid-19 priority antigen test because you or someone in your household is a key worker and is currently following HM Governments guidelines on self-isolation.</w:t>
      </w:r>
    </w:p>
    <w:p w14:paraId="00000005" w14:textId="77777777" w:rsidR="001262F2" w:rsidRDefault="00371E4D">
      <w:pPr>
        <w:rPr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0000006" w14:textId="77777777" w:rsidR="001262F2" w:rsidRDefault="00371E4D">
      <w:pPr>
        <w:rPr>
          <w:color w:val="000000"/>
        </w:rPr>
      </w:pPr>
      <w:r>
        <w:rPr>
          <w:rFonts w:ascii="Arial" w:eastAsia="Arial" w:hAnsi="Arial" w:cs="Arial"/>
          <w:color w:val="000000"/>
        </w:rPr>
        <w:t>The test will confirm whether you currently have Covid-19. The result of the test will enable you or the key worker(s) in your household to know whether to continue to self-isolate or whether it is safe to return to work.</w:t>
      </w:r>
    </w:p>
    <w:p w14:paraId="00000007" w14:textId="77777777" w:rsidR="001262F2" w:rsidRDefault="00371E4D">
      <w:pPr>
        <w:rPr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0000008" w14:textId="77777777" w:rsidR="001262F2" w:rsidRDefault="00371E4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test is completely voluntary, and you do not have to take it. If you do decide to take the test, please follow the instructions provided at the Test Centre.</w:t>
      </w:r>
    </w:p>
    <w:p w14:paraId="00000009" w14:textId="77777777" w:rsidR="001262F2" w:rsidRDefault="001262F2">
      <w:pPr>
        <w:rPr>
          <w:rFonts w:ascii="Arial" w:eastAsia="Arial" w:hAnsi="Arial" w:cs="Arial"/>
          <w:highlight w:val="yellow"/>
        </w:rPr>
      </w:pPr>
    </w:p>
    <w:p w14:paraId="0000000A" w14:textId="1FFA8987" w:rsidR="001262F2" w:rsidRDefault="00371E4D">
      <w:pPr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  <w:color w:val="4472C4"/>
        </w:rPr>
        <w:t>Data Controller</w:t>
      </w:r>
    </w:p>
    <w:p w14:paraId="0000000B" w14:textId="77777777" w:rsidR="001262F2" w:rsidRDefault="001262F2">
      <w:pPr>
        <w:rPr>
          <w:rFonts w:ascii="Arial" w:eastAsia="Arial" w:hAnsi="Arial" w:cs="Arial"/>
          <w:highlight w:val="yellow"/>
        </w:rPr>
      </w:pPr>
    </w:p>
    <w:p w14:paraId="0000000C" w14:textId="27E611B5" w:rsidR="001262F2" w:rsidRDefault="00371E4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testing has been commissioned by the Department of Health and Social Care (DHSC), who is the data controller for data protection purposes. </w:t>
      </w:r>
    </w:p>
    <w:p w14:paraId="0000000D" w14:textId="77777777" w:rsidR="001262F2" w:rsidRDefault="001262F2">
      <w:pPr>
        <w:rPr>
          <w:rFonts w:ascii="Arial" w:eastAsia="Arial" w:hAnsi="Arial" w:cs="Arial"/>
        </w:rPr>
      </w:pPr>
    </w:p>
    <w:p w14:paraId="0000000E" w14:textId="77777777" w:rsidR="001262F2" w:rsidRDefault="001262F2">
      <w:pPr>
        <w:rPr>
          <w:rFonts w:ascii="Arial" w:eastAsia="Arial" w:hAnsi="Arial" w:cs="Arial"/>
          <w:color w:val="4472C4"/>
        </w:rPr>
      </w:pPr>
    </w:p>
    <w:p w14:paraId="0000000F" w14:textId="77777777" w:rsidR="001262F2" w:rsidRDefault="00371E4D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What personal data we collect</w:t>
      </w:r>
    </w:p>
    <w:p w14:paraId="00000010" w14:textId="77777777" w:rsidR="001262F2" w:rsidRDefault="001262F2">
      <w:pPr>
        <w:rPr>
          <w:rFonts w:ascii="Arial" w:eastAsia="Arial" w:hAnsi="Arial" w:cs="Arial"/>
          <w:color w:val="000000"/>
        </w:rPr>
      </w:pPr>
    </w:p>
    <w:p w14:paraId="00000011" w14:textId="61C961EC" w:rsidR="001262F2" w:rsidRDefault="00371E4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You will submit your details on this website to register to be tested for Covid-19 and to receive your invite </w:t>
      </w:r>
      <w:r w:rsidR="00205D6F">
        <w:rPr>
          <w:rFonts w:ascii="Arial" w:eastAsia="Arial" w:hAnsi="Arial" w:cs="Arial"/>
          <w:color w:val="000000"/>
        </w:rPr>
        <w:t xml:space="preserve">to attend </w:t>
      </w:r>
      <w:r>
        <w:rPr>
          <w:rFonts w:ascii="Arial" w:eastAsia="Arial" w:hAnsi="Arial" w:cs="Arial"/>
          <w:color w:val="000000"/>
        </w:rPr>
        <w:t>at an allotted test centre.</w:t>
      </w:r>
    </w:p>
    <w:p w14:paraId="00000012" w14:textId="77777777" w:rsidR="001262F2" w:rsidRDefault="001262F2">
      <w:pPr>
        <w:rPr>
          <w:rFonts w:ascii="Arial" w:eastAsia="Arial" w:hAnsi="Arial" w:cs="Arial"/>
          <w:color w:val="4472C4"/>
        </w:rPr>
      </w:pPr>
    </w:p>
    <w:p w14:paraId="00000013" w14:textId="77777777" w:rsidR="001262F2" w:rsidRDefault="00371E4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details we need from you are, your:</w:t>
      </w:r>
    </w:p>
    <w:p w14:paraId="00000014" w14:textId="77777777" w:rsidR="001262F2" w:rsidRDefault="001262F2">
      <w:pPr>
        <w:rPr>
          <w:rFonts w:ascii="Arial" w:eastAsia="Arial" w:hAnsi="Arial" w:cs="Arial"/>
          <w:color w:val="000000"/>
        </w:rPr>
      </w:pPr>
    </w:p>
    <w:p w14:paraId="00000015" w14:textId="77777777" w:rsidR="001262F2" w:rsidRDefault="00371E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First and last name </w:t>
      </w:r>
    </w:p>
    <w:p w14:paraId="00000016" w14:textId="77777777" w:rsidR="001262F2" w:rsidRDefault="00371E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Date of birth</w:t>
      </w:r>
    </w:p>
    <w:p w14:paraId="415B72CD" w14:textId="77777777" w:rsidR="00B642F9" w:rsidRPr="00B642F9" w:rsidRDefault="00371E4D" w:rsidP="00CC7F3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C7F35">
        <w:rPr>
          <w:rFonts w:ascii="Arial" w:eastAsia="Arial" w:hAnsi="Arial" w:cs="Arial"/>
          <w:color w:val="000000"/>
        </w:rPr>
        <w:t xml:space="preserve">Sex </w:t>
      </w:r>
      <w:bookmarkStart w:id="0" w:name="_GoBack"/>
    </w:p>
    <w:bookmarkEnd w:id="0"/>
    <w:p w14:paraId="00000018" w14:textId="6C70E058" w:rsidR="001262F2" w:rsidRPr="00CC7F35" w:rsidRDefault="00371E4D" w:rsidP="00CC7F3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C7F35">
        <w:rPr>
          <w:rFonts w:ascii="Arial" w:eastAsia="Arial" w:hAnsi="Arial" w:cs="Arial"/>
          <w:color w:val="000000"/>
        </w:rPr>
        <w:t xml:space="preserve">Mobile phone number </w:t>
      </w:r>
    </w:p>
    <w:p w14:paraId="00000019" w14:textId="77777777" w:rsidR="001262F2" w:rsidRDefault="00371E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Email address</w:t>
      </w:r>
    </w:p>
    <w:p w14:paraId="0000001A" w14:textId="77777777" w:rsidR="001262F2" w:rsidRDefault="00371E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Postcode</w:t>
      </w:r>
    </w:p>
    <w:p w14:paraId="0000001B" w14:textId="77777777" w:rsidR="001262F2" w:rsidRDefault="00371E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Vehicle registration number</w:t>
      </w:r>
    </w:p>
    <w:p w14:paraId="0000001C" w14:textId="77777777" w:rsidR="001262F2" w:rsidRDefault="001262F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color w:val="000000"/>
        </w:rPr>
      </w:pPr>
    </w:p>
    <w:p w14:paraId="0000001D" w14:textId="54C45625" w:rsidR="001262F2" w:rsidRDefault="00371E4D">
      <w:pPr>
        <w:rPr>
          <w:rFonts w:ascii="Arial" w:eastAsia="Arial" w:hAnsi="Arial" w:cs="Arial"/>
          <w:color w:val="000000"/>
        </w:rPr>
      </w:pPr>
      <w:bookmarkStart w:id="1" w:name="30j0zll" w:colFirst="0" w:colLast="0"/>
      <w:bookmarkStart w:id="2" w:name="gjdgxs" w:colFirst="0" w:colLast="0"/>
      <w:bookmarkEnd w:id="1"/>
      <w:bookmarkEnd w:id="2"/>
      <w:r>
        <w:rPr>
          <w:rFonts w:ascii="Arial" w:eastAsia="Arial" w:hAnsi="Arial" w:cs="Arial"/>
          <w:color w:val="000000"/>
        </w:rPr>
        <w:t xml:space="preserve">At the test centre, your testing kit will be allocated a </w:t>
      </w:r>
      <w:r>
        <w:rPr>
          <w:rFonts w:ascii="Arial" w:eastAsia="Arial" w:hAnsi="Arial" w:cs="Arial"/>
        </w:rPr>
        <w:t xml:space="preserve">unique reference number and we will keep a record of the </w:t>
      </w:r>
      <w:r>
        <w:rPr>
          <w:rFonts w:ascii="Arial" w:eastAsia="Arial" w:hAnsi="Arial" w:cs="Arial"/>
          <w:color w:val="000000"/>
        </w:rPr>
        <w:t xml:space="preserve">date and time your test was taken (this is important for the laboratory to know). We will link your test’s unique reference number with </w:t>
      </w:r>
      <w:r w:rsidRPr="003D5089">
        <w:rPr>
          <w:rFonts w:ascii="Arial" w:eastAsia="Arial" w:hAnsi="Arial" w:cs="Arial"/>
          <w:color w:val="000000"/>
        </w:rPr>
        <w:t>your test registration record</w:t>
      </w:r>
      <w:r w:rsidR="003D5089">
        <w:rPr>
          <w:rFonts w:ascii="Arial" w:eastAsia="Arial" w:hAnsi="Arial" w:cs="Arial"/>
          <w:color w:val="000000"/>
        </w:rPr>
        <w:t>, which consists of the information listed above.</w:t>
      </w:r>
    </w:p>
    <w:p w14:paraId="0000001E" w14:textId="77777777" w:rsidR="001262F2" w:rsidRDefault="001262F2">
      <w:pPr>
        <w:rPr>
          <w:rFonts w:ascii="Arial" w:eastAsia="Arial" w:hAnsi="Arial" w:cs="Arial"/>
          <w:color w:val="000000"/>
        </w:rPr>
      </w:pPr>
    </w:p>
    <w:p w14:paraId="0000001F" w14:textId="77777777" w:rsidR="001262F2" w:rsidRDefault="00371E4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After your Covid-19 test, we shall also collect and process your test results (this is health data which is special category data under the GDPR).</w:t>
      </w:r>
    </w:p>
    <w:p w14:paraId="00000020" w14:textId="77777777" w:rsidR="001262F2" w:rsidRDefault="001262F2">
      <w:pPr>
        <w:rPr>
          <w:rFonts w:ascii="Arial" w:eastAsia="Arial" w:hAnsi="Arial" w:cs="Arial"/>
          <w:color w:val="000000"/>
        </w:rPr>
      </w:pPr>
    </w:p>
    <w:p w14:paraId="00000021" w14:textId="77777777" w:rsidR="001262F2" w:rsidRDefault="001262F2">
      <w:pPr>
        <w:rPr>
          <w:rFonts w:ascii="Arial" w:eastAsia="Arial" w:hAnsi="Arial" w:cs="Arial"/>
          <w:b/>
          <w:color w:val="4472C4"/>
        </w:rPr>
      </w:pPr>
    </w:p>
    <w:p w14:paraId="00000022" w14:textId="77777777" w:rsidR="001262F2" w:rsidRDefault="00371E4D">
      <w:pPr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  <w:color w:val="4472C4"/>
        </w:rPr>
        <w:t>What purposes will your data be used for?</w:t>
      </w:r>
    </w:p>
    <w:p w14:paraId="00000023" w14:textId="77777777" w:rsidR="001262F2" w:rsidRDefault="001262F2">
      <w:pPr>
        <w:rPr>
          <w:rFonts w:ascii="Arial" w:eastAsia="Arial" w:hAnsi="Arial" w:cs="Arial"/>
          <w:b/>
          <w:color w:val="4472C4"/>
        </w:rPr>
      </w:pPr>
    </w:p>
    <w:p w14:paraId="00000024" w14:textId="77777777" w:rsidR="001262F2" w:rsidRDefault="00371E4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DHSC are the Data Controller for the following purposes:</w:t>
      </w:r>
    </w:p>
    <w:p w14:paraId="00000025" w14:textId="77777777" w:rsidR="001262F2" w:rsidRDefault="001262F2">
      <w:pPr>
        <w:rPr>
          <w:rFonts w:ascii="Arial" w:eastAsia="Arial" w:hAnsi="Arial" w:cs="Arial"/>
          <w:color w:val="000000"/>
        </w:rPr>
      </w:pPr>
    </w:p>
    <w:p w14:paraId="00000026" w14:textId="77777777" w:rsidR="001262F2" w:rsidRDefault="00371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Confirming the appointment to the test centre</w:t>
      </w:r>
    </w:p>
    <w:p w14:paraId="00000027" w14:textId="4DDED3D6" w:rsidR="001262F2" w:rsidRDefault="00371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Performing a security </w:t>
      </w:r>
      <w:r w:rsidR="00FE364C">
        <w:rPr>
          <w:rFonts w:ascii="Arial" w:eastAsia="Arial" w:hAnsi="Arial" w:cs="Arial"/>
          <w:color w:val="000000"/>
        </w:rPr>
        <w:t>and ID verification</w:t>
      </w:r>
      <w:r>
        <w:rPr>
          <w:rFonts w:ascii="Arial" w:eastAsia="Arial" w:hAnsi="Arial" w:cs="Arial"/>
          <w:color w:val="000000"/>
        </w:rPr>
        <w:t xml:space="preserve"> at the test centre</w:t>
      </w:r>
    </w:p>
    <w:p w14:paraId="00000028" w14:textId="77777777" w:rsidR="001262F2" w:rsidRDefault="00371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Receiving and processing your test</w:t>
      </w:r>
    </w:p>
    <w:p w14:paraId="00000029" w14:textId="27A96715" w:rsidR="001262F2" w:rsidRDefault="00371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Returning your results to you</w:t>
      </w:r>
      <w:r w:rsidR="00FE364C">
        <w:rPr>
          <w:rFonts w:ascii="Arial" w:eastAsia="Arial" w:hAnsi="Arial" w:cs="Arial"/>
          <w:color w:val="000000"/>
        </w:rPr>
        <w:t xml:space="preserve"> </w:t>
      </w:r>
    </w:p>
    <w:p w14:paraId="0000002A" w14:textId="77777777" w:rsidR="001262F2" w:rsidRDefault="00371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Undertaking quality assurance of the testing process (e.g., clinical process assurance)</w:t>
      </w:r>
    </w:p>
    <w:p w14:paraId="0000002B" w14:textId="77777777" w:rsidR="001262F2" w:rsidRDefault="00371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Analysis to support operational decisions to improve the full end-to-end testing process e.g.</w:t>
      </w:r>
    </w:p>
    <w:p w14:paraId="0000002C" w14:textId="77777777" w:rsidR="001262F2" w:rsidRDefault="00371E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34"/>
        <w:rPr>
          <w:color w:val="000000"/>
        </w:rPr>
      </w:pPr>
      <w:r>
        <w:rPr>
          <w:rFonts w:ascii="Arial" w:eastAsia="Arial" w:hAnsi="Arial" w:cs="Arial"/>
          <w:color w:val="000000"/>
        </w:rPr>
        <w:t>Day to day operational use (e.g. whether someone attended their appointment)</w:t>
      </w:r>
    </w:p>
    <w:p w14:paraId="0000002D" w14:textId="77777777" w:rsidR="001262F2" w:rsidRDefault="00371E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34"/>
        <w:rPr>
          <w:color w:val="000000"/>
        </w:rPr>
      </w:pPr>
      <w:r>
        <w:rPr>
          <w:rFonts w:ascii="Arial" w:eastAsia="Arial" w:hAnsi="Arial" w:cs="Arial"/>
          <w:color w:val="000000"/>
        </w:rPr>
        <w:t>To inform test centre process improvements (e.g. manage test centre capacity or throughput)</w:t>
      </w:r>
    </w:p>
    <w:p w14:paraId="0000002E" w14:textId="77777777" w:rsidR="001262F2" w:rsidRDefault="00371E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134"/>
        <w:rPr>
          <w:color w:val="000000"/>
        </w:rPr>
      </w:pPr>
      <w:r>
        <w:rPr>
          <w:rFonts w:ascii="Arial" w:eastAsia="Arial" w:hAnsi="Arial" w:cs="Arial"/>
          <w:color w:val="000000"/>
        </w:rPr>
        <w:t>support end to end logistics planning</w:t>
      </w:r>
    </w:p>
    <w:p w14:paraId="00000030" w14:textId="5F79DC8A" w:rsidR="001262F2" w:rsidRDefault="00371E4D">
      <w:pPr>
        <w:spacing w:after="160" w:line="259" w:lineRule="auto"/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  <w:color w:val="4472C4"/>
        </w:rPr>
        <w:t>Data Processors and other recipients of your data</w:t>
      </w:r>
    </w:p>
    <w:p w14:paraId="00000031" w14:textId="77777777" w:rsidR="001262F2" w:rsidRDefault="00371E4D">
      <w:pP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DHSC have appointed data processors, as indicated below, to carry out these activities:</w:t>
      </w:r>
    </w:p>
    <w:p w14:paraId="00000032" w14:textId="58786944" w:rsidR="001262F2" w:rsidRDefault="00371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Registration, appointment scheduling and capture of information at the point of taking the test</w:t>
      </w:r>
    </w:p>
    <w:p w14:paraId="00000033" w14:textId="35D0073D" w:rsidR="001262F2" w:rsidRDefault="00371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Verify </w:t>
      </w:r>
      <w:r w:rsidR="006B7DE9">
        <w:rPr>
          <w:rFonts w:ascii="Arial" w:eastAsia="Arial" w:hAnsi="Arial" w:cs="Arial"/>
          <w:color w:val="000000"/>
        </w:rPr>
        <w:t xml:space="preserve">your </w:t>
      </w:r>
      <w:r>
        <w:rPr>
          <w:rFonts w:ascii="Arial" w:eastAsia="Arial" w:hAnsi="Arial" w:cs="Arial"/>
          <w:color w:val="000000"/>
        </w:rPr>
        <w:t>identity at the Test Centre – this may include various organisations</w:t>
      </w:r>
      <w:r w:rsidR="007712B0">
        <w:rPr>
          <w:rFonts w:ascii="Arial" w:eastAsia="Arial" w:hAnsi="Arial" w:cs="Arial"/>
          <w:color w:val="000000"/>
        </w:rPr>
        <w:t xml:space="preserve"> who run the various part of the Test Centre.</w:t>
      </w:r>
    </w:p>
    <w:p w14:paraId="00000034" w14:textId="781B91C4" w:rsidR="001262F2" w:rsidRDefault="00371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Link your personal details</w:t>
      </w:r>
      <w:r w:rsidR="007712B0">
        <w:rPr>
          <w:rFonts w:ascii="Arial" w:eastAsia="Arial" w:hAnsi="Arial" w:cs="Arial"/>
          <w:color w:val="000000"/>
        </w:rPr>
        <w:t xml:space="preserve"> (provided on registering for the test)</w:t>
      </w:r>
      <w:r>
        <w:rPr>
          <w:rFonts w:ascii="Arial" w:eastAsia="Arial" w:hAnsi="Arial" w:cs="Arial"/>
          <w:color w:val="000000"/>
        </w:rPr>
        <w:t xml:space="preserve"> to the test result – (the data processor is the National Pathology Exchange (</w:t>
      </w:r>
      <w:proofErr w:type="spellStart"/>
      <w:r>
        <w:rPr>
          <w:rFonts w:ascii="Arial" w:eastAsia="Arial" w:hAnsi="Arial" w:cs="Arial"/>
          <w:color w:val="000000"/>
        </w:rPr>
        <w:t>NPeX</w:t>
      </w:r>
      <w:proofErr w:type="spellEnd"/>
      <w:r w:rsidR="00FE364C">
        <w:rPr>
          <w:rFonts w:ascii="Arial" w:eastAsia="Arial" w:hAnsi="Arial" w:cs="Arial"/>
          <w:color w:val="000000"/>
        </w:rPr>
        <w:t xml:space="preserve"> – hosted by Calderdale and Huddersfield NHS Trust</w:t>
      </w:r>
      <w:r>
        <w:rPr>
          <w:rFonts w:ascii="Arial" w:eastAsia="Arial" w:hAnsi="Arial" w:cs="Arial"/>
          <w:color w:val="000000"/>
        </w:rPr>
        <w:t xml:space="preserve">) </w:t>
      </w:r>
    </w:p>
    <w:p w14:paraId="00000035" w14:textId="77777777" w:rsidR="001262F2" w:rsidRDefault="00371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Forward your test results and phone number to NHS Business Services Authority (NHS BSA) to send you your test results (the data processor is </w:t>
      </w:r>
      <w:proofErr w:type="spellStart"/>
      <w:r>
        <w:rPr>
          <w:rFonts w:ascii="Arial" w:eastAsia="Arial" w:hAnsi="Arial" w:cs="Arial"/>
          <w:color w:val="000000"/>
        </w:rPr>
        <w:t>NPeX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</w:p>
    <w:p w14:paraId="00000036" w14:textId="77777777" w:rsidR="001262F2" w:rsidRDefault="00371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Receive data to enable your results to be communicated back to you by SMS (text) – (the data processor is NHS BSA)</w:t>
      </w:r>
    </w:p>
    <w:p w14:paraId="00000037" w14:textId="77777777" w:rsidR="001262F2" w:rsidRPr="007712B0" w:rsidRDefault="001262F2">
      <w:pPr>
        <w:rPr>
          <w:rFonts w:ascii="Arial" w:eastAsia="Arial" w:hAnsi="Arial" w:cs="Arial"/>
          <w:b/>
        </w:rPr>
      </w:pPr>
    </w:p>
    <w:p w14:paraId="00000038" w14:textId="77777777" w:rsidR="001262F2" w:rsidRDefault="001262F2">
      <w:pPr>
        <w:rPr>
          <w:rFonts w:ascii="Arial" w:eastAsia="Arial" w:hAnsi="Arial" w:cs="Arial"/>
          <w:b/>
          <w:color w:val="4472C4"/>
        </w:rPr>
      </w:pPr>
    </w:p>
    <w:p w14:paraId="00000039" w14:textId="77777777" w:rsidR="001262F2" w:rsidRDefault="00371E4D">
      <w:pPr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  <w:color w:val="4472C4"/>
        </w:rPr>
        <w:t>Data Retention</w:t>
      </w:r>
    </w:p>
    <w:p w14:paraId="0000003A" w14:textId="77777777" w:rsidR="001262F2" w:rsidRDefault="001262F2">
      <w:pPr>
        <w:rPr>
          <w:rFonts w:ascii="Arial" w:eastAsia="Arial" w:hAnsi="Arial" w:cs="Arial"/>
          <w:b/>
          <w:color w:val="4472C4"/>
        </w:rPr>
      </w:pPr>
    </w:p>
    <w:p w14:paraId="0000003B" w14:textId="77777777" w:rsidR="001262F2" w:rsidRPr="007712B0" w:rsidRDefault="00371E4D">
      <w:pPr>
        <w:rPr>
          <w:color w:val="0000FF"/>
          <w:highlight w:val="yellow"/>
          <w:u w:val="single"/>
        </w:rPr>
      </w:pPr>
      <w:r w:rsidRPr="007712B0">
        <w:rPr>
          <w:rFonts w:ascii="Arial" w:eastAsia="Arial" w:hAnsi="Arial" w:cs="Arial"/>
        </w:rPr>
        <w:t xml:space="preserve">We will retain your personal data in accordance with the </w:t>
      </w:r>
      <w:hyperlink r:id="rId9">
        <w:r w:rsidRPr="007712B0">
          <w:rPr>
            <w:rFonts w:ascii="Arial" w:eastAsia="Arial" w:hAnsi="Arial" w:cs="Arial"/>
            <w:color w:val="0000FF"/>
            <w:u w:val="single"/>
          </w:rPr>
          <w:t>Records Management Code of Practice for Health and Social Care 2016</w:t>
        </w:r>
      </w:hyperlink>
      <w:r w:rsidRPr="007712B0">
        <w:rPr>
          <w:rFonts w:ascii="Arial" w:eastAsia="Arial" w:hAnsi="Arial" w:cs="Arial"/>
          <w:color w:val="0000FF"/>
          <w:highlight w:val="yellow"/>
        </w:rPr>
        <w:t xml:space="preserve"> </w:t>
      </w:r>
    </w:p>
    <w:p w14:paraId="0000003C" w14:textId="77777777" w:rsidR="001262F2" w:rsidRPr="007712B0" w:rsidRDefault="001262F2">
      <w:pPr>
        <w:rPr>
          <w:rFonts w:ascii="Arial" w:eastAsia="Arial" w:hAnsi="Arial" w:cs="Arial"/>
          <w:b/>
          <w:color w:val="4472C4"/>
          <w:highlight w:val="yellow"/>
        </w:rPr>
      </w:pPr>
    </w:p>
    <w:p w14:paraId="0000003D" w14:textId="77777777" w:rsidR="001262F2" w:rsidRDefault="00371E4D">
      <w:pPr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  <w:color w:val="4472C4"/>
        </w:rPr>
        <w:t>Data Storage</w:t>
      </w:r>
    </w:p>
    <w:p w14:paraId="0000003E" w14:textId="77777777" w:rsidR="001262F2" w:rsidRDefault="001262F2">
      <w:pPr>
        <w:rPr>
          <w:rFonts w:ascii="Arial" w:eastAsia="Arial" w:hAnsi="Arial" w:cs="Arial"/>
          <w:b/>
          <w:color w:val="1F497D"/>
          <w:highlight w:val="yellow"/>
        </w:rPr>
      </w:pPr>
    </w:p>
    <w:p w14:paraId="0000003F" w14:textId="77777777" w:rsidR="001262F2" w:rsidRDefault="00371E4D">
      <w:pPr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000000"/>
        </w:rPr>
        <w:t>Your data will be stored and processed in the UK</w:t>
      </w:r>
      <w:r>
        <w:rPr>
          <w:rFonts w:ascii="Arial" w:eastAsia="Arial" w:hAnsi="Arial" w:cs="Arial"/>
          <w:color w:val="4472C4"/>
        </w:rPr>
        <w:t xml:space="preserve">. </w:t>
      </w:r>
      <w:r>
        <w:rPr>
          <w:rFonts w:ascii="Arial" w:eastAsia="Arial" w:hAnsi="Arial" w:cs="Arial"/>
          <w:color w:val="000000"/>
        </w:rPr>
        <w:t>Fully anonymous data e.g. statistical data (which does not allow you to be identified) may be stored and processed outside of the UK.</w:t>
      </w:r>
    </w:p>
    <w:p w14:paraId="00000040" w14:textId="77777777" w:rsidR="001262F2" w:rsidRDefault="001262F2">
      <w:pPr>
        <w:rPr>
          <w:rFonts w:ascii="Arial" w:eastAsia="Arial" w:hAnsi="Arial" w:cs="Arial"/>
        </w:rPr>
      </w:pPr>
    </w:p>
    <w:p w14:paraId="2E6C75E3" w14:textId="77777777" w:rsidR="00371E4D" w:rsidRDefault="00371E4D">
      <w:pPr>
        <w:rPr>
          <w:rFonts w:ascii="Arial" w:eastAsia="Arial" w:hAnsi="Arial" w:cs="Arial"/>
          <w:b/>
          <w:color w:val="4472C4"/>
        </w:rPr>
      </w:pPr>
    </w:p>
    <w:p w14:paraId="00000041" w14:textId="07FEAA55" w:rsidR="001262F2" w:rsidRDefault="00371E4D">
      <w:pPr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  <w:color w:val="4472C4"/>
        </w:rPr>
        <w:t>Legal basis</w:t>
      </w:r>
      <w:r w:rsidR="00FE364C">
        <w:rPr>
          <w:rFonts w:ascii="Arial" w:eastAsia="Arial" w:hAnsi="Arial" w:cs="Arial"/>
          <w:b/>
          <w:color w:val="4472C4"/>
        </w:rPr>
        <w:t xml:space="preserve"> under GDPR and DPA 2018</w:t>
      </w:r>
    </w:p>
    <w:p w14:paraId="00000042" w14:textId="77777777" w:rsidR="001262F2" w:rsidRDefault="001262F2">
      <w:pPr>
        <w:rPr>
          <w:rFonts w:ascii="Arial" w:eastAsia="Arial" w:hAnsi="Arial" w:cs="Arial"/>
          <w:b/>
          <w:color w:val="4472C4"/>
        </w:rPr>
      </w:pPr>
    </w:p>
    <w:p w14:paraId="00000044" w14:textId="77777777" w:rsidR="001262F2" w:rsidRDefault="001262F2">
      <w:pPr>
        <w:rPr>
          <w:rFonts w:ascii="Arial" w:eastAsia="Arial" w:hAnsi="Arial" w:cs="Arial"/>
          <w:b/>
          <w:color w:val="4472C4"/>
        </w:rPr>
      </w:pPr>
    </w:p>
    <w:p w14:paraId="00000045" w14:textId="77777777" w:rsidR="001262F2" w:rsidRDefault="00371E4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DHSC’s legal basis for processing your personal data is:</w:t>
      </w:r>
    </w:p>
    <w:p w14:paraId="00000046" w14:textId="77777777" w:rsidR="001262F2" w:rsidRDefault="001262F2">
      <w:pPr>
        <w:rPr>
          <w:rFonts w:ascii="Arial" w:eastAsia="Arial" w:hAnsi="Arial" w:cs="Arial"/>
        </w:rPr>
      </w:pPr>
    </w:p>
    <w:p w14:paraId="00000047" w14:textId="77777777" w:rsidR="001262F2" w:rsidRDefault="00371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GDPR Article 6(1)(e) – the processing is necessary for the performance of its official tasks carried out in the public interest in providing and managing a health service</w:t>
      </w:r>
    </w:p>
    <w:p w14:paraId="00000048" w14:textId="77777777" w:rsidR="001262F2" w:rsidRDefault="001262F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49" w14:textId="77777777" w:rsidR="001262F2" w:rsidRDefault="00371E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t xml:space="preserve">GDPR Article 9(2)(h)) – the processing is necessary for medical diagnosis, the provision of health treatment and management of a health and social care system </w:t>
      </w:r>
    </w:p>
    <w:p w14:paraId="0000004A" w14:textId="77777777" w:rsidR="001262F2" w:rsidRDefault="001262F2">
      <w:pPr>
        <w:rPr>
          <w:rFonts w:ascii="Arial" w:eastAsia="Arial" w:hAnsi="Arial" w:cs="Arial"/>
        </w:rPr>
      </w:pPr>
    </w:p>
    <w:p w14:paraId="0000004B" w14:textId="77777777" w:rsidR="001262F2" w:rsidRDefault="00371E4D">
      <w:pPr>
        <w:numPr>
          <w:ilvl w:val="0"/>
          <w:numId w:val="3"/>
        </w:numPr>
        <w:rPr>
          <w:color w:val="000000"/>
        </w:rPr>
      </w:pPr>
      <w:r>
        <w:rPr>
          <w:rFonts w:ascii="Arial" w:eastAsia="Arial" w:hAnsi="Arial" w:cs="Arial"/>
        </w:rPr>
        <w:t>DPA 2018 – Schedule 1, Part 1, (2) (2) (f) – Health or social care purposes</w:t>
      </w:r>
    </w:p>
    <w:p w14:paraId="0000004C" w14:textId="77777777" w:rsidR="001262F2" w:rsidRDefault="001262F2">
      <w:pPr>
        <w:rPr>
          <w:rFonts w:ascii="Arial" w:eastAsia="Arial" w:hAnsi="Arial" w:cs="Arial"/>
        </w:rPr>
      </w:pPr>
    </w:p>
    <w:p w14:paraId="0000004F" w14:textId="77777777" w:rsidR="001262F2" w:rsidRDefault="001262F2">
      <w:pPr>
        <w:rPr>
          <w:rFonts w:ascii="Arial" w:eastAsia="Arial" w:hAnsi="Arial" w:cs="Arial"/>
        </w:rPr>
      </w:pPr>
    </w:p>
    <w:p w14:paraId="00000050" w14:textId="20E68B5D" w:rsidR="001262F2" w:rsidRDefault="00371E4D">
      <w:pPr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  <w:color w:val="4472C4"/>
        </w:rPr>
        <w:t>Data Protection Officer</w:t>
      </w:r>
    </w:p>
    <w:p w14:paraId="477D20E9" w14:textId="77777777" w:rsidR="00FE364C" w:rsidRDefault="00FE364C">
      <w:pPr>
        <w:rPr>
          <w:rFonts w:ascii="Arial" w:eastAsia="Arial" w:hAnsi="Arial" w:cs="Arial"/>
          <w:b/>
          <w:color w:val="4472C4"/>
        </w:rPr>
      </w:pPr>
    </w:p>
    <w:p w14:paraId="00000055" w14:textId="38C821CA" w:rsidR="001262F2" w:rsidRDefault="007712B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can contact DHSC’s Data Protection Officer by sending an email to </w:t>
      </w:r>
      <w:hyperlink r:id="rId10" w:history="1">
        <w:r w:rsidRPr="000A3F56">
          <w:rPr>
            <w:rStyle w:val="Hyperlink"/>
            <w:rFonts w:ascii="Arial" w:eastAsia="Arial" w:hAnsi="Arial" w:cs="Arial"/>
          </w:rPr>
          <w:t>contactus@dhsc.gov.uk</w:t>
        </w:r>
      </w:hyperlink>
      <w:r>
        <w:rPr>
          <w:rFonts w:ascii="Arial" w:eastAsia="Arial" w:hAnsi="Arial" w:cs="Arial"/>
        </w:rPr>
        <w:t xml:space="preserve"> </w:t>
      </w:r>
    </w:p>
    <w:p w14:paraId="00000056" w14:textId="77777777" w:rsidR="001262F2" w:rsidRDefault="001262F2">
      <w:pPr>
        <w:rPr>
          <w:rFonts w:ascii="Arial" w:eastAsia="Arial" w:hAnsi="Arial" w:cs="Arial"/>
        </w:rPr>
      </w:pPr>
    </w:p>
    <w:sectPr w:rsidR="001262F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968"/>
    <w:multiLevelType w:val="multilevel"/>
    <w:tmpl w:val="0C6839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E26649"/>
    <w:multiLevelType w:val="multilevel"/>
    <w:tmpl w:val="A48E4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F45735"/>
    <w:multiLevelType w:val="multilevel"/>
    <w:tmpl w:val="CBEA7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D11FD0"/>
    <w:multiLevelType w:val="multilevel"/>
    <w:tmpl w:val="3A7CF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B708F2"/>
    <w:multiLevelType w:val="multilevel"/>
    <w:tmpl w:val="A1A85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F2"/>
    <w:rsid w:val="000134BE"/>
    <w:rsid w:val="000867D3"/>
    <w:rsid w:val="001262F2"/>
    <w:rsid w:val="0014584B"/>
    <w:rsid w:val="00205D6F"/>
    <w:rsid w:val="00323B59"/>
    <w:rsid w:val="00371E4D"/>
    <w:rsid w:val="003D5089"/>
    <w:rsid w:val="00512033"/>
    <w:rsid w:val="006B7DE9"/>
    <w:rsid w:val="007712B0"/>
    <w:rsid w:val="008D72E0"/>
    <w:rsid w:val="00916808"/>
    <w:rsid w:val="00A82E7E"/>
    <w:rsid w:val="00B642F9"/>
    <w:rsid w:val="00C13EC1"/>
    <w:rsid w:val="00CC7F35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B8C8"/>
  <w15:docId w15:val="{B2784DDF-848A-472D-9CB9-40DDE53A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2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12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ontactus@dhsc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igital.nhs.uk/data-and-information/looking-after-information/data-security-and-information-governance/codes-of-practice-for-handling-information-in-health-and-care/records-management-code-of-practice-for-health-and-social-care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3A05A8D9186479857FE125E80825C" ma:contentTypeVersion="12" ma:contentTypeDescription="Create a new document." ma:contentTypeScope="" ma:versionID="2294e0e583cc442144273abe1de0d3ac">
  <xsd:schema xmlns:xsd="http://www.w3.org/2001/XMLSchema" xmlns:xs="http://www.w3.org/2001/XMLSchema" xmlns:p="http://schemas.microsoft.com/office/2006/metadata/properties" xmlns:ns2="44255bf8-93f8-47c0-965e-ebfff3a7e36f" xmlns:ns3="46e1745b-6621-441e-9c39-7b7c2c763dda" targetNamespace="http://schemas.microsoft.com/office/2006/metadata/properties" ma:root="true" ma:fieldsID="c23b19c71f985b52c669a651add27660" ns2:_="" ns3:_="">
    <xsd:import namespace="44255bf8-93f8-47c0-965e-ebfff3a7e36f"/>
    <xsd:import namespace="46e1745b-6621-441e-9c39-7b7c2c763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5bf8-93f8-47c0-965e-ebfff3a7e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1745b-6621-441e-9c39-7b7c2c763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3FF0-35F9-4F10-8CC6-A2E72E86B5C0}"/>
</file>

<file path=customXml/itemProps2.xml><?xml version="1.0" encoding="utf-8"?>
<ds:datastoreItem xmlns:ds="http://schemas.openxmlformats.org/officeDocument/2006/customXml" ds:itemID="{0CF1544D-8437-46E8-9A5D-6ABC19EE4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8D593-12D1-48E0-BF1B-103291C528FD}">
  <ds:schemaRefs>
    <ds:schemaRef ds:uri="http://purl.org/dc/terms/"/>
    <ds:schemaRef ds:uri="http://schemas.openxmlformats.org/package/2006/metadata/core-properties"/>
    <ds:schemaRef ds:uri="2880fe9b-ccf3-47cf-89c4-eec04e9bd6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c352d6-ebaf-4dd5-8fa2-142ed304099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C469A3-D2FB-4BB5-9C1E-C169F70F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Staples</dc:creator>
  <cp:lastModifiedBy>Martin Staples</cp:lastModifiedBy>
  <cp:revision>4</cp:revision>
  <dcterms:created xsi:type="dcterms:W3CDTF">2020-04-03T13:36:00Z</dcterms:created>
  <dcterms:modified xsi:type="dcterms:W3CDTF">2020-04-04T11:55:00Z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0x010100A4A3A05A8D9186479857FE125E80825C</vt:lpwstr>
  </property>
</Properties>
</file>