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C5" w:rsidRDefault="009968C5" w:rsidP="008C4A56">
      <w:pPr>
        <w:jc w:val="center"/>
      </w:pPr>
      <w:r>
        <w:t xml:space="preserve"> </w:t>
      </w:r>
    </w:p>
    <w:p w:rsidR="00E169BC" w:rsidRDefault="008C4A56" w:rsidP="008C4A5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56945" cy="1019175"/>
            <wp:effectExtent l="0" t="0" r="635" b="0"/>
            <wp:docPr id="3" name="Picture 3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IFlogoColorSmal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610" cy="102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488" w:rsidRDefault="00496488" w:rsidP="00496488">
      <w:pPr>
        <w:sectPr w:rsidR="00496488" w:rsidSect="0049648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496488" w:rsidRPr="003147F0" w:rsidRDefault="003147F0" w:rsidP="008C4A56">
      <w:pPr>
        <w:spacing w:after="0"/>
        <w:jc w:val="center"/>
        <w:rPr>
          <w:b/>
        </w:rPr>
      </w:pPr>
      <w:r w:rsidRPr="003147F0">
        <w:rPr>
          <w:b/>
        </w:rPr>
        <w:lastRenderedPageBreak/>
        <w:t>www.meltonsdriving.com</w:t>
      </w:r>
    </w:p>
    <w:p w:rsidR="003147F0" w:rsidRDefault="003147F0" w:rsidP="008C4A56">
      <w:pPr>
        <w:spacing w:after="0"/>
        <w:jc w:val="center"/>
        <w:rPr>
          <w:b/>
          <w:u w:val="single"/>
        </w:rPr>
        <w:sectPr w:rsidR="003147F0" w:rsidSect="00496488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67562B" w:rsidRDefault="0067562B" w:rsidP="008C4A56">
      <w:pPr>
        <w:spacing w:after="0"/>
        <w:jc w:val="center"/>
        <w:rPr>
          <w:b/>
          <w:u w:val="single"/>
        </w:rPr>
      </w:pPr>
    </w:p>
    <w:p w:rsidR="008C4A56" w:rsidRPr="008C4A56" w:rsidRDefault="008C4A56" w:rsidP="008C4A56">
      <w:pPr>
        <w:spacing w:after="0"/>
        <w:jc w:val="center"/>
        <w:rPr>
          <w:b/>
          <w:u w:val="single"/>
        </w:rPr>
      </w:pPr>
      <w:r w:rsidRPr="008C4A56">
        <w:rPr>
          <w:b/>
          <w:u w:val="single"/>
        </w:rPr>
        <w:t>Home Office:</w:t>
      </w:r>
    </w:p>
    <w:p w:rsidR="008C4A56" w:rsidRPr="00AE6729" w:rsidRDefault="008C4A56" w:rsidP="008C4A56">
      <w:pPr>
        <w:spacing w:after="0" w:line="240" w:lineRule="auto"/>
        <w:jc w:val="center"/>
        <w:rPr>
          <w:i/>
        </w:rPr>
      </w:pPr>
      <w:r w:rsidRPr="00AE6729">
        <w:rPr>
          <w:i/>
        </w:rPr>
        <w:t>615 N. Jefferson St</w:t>
      </w:r>
      <w:r w:rsidR="008F1543" w:rsidRPr="00AE6729">
        <w:rPr>
          <w:i/>
        </w:rPr>
        <w:t xml:space="preserve"> </w:t>
      </w:r>
      <w:r w:rsidR="008F1543" w:rsidRPr="00AE6729">
        <w:rPr>
          <w:rFonts w:cstheme="minorHAnsi"/>
          <w:i/>
        </w:rPr>
        <w:t>•</w:t>
      </w:r>
      <w:r w:rsidR="008F1543" w:rsidRPr="00AE6729">
        <w:rPr>
          <w:i/>
        </w:rPr>
        <w:t xml:space="preserve"> </w:t>
      </w:r>
      <w:r w:rsidRPr="00AE6729">
        <w:rPr>
          <w:i/>
        </w:rPr>
        <w:t>Dublin, GA 31021</w:t>
      </w:r>
    </w:p>
    <w:p w:rsidR="00205BC6" w:rsidRPr="00496488" w:rsidRDefault="008C4A56" w:rsidP="008C4A56">
      <w:pPr>
        <w:spacing w:after="120" w:line="240" w:lineRule="auto"/>
        <w:jc w:val="center"/>
        <w:rPr>
          <w:i/>
        </w:rPr>
      </w:pPr>
      <w:r w:rsidRPr="00AE6729">
        <w:rPr>
          <w:i/>
        </w:rPr>
        <w:t>(478) 274-8986</w:t>
      </w:r>
      <w:r w:rsidR="0067562B">
        <w:rPr>
          <w:i/>
        </w:rPr>
        <w:br/>
      </w:r>
      <w:r w:rsidR="00205BC6" w:rsidRPr="00496488">
        <w:rPr>
          <w:i/>
        </w:rPr>
        <w:t>9 AM – 5PM Monday - Friday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1180"/>
        <w:gridCol w:w="960"/>
        <w:gridCol w:w="960"/>
        <w:gridCol w:w="1280"/>
      </w:tblGrid>
      <w:tr w:rsidR="003147F0" w:rsidRPr="003147F0" w:rsidTr="00F75799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3147F0" w:rsidRPr="003147F0" w:rsidRDefault="003147F0" w:rsidP="0031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  <w:hideMark/>
          </w:tcPr>
          <w:p w:rsidR="003147F0" w:rsidRPr="003147F0" w:rsidRDefault="00010888" w:rsidP="0031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</w:tr>
      <w:tr w:rsidR="003147F0" w:rsidRPr="003147F0" w:rsidTr="00BF576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7F0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am-6 pm</w:t>
            </w:r>
          </w:p>
        </w:tc>
      </w:tr>
      <w:tr w:rsidR="003147F0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3147F0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7F0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am-6 pm</w:t>
            </w:r>
          </w:p>
        </w:tc>
      </w:tr>
      <w:tr w:rsidR="003147F0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3147F0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47F0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7F0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 pm-10 pm</w:t>
            </w:r>
          </w:p>
        </w:tc>
      </w:tr>
      <w:tr w:rsidR="003147F0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3147F0" w:rsidRPr="003147F0" w:rsidRDefault="003147F0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3147F0" w:rsidRPr="003147F0" w:rsidRDefault="003147F0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3147F0" w:rsidRPr="003147F0" w:rsidRDefault="003147F0" w:rsidP="00BF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</w:tcPr>
          <w:p w:rsidR="003147F0" w:rsidRPr="003147F0" w:rsidRDefault="003147F0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am-6 pm</w:t>
            </w: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am-6 pm</w:t>
            </w: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 pm-10 pm</w:t>
            </w:r>
          </w:p>
        </w:tc>
      </w:tr>
      <w:tr w:rsidR="003147F0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3147F0" w:rsidRPr="003147F0" w:rsidRDefault="003147F0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3147F0" w:rsidRPr="003147F0" w:rsidRDefault="003147F0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3147F0" w:rsidRPr="003147F0" w:rsidRDefault="003147F0" w:rsidP="00BF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</w:tcPr>
          <w:p w:rsidR="003147F0" w:rsidRPr="003147F0" w:rsidRDefault="003147F0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7A7515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am-6 pm</w:t>
            </w: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7A7515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am-6 pm</w:t>
            </w: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7A7515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 pm-10 pm</w:t>
            </w:r>
          </w:p>
        </w:tc>
      </w:tr>
    </w:tbl>
    <w:p w:rsidR="0067562B" w:rsidRDefault="0067562B" w:rsidP="0067562B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</w:t>
      </w:r>
    </w:p>
    <w:p w:rsidR="0067562B" w:rsidRDefault="0067562B" w:rsidP="0067562B">
      <w:pPr>
        <w:spacing w:after="0" w:line="240" w:lineRule="auto"/>
        <w:ind w:firstLine="720"/>
        <w:rPr>
          <w:b/>
        </w:rPr>
      </w:pPr>
    </w:p>
    <w:p w:rsidR="0067562B" w:rsidRPr="00AE3BA8" w:rsidRDefault="0002592C" w:rsidP="00AE3BA8">
      <w:pPr>
        <w:spacing w:after="0" w:line="240" w:lineRule="auto"/>
        <w:jc w:val="center"/>
        <w:rPr>
          <w:b/>
          <w:sz w:val="24"/>
          <w:u w:val="single"/>
        </w:rPr>
      </w:pPr>
      <w:r w:rsidRPr="00AE3BA8">
        <w:rPr>
          <w:b/>
          <w:sz w:val="24"/>
          <w:u w:val="single"/>
        </w:rPr>
        <w:t>Glynn’s Place, Residential Men’s Recovery</w:t>
      </w:r>
    </w:p>
    <w:p w:rsidR="0067562B" w:rsidRDefault="0002592C" w:rsidP="00AE3BA8">
      <w:pPr>
        <w:spacing w:after="0" w:line="240" w:lineRule="auto"/>
        <w:jc w:val="center"/>
        <w:rPr>
          <w:b/>
        </w:rPr>
      </w:pPr>
      <w:r>
        <w:t>501 S. Church St. Dublin GA 31021</w:t>
      </w:r>
      <w:r>
        <w:br/>
        <w:t xml:space="preserve">A 12-Step focused, intensive counseling level program for men.  </w:t>
      </w:r>
      <w:r w:rsidR="00AE3BA8">
        <w:t xml:space="preserve">Our goal is to give life-skills and tools to men and allow them to reintegrate back into their lives with success and sobriety. </w:t>
      </w:r>
      <w:r w:rsidR="00AE3BA8">
        <w:br/>
        <w:t>24-hour phone: (478)290-7233.</w:t>
      </w:r>
    </w:p>
    <w:p w:rsidR="0067562B" w:rsidRDefault="0067562B" w:rsidP="0067562B">
      <w:pPr>
        <w:spacing w:after="0" w:line="240" w:lineRule="auto"/>
        <w:ind w:firstLine="720"/>
        <w:rPr>
          <w:b/>
        </w:rPr>
      </w:pPr>
    </w:p>
    <w:p w:rsidR="0067562B" w:rsidRDefault="0067562B" w:rsidP="0067562B">
      <w:pPr>
        <w:spacing w:after="0" w:line="240" w:lineRule="auto"/>
        <w:ind w:firstLine="720"/>
        <w:rPr>
          <w:b/>
        </w:rPr>
      </w:pPr>
    </w:p>
    <w:p w:rsidR="0067562B" w:rsidRDefault="0067562B" w:rsidP="0067562B">
      <w:pPr>
        <w:spacing w:after="0" w:line="240" w:lineRule="auto"/>
        <w:ind w:firstLine="720"/>
        <w:rPr>
          <w:b/>
        </w:rPr>
      </w:pPr>
    </w:p>
    <w:p w:rsidR="0067562B" w:rsidRDefault="0067562B" w:rsidP="0067562B">
      <w:pPr>
        <w:spacing w:after="0" w:line="240" w:lineRule="auto"/>
        <w:ind w:firstLine="720"/>
        <w:rPr>
          <w:b/>
        </w:rPr>
      </w:pPr>
    </w:p>
    <w:p w:rsidR="00D473F5" w:rsidRDefault="00D473F5" w:rsidP="00CD5D2A">
      <w:pPr>
        <w:spacing w:after="0"/>
        <w:rPr>
          <w:rFonts w:cstheme="minorHAnsi"/>
          <w:b/>
          <w:bCs/>
          <w:sz w:val="20"/>
          <w:szCs w:val="20"/>
          <w:u w:val="single"/>
        </w:rPr>
      </w:pPr>
    </w:p>
    <w:p w:rsidR="0067562B" w:rsidRDefault="0067562B" w:rsidP="0067562B">
      <w:pPr>
        <w:spacing w:after="0" w:line="240" w:lineRule="auto"/>
        <w:ind w:left="720" w:firstLine="720"/>
        <w:rPr>
          <w:b/>
          <w:u w:val="single"/>
        </w:rPr>
      </w:pPr>
      <w:r w:rsidRPr="00205BC6">
        <w:rPr>
          <w:b/>
          <w:u w:val="single"/>
        </w:rPr>
        <w:t>Swainsboro Office:</w:t>
      </w:r>
    </w:p>
    <w:p w:rsidR="0067562B" w:rsidRPr="00496488" w:rsidRDefault="0067562B" w:rsidP="0067562B">
      <w:pPr>
        <w:spacing w:after="0" w:line="240" w:lineRule="auto"/>
        <w:jc w:val="center"/>
        <w:rPr>
          <w:i/>
        </w:rPr>
      </w:pPr>
      <w:r w:rsidRPr="00496488">
        <w:rPr>
          <w:i/>
        </w:rPr>
        <w:t xml:space="preserve">317 S. Coleman St </w:t>
      </w:r>
      <w:r w:rsidRPr="00496488">
        <w:rPr>
          <w:rFonts w:cstheme="minorHAnsi"/>
          <w:i/>
        </w:rPr>
        <w:t>•</w:t>
      </w:r>
      <w:r w:rsidRPr="00496488">
        <w:rPr>
          <w:i/>
        </w:rPr>
        <w:t xml:space="preserve"> Swainsboro, GA 30401</w:t>
      </w:r>
    </w:p>
    <w:p w:rsidR="00D473F5" w:rsidRPr="00496488" w:rsidRDefault="0067562B" w:rsidP="0067562B">
      <w:pPr>
        <w:spacing w:after="120" w:line="240" w:lineRule="auto"/>
        <w:jc w:val="center"/>
        <w:rPr>
          <w:i/>
        </w:rPr>
      </w:pPr>
      <w:r w:rsidRPr="00496488">
        <w:rPr>
          <w:i/>
        </w:rPr>
        <w:t>(478) 289-7739</w:t>
      </w:r>
      <w:r>
        <w:rPr>
          <w:i/>
        </w:rPr>
        <w:br/>
      </w:r>
      <w:r w:rsidRPr="00496488">
        <w:rPr>
          <w:i/>
        </w:rPr>
        <w:t>12 PM – 6 PM Thursdays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1180"/>
        <w:gridCol w:w="960"/>
        <w:gridCol w:w="960"/>
        <w:gridCol w:w="1280"/>
      </w:tblGrid>
      <w:tr w:rsidR="00D473F5" w:rsidRPr="003147F0" w:rsidTr="00DF3BF0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D473F5" w:rsidRPr="003147F0" w:rsidRDefault="00D473F5" w:rsidP="00DF3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D473F5" w:rsidRPr="003147F0" w:rsidRDefault="00D473F5" w:rsidP="00DF3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D473F5" w:rsidRPr="003147F0" w:rsidRDefault="00D473F5" w:rsidP="00DF3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47F0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  <w:hideMark/>
          </w:tcPr>
          <w:p w:rsidR="00D473F5" w:rsidRPr="003147F0" w:rsidRDefault="00D473F5" w:rsidP="00DF3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am-6 pm</w:t>
            </w: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am-6 pm</w:t>
            </w: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 pm-10 pm</w:t>
            </w: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am-6 pm</w:t>
            </w: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am-6 pm</w:t>
            </w: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 pm-10 pm</w:t>
            </w: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am-6 pm</w:t>
            </w: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 am-6 pm</w:t>
            </w:r>
          </w:p>
        </w:tc>
      </w:tr>
      <w:tr w:rsidR="00BF5761" w:rsidRPr="003147F0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3147F0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3147F0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 pm-10 pm</w:t>
            </w:r>
          </w:p>
        </w:tc>
      </w:tr>
    </w:tbl>
    <w:p w:rsidR="0067562B" w:rsidRPr="00CD5D2A" w:rsidRDefault="0067562B" w:rsidP="00F75799">
      <w:pPr>
        <w:spacing w:after="0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CD5D2A">
        <w:rPr>
          <w:rFonts w:cstheme="minorHAnsi"/>
          <w:b/>
          <w:bCs/>
          <w:sz w:val="20"/>
          <w:szCs w:val="20"/>
          <w:u w:val="single"/>
        </w:rPr>
        <w:t>Risk Reduction Course Information:</w:t>
      </w:r>
    </w:p>
    <w:p w:rsidR="0067562B" w:rsidRPr="00CD5D2A" w:rsidRDefault="0067562B" w:rsidP="00F75799">
      <w:pPr>
        <w:pStyle w:val="BodyText"/>
        <w:jc w:val="center"/>
        <w:rPr>
          <w:rFonts w:asciiTheme="minorHAnsi" w:hAnsiTheme="minorHAnsi" w:cstheme="minorHAnsi"/>
          <w:szCs w:val="16"/>
        </w:rPr>
      </w:pPr>
      <w:r w:rsidRPr="00CD5D2A">
        <w:rPr>
          <w:rFonts w:asciiTheme="minorHAnsi" w:hAnsiTheme="minorHAnsi" w:cstheme="minorHAnsi"/>
          <w:szCs w:val="16"/>
        </w:rPr>
        <w:t>Class consists of 20 hours of alcohol and drug abuse education as required by Georgia Law.  The curriculum is Prime for Life ® from Prevention Research Institute and is the only approved curriculum allowed by Georgia law.  The program educates clients better understand alcoholism and drug addiction as a lifestyle related health problem and how to manage the risk of future problems.</w:t>
      </w:r>
    </w:p>
    <w:p w:rsidR="0067562B" w:rsidRPr="00CD5D2A" w:rsidRDefault="0067562B" w:rsidP="00F75799">
      <w:pPr>
        <w:pStyle w:val="BodyText"/>
        <w:jc w:val="center"/>
        <w:rPr>
          <w:rFonts w:asciiTheme="minorHAnsi" w:hAnsiTheme="minorHAnsi" w:cstheme="minorHAnsi"/>
          <w:b/>
          <w:bCs/>
          <w:szCs w:val="16"/>
        </w:rPr>
      </w:pPr>
      <w:r w:rsidRPr="00CD5D2A">
        <w:rPr>
          <w:rFonts w:asciiTheme="minorHAnsi" w:hAnsiTheme="minorHAnsi" w:cstheme="minorHAnsi"/>
          <w:b/>
          <w:bCs/>
          <w:szCs w:val="16"/>
        </w:rPr>
        <w:t>The fees for the course are mandated by law and may not be changed:</w:t>
      </w:r>
    </w:p>
    <w:p w:rsidR="0067562B" w:rsidRPr="00CD5D2A" w:rsidRDefault="0067562B" w:rsidP="00F75799">
      <w:pPr>
        <w:pStyle w:val="BodyText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D5D2A">
        <w:rPr>
          <w:rFonts w:asciiTheme="minorHAnsi" w:hAnsiTheme="minorHAnsi" w:cstheme="minorHAnsi"/>
          <w:b/>
          <w:bCs/>
          <w:sz w:val="20"/>
          <w:szCs w:val="20"/>
        </w:rPr>
        <w:t>Assessment fee:</w:t>
      </w:r>
      <w:r w:rsidRPr="00CD5D2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</w:t>
      </w:r>
      <w:r w:rsidRPr="00CD5D2A">
        <w:rPr>
          <w:rFonts w:asciiTheme="minorHAnsi" w:hAnsiTheme="minorHAnsi" w:cstheme="minorHAnsi"/>
          <w:b/>
          <w:bCs/>
          <w:sz w:val="20"/>
          <w:szCs w:val="20"/>
        </w:rPr>
        <w:tab/>
        <w:t>$ 100.00</w:t>
      </w:r>
    </w:p>
    <w:p w:rsidR="0067562B" w:rsidRPr="00CD5D2A" w:rsidRDefault="0067562B" w:rsidP="00F75799">
      <w:pPr>
        <w:pStyle w:val="BodyText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D5D2A">
        <w:rPr>
          <w:rFonts w:asciiTheme="minorHAnsi" w:hAnsiTheme="minorHAnsi" w:cstheme="minorHAnsi"/>
          <w:b/>
          <w:bCs/>
          <w:sz w:val="20"/>
          <w:szCs w:val="20"/>
        </w:rPr>
        <w:t xml:space="preserve">Course fee:  </w:t>
      </w:r>
      <w:r w:rsidRPr="00CD5D2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D5D2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$ </w:t>
      </w:r>
      <w:r>
        <w:rPr>
          <w:rFonts w:asciiTheme="minorHAnsi" w:hAnsiTheme="minorHAnsi" w:cstheme="minorHAnsi"/>
          <w:b/>
          <w:bCs/>
          <w:sz w:val="20"/>
          <w:szCs w:val="20"/>
          <w:u w:val="thick"/>
        </w:rPr>
        <w:t>260.</w:t>
      </w:r>
      <w:r w:rsidRPr="00CD5D2A">
        <w:rPr>
          <w:rFonts w:asciiTheme="minorHAnsi" w:hAnsiTheme="minorHAnsi" w:cstheme="minorHAnsi"/>
          <w:b/>
          <w:bCs/>
          <w:sz w:val="20"/>
          <w:szCs w:val="20"/>
          <w:u w:val="thick"/>
        </w:rPr>
        <w:t>00</w:t>
      </w:r>
    </w:p>
    <w:p w:rsidR="0067562B" w:rsidRPr="00CD5D2A" w:rsidRDefault="0067562B" w:rsidP="00F75799">
      <w:pPr>
        <w:pStyle w:val="BodyText"/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TOTAL:      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$ 360</w:t>
      </w:r>
      <w:r w:rsidRPr="00CD5D2A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:rsidR="0067562B" w:rsidRDefault="0067562B" w:rsidP="00F75799">
      <w:pPr>
        <w:pStyle w:val="BodyText"/>
        <w:jc w:val="center"/>
        <w:rPr>
          <w:szCs w:val="16"/>
        </w:rPr>
      </w:pPr>
      <w:r w:rsidRPr="00CD5D2A">
        <w:rPr>
          <w:rFonts w:asciiTheme="minorHAnsi" w:hAnsiTheme="minorHAnsi" w:cstheme="minorHAnsi"/>
          <w:szCs w:val="16"/>
        </w:rPr>
        <w:lastRenderedPageBreak/>
        <w:t xml:space="preserve">Payment of all required fees must be made </w:t>
      </w:r>
      <w:r w:rsidRPr="00CD5D2A">
        <w:rPr>
          <w:rFonts w:asciiTheme="minorHAnsi" w:hAnsiTheme="minorHAnsi" w:cstheme="minorHAnsi"/>
          <w:b/>
          <w:szCs w:val="16"/>
          <w:u w:val="single"/>
        </w:rPr>
        <w:t>before</w:t>
      </w:r>
      <w:r w:rsidRPr="00CD5D2A">
        <w:rPr>
          <w:rFonts w:asciiTheme="minorHAnsi" w:hAnsiTheme="minorHAnsi" w:cstheme="minorHAnsi"/>
          <w:szCs w:val="16"/>
        </w:rPr>
        <w:t xml:space="preserve"> services can be rendered.  The assessment must be completed </w:t>
      </w:r>
      <w:r w:rsidRPr="00CD5D2A">
        <w:rPr>
          <w:rFonts w:asciiTheme="minorHAnsi" w:hAnsiTheme="minorHAnsi" w:cstheme="minorHAnsi"/>
          <w:b/>
          <w:szCs w:val="16"/>
          <w:u w:val="single"/>
        </w:rPr>
        <w:t>prior</w:t>
      </w:r>
      <w:r w:rsidRPr="00CD5D2A">
        <w:rPr>
          <w:rFonts w:asciiTheme="minorHAnsi" w:hAnsiTheme="minorHAnsi" w:cstheme="minorHAnsi"/>
          <w:szCs w:val="16"/>
        </w:rPr>
        <w:t xml:space="preserve"> to beginning the class.  Assessment results are provided during class.  All information you provide is confidential.</w:t>
      </w:r>
    </w:p>
    <w:p w:rsidR="00D473F5" w:rsidRPr="0067562B" w:rsidRDefault="00D473F5" w:rsidP="0067562B">
      <w:pPr>
        <w:spacing w:after="0" w:line="240" w:lineRule="auto"/>
        <w:ind w:firstLine="720"/>
        <w:rPr>
          <w:b/>
        </w:rPr>
      </w:pPr>
    </w:p>
    <w:p w:rsidR="0067562B" w:rsidRDefault="0067562B" w:rsidP="0067562B">
      <w:pPr>
        <w:spacing w:after="0" w:line="240" w:lineRule="auto"/>
        <w:rPr>
          <w:b/>
        </w:rPr>
      </w:pPr>
      <w:r>
        <w:rPr>
          <w:b/>
        </w:rPr>
        <w:t xml:space="preserve">    </w:t>
      </w:r>
    </w:p>
    <w:p w:rsidR="0067562B" w:rsidRDefault="0067562B" w:rsidP="0067562B">
      <w:pPr>
        <w:spacing w:after="0" w:line="240" w:lineRule="auto"/>
        <w:ind w:firstLine="720"/>
      </w:pPr>
      <w:r>
        <w:rPr>
          <w:b/>
        </w:rPr>
        <w:t xml:space="preserve">        </w:t>
      </w:r>
      <w:r w:rsidRPr="0067562B">
        <w:rPr>
          <w:b/>
          <w:u w:val="single"/>
        </w:rPr>
        <w:t>Defensive Driving Class</w:t>
      </w:r>
      <w:r>
        <w:rPr>
          <w:b/>
        </w:rPr>
        <w:t xml:space="preserve"> </w:t>
      </w:r>
      <w:r>
        <w:rPr>
          <w:rFonts w:cstheme="minorHAnsi"/>
          <w:b/>
        </w:rPr>
        <w:br/>
      </w:r>
      <w:r>
        <w:rPr>
          <w:b/>
        </w:rPr>
        <w:t xml:space="preserve">                            </w:t>
      </w:r>
      <w:r w:rsidRPr="0067562B">
        <w:t>Dublin Office Only</w:t>
      </w:r>
    </w:p>
    <w:p w:rsidR="00F75799" w:rsidRDefault="00F75799" w:rsidP="00F75799">
      <w:pPr>
        <w:spacing w:after="0" w:line="240" w:lineRule="auto"/>
        <w:rPr>
          <w:b/>
        </w:rPr>
      </w:pPr>
      <w:r>
        <w:t xml:space="preserve">                  $95/Pre-registration suggested</w:t>
      </w:r>
    </w:p>
    <w:tbl>
      <w:tblPr>
        <w:tblpPr w:leftFromText="180" w:rightFromText="180" w:vertAnchor="text" w:horzAnchor="margin" w:tblpXSpec="right" w:tblpY="117"/>
        <w:tblW w:w="4380" w:type="dxa"/>
        <w:tblLook w:val="04A0" w:firstRow="1" w:lastRow="0" w:firstColumn="1" w:lastColumn="0" w:noHBand="0" w:noVBand="1"/>
      </w:tblPr>
      <w:tblGrid>
        <w:gridCol w:w="1180"/>
        <w:gridCol w:w="960"/>
        <w:gridCol w:w="960"/>
        <w:gridCol w:w="1280"/>
      </w:tblGrid>
      <w:tr w:rsidR="00F75799" w:rsidRPr="000B5BCE" w:rsidTr="00F75799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F75799" w:rsidRPr="000B5BCE" w:rsidRDefault="00F75799" w:rsidP="00F757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F75799" w:rsidRPr="000B5BCE" w:rsidRDefault="00F75799" w:rsidP="00F757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</w:rPr>
              <w:t>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  <w:hideMark/>
          </w:tcPr>
          <w:p w:rsidR="00F75799" w:rsidRPr="000B5BCE" w:rsidRDefault="00F75799" w:rsidP="00F75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</w:rPr>
              <w:t>DATE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  <w:hideMark/>
          </w:tcPr>
          <w:p w:rsidR="00F75799" w:rsidRPr="000B5BCE" w:rsidRDefault="00F75799" w:rsidP="00F75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B5BCE">
              <w:rPr>
                <w:rFonts w:ascii="Calibri" w:eastAsia="Times New Roman" w:hAnsi="Calibri" w:cs="Calibri"/>
                <w:b/>
                <w:color w:val="000000"/>
              </w:rPr>
              <w:t>TIME</w:t>
            </w:r>
          </w:p>
        </w:tc>
      </w:tr>
      <w:tr w:rsidR="00F75799" w:rsidRPr="000B5BCE" w:rsidTr="00BF576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799" w:rsidRPr="000B5BCE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799" w:rsidRPr="000B5BCE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799" w:rsidRPr="000B5BCE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799" w:rsidRPr="000B5BCE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 am-4 pm</w:t>
            </w:r>
          </w:p>
        </w:tc>
      </w:tr>
      <w:tr w:rsidR="00F75799" w:rsidRPr="000B5BCE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F75799" w:rsidRPr="000B5BCE" w:rsidRDefault="00F75799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F75799" w:rsidRPr="000B5BCE" w:rsidRDefault="00F75799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F75799" w:rsidRPr="000B5BCE" w:rsidRDefault="00F75799" w:rsidP="00BF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</w:tcPr>
          <w:p w:rsidR="00F75799" w:rsidRPr="000B5BCE" w:rsidRDefault="00F75799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BF5761" w:rsidRPr="000B5BCE" w:rsidTr="00BF576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0B5BCE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0B5BCE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0B5BCE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0B5BCE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 am-4 pm</w:t>
            </w:r>
          </w:p>
        </w:tc>
      </w:tr>
      <w:tr w:rsidR="00BF5761" w:rsidRPr="000B5BCE" w:rsidTr="00BF576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BF5761" w:rsidRPr="000B5BCE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BF5761" w:rsidRPr="000B5BCE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2" w:color="70AD47" w:fill="auto"/>
            <w:noWrap/>
            <w:vAlign w:val="bottom"/>
          </w:tcPr>
          <w:p w:rsidR="00BF5761" w:rsidRPr="000B5BCE" w:rsidRDefault="00BF5761" w:rsidP="00BF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70AD47" w:fill="auto"/>
            <w:noWrap/>
            <w:vAlign w:val="bottom"/>
          </w:tcPr>
          <w:p w:rsidR="00BF5761" w:rsidRPr="000B5BCE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BF5761" w:rsidRPr="000B5BCE" w:rsidTr="00BF576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0B5BCE" w:rsidRDefault="00534C4E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0B5BCE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5761" w:rsidRPr="000B5BCE" w:rsidRDefault="007A7515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61" w:rsidRPr="000B5BCE" w:rsidRDefault="00BF5761" w:rsidP="00BF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 am-4 pm</w:t>
            </w:r>
          </w:p>
        </w:tc>
      </w:tr>
    </w:tbl>
    <w:p w:rsidR="0067562B" w:rsidRPr="000B5BCE" w:rsidRDefault="0067562B" w:rsidP="00F75799">
      <w:pPr>
        <w:spacing w:after="0"/>
        <w:jc w:val="center"/>
        <w:rPr>
          <w:sz w:val="16"/>
          <w:szCs w:val="16"/>
        </w:rPr>
      </w:pPr>
      <w:r w:rsidRPr="000B5BCE">
        <w:rPr>
          <w:sz w:val="16"/>
          <w:szCs w:val="16"/>
        </w:rPr>
        <w:t xml:space="preserve">Traffic offenses that do </w:t>
      </w:r>
      <w:r w:rsidRPr="000B5BCE">
        <w:rPr>
          <w:b/>
          <w:bCs/>
          <w:i/>
          <w:iCs/>
          <w:sz w:val="16"/>
          <w:szCs w:val="16"/>
          <w:u w:val="single"/>
        </w:rPr>
        <w:t>not</w:t>
      </w:r>
      <w:r w:rsidRPr="000B5BCE">
        <w:rPr>
          <w:i/>
          <w:iCs/>
          <w:sz w:val="16"/>
          <w:szCs w:val="16"/>
        </w:rPr>
        <w:t xml:space="preserve"> </w:t>
      </w:r>
      <w:r w:rsidRPr="000B5BCE">
        <w:rPr>
          <w:sz w:val="16"/>
          <w:szCs w:val="16"/>
        </w:rPr>
        <w:t>involve alcohol or drugs including reduction of points will require a Defensive Driving certificate.  Please contact the Georgia DDS for your specific reinstatement requirements at 678-413-8400</w:t>
      </w:r>
      <w:r>
        <w:rPr>
          <w:sz w:val="16"/>
          <w:szCs w:val="16"/>
        </w:rPr>
        <w:t>.</w:t>
      </w:r>
      <w:r w:rsidR="00F75799">
        <w:rPr>
          <w:sz w:val="16"/>
          <w:szCs w:val="16"/>
        </w:rPr>
        <w:t xml:space="preserve"> Insurance discount $40; check with your agent to see if you qualify.</w:t>
      </w:r>
    </w:p>
    <w:p w:rsidR="00D473F5" w:rsidRDefault="00D473F5" w:rsidP="00D473F5">
      <w:pPr>
        <w:spacing w:after="120" w:line="240" w:lineRule="auto"/>
        <w:jc w:val="center"/>
        <w:rPr>
          <w:b/>
          <w:i/>
          <w:u w:val="single"/>
        </w:rPr>
      </w:pPr>
    </w:p>
    <w:p w:rsidR="00F75799" w:rsidRDefault="00F75799" w:rsidP="00D473F5">
      <w:pPr>
        <w:spacing w:after="120" w:line="240" w:lineRule="auto"/>
        <w:jc w:val="center"/>
        <w:rPr>
          <w:b/>
          <w:i/>
          <w:u w:val="single"/>
        </w:rPr>
      </w:pPr>
    </w:p>
    <w:p w:rsidR="00F75799" w:rsidRDefault="00F75799" w:rsidP="00D473F5">
      <w:pPr>
        <w:spacing w:after="120" w:line="240" w:lineRule="auto"/>
        <w:jc w:val="center"/>
        <w:rPr>
          <w:b/>
          <w:u w:val="single"/>
        </w:rPr>
      </w:pPr>
      <w:r w:rsidRPr="00F75799">
        <w:rPr>
          <w:b/>
          <w:u w:val="single"/>
        </w:rPr>
        <w:t>Prime for Life 420</w:t>
      </w:r>
    </w:p>
    <w:p w:rsidR="00F75799" w:rsidRDefault="00F75799" w:rsidP="00F75799">
      <w:pPr>
        <w:spacing w:after="120" w:line="240" w:lineRule="auto"/>
        <w:jc w:val="center"/>
        <w:rPr>
          <w:sz w:val="20"/>
        </w:rPr>
      </w:pPr>
      <w:r w:rsidRPr="0002592C">
        <w:rPr>
          <w:sz w:val="18"/>
        </w:rPr>
        <w:t>This program, while not Driver Services mandated, gives specific guidance</w:t>
      </w:r>
      <w:r w:rsidR="0002592C" w:rsidRPr="0002592C">
        <w:rPr>
          <w:sz w:val="18"/>
        </w:rPr>
        <w:t xml:space="preserve"> for the cannabis using client and m</w:t>
      </w:r>
      <w:r w:rsidRPr="0002592C">
        <w:rPr>
          <w:sz w:val="18"/>
        </w:rPr>
        <w:t xml:space="preserve">ay be used in conjunction with probation and court sentences as well as for the general public. This course is currently offered in our Dublin office once a quarter. </w:t>
      </w:r>
      <w:r>
        <w:rPr>
          <w:sz w:val="20"/>
        </w:rPr>
        <w:br/>
      </w:r>
      <w:r w:rsidRPr="00F75799">
        <w:rPr>
          <w:sz w:val="20"/>
        </w:rPr>
        <w:t>Course fee $125</w:t>
      </w:r>
    </w:p>
    <w:p w:rsidR="0002592C" w:rsidRPr="00F75799" w:rsidRDefault="0002592C" w:rsidP="00F75799">
      <w:pPr>
        <w:spacing w:after="120" w:line="240" w:lineRule="auto"/>
        <w:jc w:val="center"/>
        <w:rPr>
          <w:b/>
          <w:sz w:val="20"/>
        </w:rPr>
      </w:pPr>
      <w:r>
        <w:rPr>
          <w:sz w:val="20"/>
        </w:rPr>
        <w:t>Call for more details.</w:t>
      </w:r>
    </w:p>
    <w:sectPr w:rsidR="0002592C" w:rsidRPr="00F75799" w:rsidSect="008C4A56">
      <w:type w:val="continuous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300"/>
    <w:multiLevelType w:val="hybridMultilevel"/>
    <w:tmpl w:val="3DB46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56"/>
    <w:rsid w:val="00010888"/>
    <w:rsid w:val="0002592C"/>
    <w:rsid w:val="000B5BCE"/>
    <w:rsid w:val="000C1F96"/>
    <w:rsid w:val="00205BC6"/>
    <w:rsid w:val="002A3A5C"/>
    <w:rsid w:val="003147F0"/>
    <w:rsid w:val="00496488"/>
    <w:rsid w:val="00534C4E"/>
    <w:rsid w:val="00617EA7"/>
    <w:rsid w:val="00630745"/>
    <w:rsid w:val="0067562B"/>
    <w:rsid w:val="006D42E2"/>
    <w:rsid w:val="007A7515"/>
    <w:rsid w:val="007C0B2E"/>
    <w:rsid w:val="008C4A56"/>
    <w:rsid w:val="008F1543"/>
    <w:rsid w:val="009968C5"/>
    <w:rsid w:val="00AE3BA8"/>
    <w:rsid w:val="00AE6729"/>
    <w:rsid w:val="00B62285"/>
    <w:rsid w:val="00BF5761"/>
    <w:rsid w:val="00C96581"/>
    <w:rsid w:val="00CD5D2A"/>
    <w:rsid w:val="00D17014"/>
    <w:rsid w:val="00D473F5"/>
    <w:rsid w:val="00D5421C"/>
    <w:rsid w:val="00D94E60"/>
    <w:rsid w:val="00DB7E1F"/>
    <w:rsid w:val="00E169BC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5D2A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CD5D2A"/>
    <w:rPr>
      <w:rFonts w:ascii="Times New Roman" w:eastAsia="Times New Roman" w:hAnsi="Times New Roman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B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5D2A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CD5D2A"/>
    <w:rPr>
      <w:rFonts w:ascii="Times New Roman" w:eastAsia="Times New Roman" w:hAnsi="Times New Roman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226A-0C60-48F0-ABFA-3C615902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Ivey</dc:creator>
  <cp:lastModifiedBy>Caroline Swain</cp:lastModifiedBy>
  <cp:revision>4</cp:revision>
  <cp:lastPrinted>2018-08-28T14:19:00Z</cp:lastPrinted>
  <dcterms:created xsi:type="dcterms:W3CDTF">2019-02-26T21:33:00Z</dcterms:created>
  <dcterms:modified xsi:type="dcterms:W3CDTF">2019-03-05T21:42:00Z</dcterms:modified>
</cp:coreProperties>
</file>