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6E9E" w14:textId="77777777" w:rsidR="004C308C" w:rsidRDefault="004C308C" w:rsidP="003C7F90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inline distT="0" distB="0" distL="0" distR="0" wp14:anchorId="26016EB2" wp14:editId="26016EB3">
            <wp:extent cx="1051257" cy="1038225"/>
            <wp:effectExtent l="0" t="0" r="0" b="0"/>
            <wp:docPr id="1" name="Picture 1" descr="J:\Logo's\logos\QC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go's\logos\QClogo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57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16E9F" w14:textId="77777777" w:rsidR="003C7F90" w:rsidRDefault="00464E92" w:rsidP="003C7F90">
      <w:pPr>
        <w:jc w:val="center"/>
        <w:rPr>
          <w:rFonts w:ascii="Century Gothic" w:hAnsi="Century Gothic"/>
          <w:sz w:val="20"/>
          <w:szCs w:val="20"/>
        </w:rPr>
      </w:pPr>
      <w:r w:rsidRPr="00464E92">
        <w:rPr>
          <w:rFonts w:ascii="Century Gothic" w:hAnsi="Century Gothic"/>
          <w:b/>
        </w:rPr>
        <w:t>Drug Test</w:t>
      </w:r>
      <w:r w:rsidR="003C7F90">
        <w:rPr>
          <w:rFonts w:ascii="Century Gothic" w:hAnsi="Century Gothic"/>
          <w:b/>
        </w:rPr>
        <w:t xml:space="preserve"> Preparation </w:t>
      </w:r>
      <w:r w:rsidRPr="00464E92">
        <w:rPr>
          <w:rFonts w:ascii="Century Gothic" w:hAnsi="Century Gothic"/>
          <w:b/>
        </w:rPr>
        <w:br/>
      </w:r>
    </w:p>
    <w:p w14:paraId="26016EA0" w14:textId="77777777" w:rsidR="003C7F90" w:rsidRDefault="003C7F90" w:rsidP="003C7F90">
      <w:pPr>
        <w:rPr>
          <w:rFonts w:ascii="Century Gothic" w:hAnsi="Century Gothic"/>
          <w:sz w:val="24"/>
          <w:szCs w:val="24"/>
        </w:rPr>
      </w:pPr>
      <w:r w:rsidRPr="00CB24B9">
        <w:rPr>
          <w:rFonts w:ascii="Century Gothic" w:hAnsi="Century Gothic"/>
          <w:sz w:val="24"/>
          <w:szCs w:val="24"/>
        </w:rPr>
        <w:t xml:space="preserve">Quality Connection’s Substance Abuse program serves the union electrical construction industry </w:t>
      </w:r>
      <w:r>
        <w:rPr>
          <w:rFonts w:ascii="Century Gothic" w:hAnsi="Century Gothic"/>
          <w:sz w:val="24"/>
          <w:szCs w:val="24"/>
        </w:rPr>
        <w:t xml:space="preserve">and meets the needs of IBEW #481, NECA and the employee to help ensure a safe, drug-free workforce.  </w:t>
      </w:r>
    </w:p>
    <w:p w14:paraId="26016EA1" w14:textId="77777777" w:rsidR="003C7F90" w:rsidRDefault="003C7F90" w:rsidP="00464E92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When you are ready to test please make sure you:</w:t>
      </w:r>
    </w:p>
    <w:p w14:paraId="26016EA2" w14:textId="77777777" w:rsidR="003C7F90" w:rsidRDefault="003C7F90" w:rsidP="003C7F90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3C7F90">
        <w:rPr>
          <w:rFonts w:ascii="Century Gothic" w:hAnsi="Century Gothic"/>
          <w:b/>
          <w:sz w:val="20"/>
          <w:szCs w:val="20"/>
        </w:rPr>
        <w:t xml:space="preserve">allow adequate time to test and </w:t>
      </w:r>
    </w:p>
    <w:p w14:paraId="26016EA3" w14:textId="77777777" w:rsidR="003C7F90" w:rsidRDefault="003C7F90" w:rsidP="003C7F90">
      <w:pPr>
        <w:pStyle w:val="ListParagraph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3C7F90">
        <w:rPr>
          <w:rFonts w:ascii="Century Gothic" w:hAnsi="Century Gothic"/>
          <w:b/>
          <w:sz w:val="20"/>
          <w:szCs w:val="20"/>
        </w:rPr>
        <w:t xml:space="preserve">do not provide a diluted urine specimen.  </w:t>
      </w:r>
    </w:p>
    <w:p w14:paraId="26016EA4" w14:textId="77777777" w:rsidR="003C7F90" w:rsidRPr="003C7F90" w:rsidRDefault="003C7F90" w:rsidP="003C7F90">
      <w:pPr>
        <w:rPr>
          <w:rFonts w:ascii="Century Gothic" w:hAnsi="Century Gothic"/>
          <w:b/>
          <w:sz w:val="20"/>
          <w:szCs w:val="20"/>
        </w:rPr>
      </w:pPr>
      <w:r w:rsidRPr="003C7F90">
        <w:rPr>
          <w:rFonts w:ascii="Century Gothic" w:hAnsi="Century Gothic"/>
          <w:b/>
          <w:sz w:val="20"/>
          <w:szCs w:val="20"/>
        </w:rPr>
        <w:t xml:space="preserve">Both of these could result in repeat testing at your expense.  </w:t>
      </w:r>
    </w:p>
    <w:p w14:paraId="26016EA5" w14:textId="77777777" w:rsidR="003C7F90" w:rsidRPr="005D1C0E" w:rsidRDefault="003C7F90" w:rsidP="003C7F90">
      <w:pPr>
        <w:rPr>
          <w:rFonts w:ascii="Century Gothic" w:hAnsi="Century Gothic"/>
          <w:b/>
          <w:sz w:val="20"/>
          <w:szCs w:val="20"/>
        </w:rPr>
      </w:pPr>
      <w:r w:rsidRPr="005D1C0E">
        <w:rPr>
          <w:rFonts w:ascii="Century Gothic" w:hAnsi="Century Gothic"/>
          <w:b/>
          <w:sz w:val="20"/>
          <w:szCs w:val="20"/>
        </w:rPr>
        <w:t xml:space="preserve">To help avoid </w:t>
      </w:r>
      <w:r>
        <w:rPr>
          <w:rFonts w:ascii="Century Gothic" w:hAnsi="Century Gothic"/>
          <w:b/>
          <w:sz w:val="20"/>
          <w:szCs w:val="20"/>
        </w:rPr>
        <w:t>a diluted specimen</w:t>
      </w:r>
      <w:r w:rsidRPr="005D1C0E">
        <w:rPr>
          <w:rFonts w:ascii="Century Gothic" w:hAnsi="Century Gothic"/>
          <w:b/>
          <w:sz w:val="20"/>
          <w:szCs w:val="20"/>
        </w:rPr>
        <w:t>:</w:t>
      </w:r>
    </w:p>
    <w:p w14:paraId="26016EA6" w14:textId="77777777" w:rsidR="003C7F90" w:rsidRDefault="003C7F90" w:rsidP="003C7F90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C7F90">
        <w:rPr>
          <w:rFonts w:ascii="Century Gothic" w:hAnsi="Century Gothic"/>
          <w:sz w:val="20"/>
          <w:szCs w:val="20"/>
        </w:rPr>
        <w:t xml:space="preserve">Consume no fluids after 9:00 p.m. the night before your collection. </w:t>
      </w:r>
    </w:p>
    <w:p w14:paraId="26016EA7" w14:textId="77777777" w:rsidR="003C7F90" w:rsidRDefault="003C7F90" w:rsidP="003C7F90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3C7F90">
        <w:rPr>
          <w:rFonts w:ascii="Century Gothic" w:hAnsi="Century Gothic"/>
          <w:sz w:val="20"/>
          <w:szCs w:val="20"/>
        </w:rPr>
        <w:t xml:space="preserve">Limit fluid intake to a minimum the day of your collection.  </w:t>
      </w:r>
      <w:r>
        <w:rPr>
          <w:rFonts w:ascii="Century Gothic" w:hAnsi="Century Gothic"/>
          <w:sz w:val="20"/>
          <w:szCs w:val="20"/>
        </w:rPr>
        <w:t>The following examples should be used as guidelines.  You are asked to use your best judgment.</w:t>
      </w:r>
    </w:p>
    <w:p w14:paraId="26016EA8" w14:textId="77777777" w:rsidR="003C7F90" w:rsidRDefault="003C7F90" w:rsidP="003C7F90">
      <w:pPr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For morning test:  </w:t>
      </w:r>
      <w:r w:rsidRPr="003C7F90">
        <w:rPr>
          <w:rFonts w:ascii="Century Gothic" w:hAnsi="Century Gothic"/>
          <w:sz w:val="20"/>
          <w:szCs w:val="20"/>
        </w:rPr>
        <w:t xml:space="preserve">limit your fluid intake to a maximum of 16 oz. of fluid. </w:t>
      </w:r>
    </w:p>
    <w:p w14:paraId="26016EA9" w14:textId="77777777" w:rsidR="003C7F90" w:rsidRDefault="003C7F90" w:rsidP="003C7F90">
      <w:pPr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OR </w:t>
      </w:r>
    </w:p>
    <w:p w14:paraId="26016EAA" w14:textId="77777777" w:rsidR="003C7F90" w:rsidRPr="003C7F90" w:rsidRDefault="003C7F90" w:rsidP="003C7F90">
      <w:pPr>
        <w:ind w:lef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For later day test:  limit your fluid intake to no more than </w:t>
      </w:r>
      <w:r w:rsidRPr="003C7F90">
        <w:rPr>
          <w:rFonts w:ascii="Century Gothic" w:hAnsi="Century Gothic"/>
          <w:sz w:val="20"/>
          <w:szCs w:val="20"/>
        </w:rPr>
        <w:t xml:space="preserve">36 oz. within any 3-hour period. </w:t>
      </w:r>
    </w:p>
    <w:p w14:paraId="26016EAB" w14:textId="77777777" w:rsidR="00464E92" w:rsidRPr="005D1C0E" w:rsidRDefault="00464E92" w:rsidP="00464E92">
      <w:pPr>
        <w:rPr>
          <w:rFonts w:ascii="Century Gothic" w:hAnsi="Century Gothic"/>
          <w:sz w:val="20"/>
          <w:szCs w:val="20"/>
        </w:rPr>
      </w:pPr>
      <w:r w:rsidRPr="005D1C0E">
        <w:rPr>
          <w:rFonts w:ascii="Century Gothic" w:hAnsi="Century Gothic"/>
          <w:sz w:val="20"/>
          <w:szCs w:val="20"/>
        </w:rPr>
        <w:t xml:space="preserve">If </w:t>
      </w:r>
      <w:r w:rsidR="003C7F90">
        <w:rPr>
          <w:rFonts w:ascii="Century Gothic" w:hAnsi="Century Gothic"/>
          <w:sz w:val="20"/>
          <w:szCs w:val="20"/>
        </w:rPr>
        <w:t xml:space="preserve">the laboratory determines you provided a </w:t>
      </w:r>
      <w:r w:rsidRPr="005D1C0E">
        <w:rPr>
          <w:rFonts w:ascii="Century Gothic" w:hAnsi="Century Gothic"/>
          <w:sz w:val="20"/>
          <w:szCs w:val="20"/>
        </w:rPr>
        <w:t>diluted specimen</w:t>
      </w:r>
      <w:r w:rsidR="003C7F90">
        <w:rPr>
          <w:rFonts w:ascii="Century Gothic" w:hAnsi="Century Gothic"/>
          <w:sz w:val="20"/>
          <w:szCs w:val="20"/>
        </w:rPr>
        <w:t xml:space="preserve">, </w:t>
      </w:r>
      <w:r w:rsidRPr="005D1C0E">
        <w:rPr>
          <w:rFonts w:ascii="Century Gothic" w:hAnsi="Century Gothic"/>
          <w:sz w:val="20"/>
          <w:szCs w:val="20"/>
        </w:rPr>
        <w:t>you will be required to be recollected.</w:t>
      </w:r>
      <w:r w:rsidR="006349E3">
        <w:rPr>
          <w:rFonts w:ascii="Century Gothic" w:hAnsi="Century Gothic"/>
          <w:sz w:val="20"/>
          <w:szCs w:val="20"/>
        </w:rPr>
        <w:t xml:space="preserve">  You will be responsible to pay for the recollection.  If your result is negative, Quality Connection will reimburse you for the cost of the recollection.  </w:t>
      </w:r>
      <w:r w:rsidRPr="005D1C0E">
        <w:rPr>
          <w:rFonts w:ascii="Century Gothic" w:hAnsi="Century Gothic"/>
          <w:sz w:val="20"/>
          <w:szCs w:val="20"/>
        </w:rPr>
        <w:t xml:space="preserve">   </w:t>
      </w:r>
    </w:p>
    <w:p w14:paraId="26016EAC" w14:textId="77777777" w:rsidR="003C7F90" w:rsidRDefault="003C7F90" w:rsidP="005D1C0E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Be aware of the collection site’s closing time:</w:t>
      </w:r>
    </w:p>
    <w:p w14:paraId="6DA17846" w14:textId="53AED4C4" w:rsidR="00757149" w:rsidRDefault="00757149" w:rsidP="003C7F9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You need to arrive 30 minutes prior to the specific collection site’s closing time.</w:t>
      </w:r>
      <w:bookmarkStart w:id="0" w:name="_GoBack"/>
      <w:bookmarkEnd w:id="0"/>
    </w:p>
    <w:p w14:paraId="26016EAD" w14:textId="6885BC9B" w:rsidR="003C7F90" w:rsidRDefault="003C7F90" w:rsidP="003C7F9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3C7F90">
        <w:rPr>
          <w:rFonts w:ascii="Century Gothic" w:hAnsi="Century Gothic"/>
          <w:sz w:val="20"/>
          <w:szCs w:val="20"/>
        </w:rPr>
        <w:t xml:space="preserve">If you begin the testing process, you are required to finish the process by providing a sufficient urine specimen within 2 hours </w:t>
      </w:r>
      <w:r>
        <w:rPr>
          <w:rFonts w:ascii="Century Gothic" w:hAnsi="Century Gothic"/>
          <w:sz w:val="20"/>
          <w:szCs w:val="20"/>
        </w:rPr>
        <w:t xml:space="preserve">of your start time </w:t>
      </w:r>
      <w:r w:rsidRPr="003C7F90">
        <w:rPr>
          <w:rFonts w:ascii="Century Gothic" w:hAnsi="Century Gothic"/>
          <w:sz w:val="20"/>
          <w:szCs w:val="20"/>
        </w:rPr>
        <w:t xml:space="preserve">or by the time the facility closes, whichever is soonest.  </w:t>
      </w:r>
    </w:p>
    <w:p w14:paraId="26016EAE" w14:textId="77777777" w:rsidR="003C7F90" w:rsidRDefault="003C7F90" w:rsidP="003C7F90">
      <w:pPr>
        <w:pStyle w:val="ListParagraph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3C7F90">
        <w:rPr>
          <w:rFonts w:ascii="Century Gothic" w:hAnsi="Century Gothic"/>
          <w:sz w:val="20"/>
          <w:szCs w:val="20"/>
        </w:rPr>
        <w:t>If you fail to finish the process</w:t>
      </w:r>
      <w:r>
        <w:rPr>
          <w:rFonts w:ascii="Century Gothic" w:hAnsi="Century Gothic"/>
          <w:sz w:val="20"/>
          <w:szCs w:val="20"/>
        </w:rPr>
        <w:t xml:space="preserve"> within this timeframe</w:t>
      </w:r>
      <w:r w:rsidRPr="003C7F90">
        <w:rPr>
          <w:rFonts w:ascii="Century Gothic" w:hAnsi="Century Gothic"/>
          <w:sz w:val="20"/>
          <w:szCs w:val="20"/>
        </w:rPr>
        <w:t>, it will be considered a refusal to test which has the same consequences as a positive test result.</w:t>
      </w:r>
    </w:p>
    <w:p w14:paraId="26016EAF" w14:textId="77777777" w:rsidR="003C7F90" w:rsidRPr="003C7F90" w:rsidRDefault="003C7F90" w:rsidP="003C7F9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see Quality Connection’s website or the Substance Abuse Program booklet for complete program information.  </w:t>
      </w:r>
    </w:p>
    <w:p w14:paraId="26016EB0" w14:textId="77777777" w:rsidR="00032605" w:rsidRDefault="001C3F1C" w:rsidP="00464E92">
      <w:pPr>
        <w:rPr>
          <w:rFonts w:ascii="Century Gothic" w:hAnsi="Century Gothic"/>
          <w:sz w:val="20"/>
          <w:szCs w:val="20"/>
        </w:rPr>
      </w:pPr>
      <w:r w:rsidRPr="00073D63">
        <w:rPr>
          <w:rFonts w:ascii="Century Gothic" w:hAnsi="Century Gothic"/>
          <w:b/>
          <w:sz w:val="20"/>
          <w:szCs w:val="20"/>
        </w:rPr>
        <w:t>Questio</w:t>
      </w:r>
      <w:r w:rsidR="000F0FEF">
        <w:rPr>
          <w:rFonts w:ascii="Century Gothic" w:hAnsi="Century Gothic"/>
          <w:b/>
          <w:sz w:val="20"/>
          <w:szCs w:val="20"/>
        </w:rPr>
        <w:t>ns regarding Drug Testing</w:t>
      </w:r>
      <w:r w:rsidRPr="00073D63">
        <w:rPr>
          <w:rFonts w:ascii="Century Gothic" w:hAnsi="Century Gothic"/>
          <w:b/>
          <w:sz w:val="20"/>
          <w:szCs w:val="20"/>
        </w:rPr>
        <w:t>/Certification Cards</w:t>
      </w:r>
      <w:r w:rsidRPr="00073D63">
        <w:rPr>
          <w:rFonts w:ascii="Century Gothic" w:hAnsi="Century Gothic"/>
          <w:b/>
          <w:sz w:val="20"/>
          <w:szCs w:val="20"/>
        </w:rPr>
        <w:br/>
        <w:t>Quality Connection</w:t>
      </w:r>
      <w:r w:rsidRPr="00073D63">
        <w:rPr>
          <w:rFonts w:ascii="Century Gothic" w:hAnsi="Century Gothic"/>
          <w:b/>
          <w:sz w:val="20"/>
          <w:szCs w:val="20"/>
        </w:rPr>
        <w:tab/>
      </w:r>
      <w:r w:rsidRPr="00073D63">
        <w:rPr>
          <w:rFonts w:ascii="Century Gothic" w:hAnsi="Century Gothic"/>
          <w:b/>
          <w:sz w:val="20"/>
          <w:szCs w:val="20"/>
        </w:rPr>
        <w:tab/>
      </w:r>
      <w:r w:rsidR="009F1FBB">
        <w:rPr>
          <w:rFonts w:ascii="Century Gothic" w:hAnsi="Century Gothic"/>
          <w:b/>
          <w:sz w:val="20"/>
          <w:szCs w:val="20"/>
        </w:rPr>
        <w:t>Julia Saltsgaver</w:t>
      </w:r>
      <w:r w:rsidR="005D1C0E" w:rsidRPr="00073D63">
        <w:rPr>
          <w:rFonts w:ascii="Century Gothic" w:hAnsi="Century Gothic"/>
          <w:b/>
          <w:sz w:val="20"/>
          <w:szCs w:val="20"/>
        </w:rPr>
        <w:tab/>
      </w:r>
      <w:r w:rsidRPr="00073D63">
        <w:rPr>
          <w:rFonts w:ascii="Century Gothic" w:hAnsi="Century Gothic"/>
          <w:b/>
          <w:sz w:val="20"/>
          <w:szCs w:val="20"/>
        </w:rPr>
        <w:t>317.931.3611</w:t>
      </w:r>
      <w:r w:rsidR="00EB7E8B" w:rsidRPr="00073D63">
        <w:rPr>
          <w:rFonts w:ascii="Century Gothic" w:hAnsi="Century Gothic"/>
          <w:sz w:val="20"/>
          <w:szCs w:val="20"/>
        </w:rPr>
        <w:br/>
        <w:t>1828 N. Meridian Street</w:t>
      </w:r>
      <w:r w:rsidR="00032605">
        <w:rPr>
          <w:rFonts w:ascii="Century Gothic" w:hAnsi="Century Gothic"/>
          <w:sz w:val="20"/>
          <w:szCs w:val="20"/>
        </w:rPr>
        <w:t xml:space="preserve">, </w:t>
      </w:r>
      <w:r w:rsidR="00EB7E8B" w:rsidRPr="00073D63">
        <w:rPr>
          <w:rFonts w:ascii="Century Gothic" w:hAnsi="Century Gothic"/>
          <w:sz w:val="20"/>
          <w:szCs w:val="20"/>
        </w:rPr>
        <w:t>Suite 115</w:t>
      </w:r>
      <w:r w:rsidR="00032605">
        <w:rPr>
          <w:rFonts w:ascii="Century Gothic" w:hAnsi="Century Gothic"/>
          <w:sz w:val="20"/>
          <w:szCs w:val="20"/>
        </w:rPr>
        <w:t xml:space="preserve">, </w:t>
      </w:r>
      <w:r w:rsidR="00EB7E8B" w:rsidRPr="00073D63">
        <w:rPr>
          <w:rFonts w:ascii="Century Gothic" w:hAnsi="Century Gothic"/>
          <w:sz w:val="20"/>
          <w:szCs w:val="20"/>
        </w:rPr>
        <w:t>Indianapolis, IN 46202</w:t>
      </w:r>
    </w:p>
    <w:p w14:paraId="26016EB1" w14:textId="77777777" w:rsidR="001C3F1C" w:rsidRPr="005D1C0E" w:rsidRDefault="00032605" w:rsidP="00464E92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Midwest Toxicology Services</w:t>
      </w:r>
      <w:r w:rsidRPr="00073D63">
        <w:rPr>
          <w:rFonts w:ascii="Century Gothic" w:hAnsi="Century Gothic"/>
          <w:b/>
          <w:sz w:val="20"/>
          <w:szCs w:val="20"/>
        </w:rPr>
        <w:tab/>
      </w:r>
      <w:r w:rsidRPr="00073D63">
        <w:rPr>
          <w:rFonts w:ascii="Century Gothic" w:hAnsi="Century Gothic"/>
          <w:b/>
          <w:sz w:val="20"/>
          <w:szCs w:val="20"/>
        </w:rPr>
        <w:tab/>
      </w:r>
      <w:r>
        <w:rPr>
          <w:rFonts w:ascii="Century Gothic" w:hAnsi="Century Gothic"/>
          <w:b/>
          <w:sz w:val="20"/>
          <w:szCs w:val="20"/>
        </w:rPr>
        <w:t>Joel DeJesus</w:t>
      </w:r>
      <w:r w:rsidR="00B54E92">
        <w:rPr>
          <w:rFonts w:ascii="Century Gothic" w:hAnsi="Century Gothic"/>
          <w:b/>
          <w:sz w:val="20"/>
          <w:szCs w:val="20"/>
        </w:rPr>
        <w:t xml:space="preserve"> / </w:t>
      </w:r>
      <w:r w:rsidR="006A7353">
        <w:rPr>
          <w:rFonts w:ascii="Century Gothic" w:hAnsi="Century Gothic"/>
          <w:b/>
          <w:sz w:val="20"/>
          <w:szCs w:val="20"/>
        </w:rPr>
        <w:t xml:space="preserve">Patti Quillin </w:t>
      </w:r>
      <w:r w:rsidRPr="00073D63">
        <w:rPr>
          <w:rFonts w:ascii="Century Gothic" w:hAnsi="Century Gothic"/>
          <w:b/>
          <w:sz w:val="20"/>
          <w:szCs w:val="20"/>
        </w:rPr>
        <w:t>317.</w:t>
      </w:r>
      <w:r>
        <w:rPr>
          <w:rFonts w:ascii="Century Gothic" w:hAnsi="Century Gothic"/>
          <w:b/>
          <w:sz w:val="20"/>
          <w:szCs w:val="20"/>
        </w:rPr>
        <w:t>269-3003</w:t>
      </w:r>
      <w:r w:rsidRPr="00073D63">
        <w:rPr>
          <w:rFonts w:ascii="Century Gothic" w:hAnsi="Century Gothic"/>
          <w:sz w:val="20"/>
          <w:szCs w:val="20"/>
        </w:rPr>
        <w:br/>
      </w:r>
      <w:r w:rsidR="00865D04">
        <w:rPr>
          <w:rFonts w:ascii="Century Gothic" w:hAnsi="Century Gothic"/>
          <w:sz w:val="20"/>
          <w:szCs w:val="20"/>
        </w:rPr>
        <w:t>603 East Washington Street, Suite 200 , Indianapolis, IN 46204</w:t>
      </w:r>
      <w:r w:rsidR="001C3F1C" w:rsidRPr="00073D63">
        <w:rPr>
          <w:rFonts w:ascii="Century Gothic" w:hAnsi="Century Gothic"/>
          <w:sz w:val="20"/>
          <w:szCs w:val="20"/>
        </w:rPr>
        <w:br/>
      </w:r>
      <w:r w:rsidR="001C3F1C" w:rsidRPr="00073D63">
        <w:rPr>
          <w:rFonts w:ascii="Century Gothic" w:hAnsi="Century Gothic"/>
          <w:sz w:val="20"/>
          <w:szCs w:val="20"/>
        </w:rPr>
        <w:br/>
      </w:r>
      <w:r w:rsidR="001C3F1C" w:rsidRPr="00073D63">
        <w:rPr>
          <w:rFonts w:ascii="Century Gothic" w:hAnsi="Century Gothic"/>
          <w:b/>
          <w:sz w:val="20"/>
          <w:szCs w:val="20"/>
        </w:rPr>
        <w:t>Questions regarding Employee Assistance Program</w:t>
      </w:r>
      <w:r w:rsidR="001C3F1C" w:rsidRPr="00073D63">
        <w:rPr>
          <w:rFonts w:ascii="Century Gothic" w:hAnsi="Century Gothic"/>
          <w:b/>
          <w:sz w:val="20"/>
          <w:szCs w:val="20"/>
        </w:rPr>
        <w:br/>
        <w:t xml:space="preserve">IU Health </w:t>
      </w:r>
      <w:r w:rsidR="0082539E">
        <w:rPr>
          <w:rFonts w:ascii="Century Gothic" w:hAnsi="Century Gothic"/>
          <w:b/>
          <w:sz w:val="20"/>
          <w:szCs w:val="20"/>
        </w:rPr>
        <w:t>Methodist Hospital</w:t>
      </w:r>
      <w:r w:rsidR="0082539E">
        <w:rPr>
          <w:rFonts w:ascii="Century Gothic" w:hAnsi="Century Gothic"/>
          <w:b/>
          <w:sz w:val="20"/>
          <w:szCs w:val="20"/>
        </w:rPr>
        <w:tab/>
      </w:r>
      <w:r w:rsidR="001C3F1C" w:rsidRPr="00073D63">
        <w:rPr>
          <w:rFonts w:ascii="Century Gothic" w:hAnsi="Century Gothic"/>
          <w:b/>
          <w:sz w:val="20"/>
          <w:szCs w:val="20"/>
        </w:rPr>
        <w:tab/>
      </w:r>
      <w:r w:rsidR="00073D63" w:rsidRPr="00073D63">
        <w:rPr>
          <w:rFonts w:ascii="Century Gothic" w:hAnsi="Century Gothic"/>
          <w:b/>
          <w:sz w:val="20"/>
          <w:szCs w:val="20"/>
        </w:rPr>
        <w:t>Karen Owen</w:t>
      </w:r>
      <w:r w:rsidR="0082539E">
        <w:rPr>
          <w:rFonts w:ascii="Century Gothic" w:hAnsi="Century Gothic"/>
          <w:b/>
          <w:sz w:val="20"/>
          <w:szCs w:val="20"/>
        </w:rPr>
        <w:t xml:space="preserve"> or any MAP counselor</w:t>
      </w:r>
      <w:r w:rsidR="00FB4114" w:rsidRPr="00073D63">
        <w:rPr>
          <w:rFonts w:ascii="Century Gothic" w:hAnsi="Century Gothic"/>
          <w:b/>
          <w:sz w:val="20"/>
          <w:szCs w:val="20"/>
        </w:rPr>
        <w:tab/>
        <w:t>317.962</w:t>
      </w:r>
      <w:r w:rsidR="001C3F1C" w:rsidRPr="00073D63">
        <w:rPr>
          <w:rFonts w:ascii="Century Gothic" w:hAnsi="Century Gothic"/>
          <w:b/>
          <w:sz w:val="20"/>
          <w:szCs w:val="20"/>
        </w:rPr>
        <w:t>.26</w:t>
      </w:r>
      <w:r w:rsidR="0082539E">
        <w:rPr>
          <w:rFonts w:ascii="Century Gothic" w:hAnsi="Century Gothic"/>
          <w:b/>
          <w:sz w:val="20"/>
          <w:szCs w:val="20"/>
        </w:rPr>
        <w:t>22, Ext. 2</w:t>
      </w:r>
      <w:r w:rsidR="00EB7E8B" w:rsidRPr="00073D63">
        <w:rPr>
          <w:rFonts w:ascii="Century Gothic" w:hAnsi="Century Gothic"/>
          <w:b/>
          <w:sz w:val="20"/>
          <w:szCs w:val="20"/>
        </w:rPr>
        <w:br/>
      </w:r>
      <w:r w:rsidR="0082539E">
        <w:rPr>
          <w:rFonts w:ascii="Century Gothic" w:hAnsi="Century Gothic"/>
          <w:sz w:val="20"/>
          <w:szCs w:val="20"/>
        </w:rPr>
        <w:t>1701 N Senate Ave, Room WH442</w:t>
      </w:r>
      <w:r>
        <w:rPr>
          <w:rFonts w:ascii="Century Gothic" w:hAnsi="Century Gothic"/>
          <w:sz w:val="20"/>
          <w:szCs w:val="20"/>
        </w:rPr>
        <w:t xml:space="preserve">, </w:t>
      </w:r>
      <w:r w:rsidR="0082539E">
        <w:rPr>
          <w:rFonts w:ascii="Century Gothic" w:hAnsi="Century Gothic"/>
          <w:sz w:val="20"/>
          <w:szCs w:val="20"/>
        </w:rPr>
        <w:t>Indianapolis, IN 46202</w:t>
      </w:r>
    </w:p>
    <w:sectPr w:rsidR="001C3F1C" w:rsidRPr="005D1C0E" w:rsidSect="004C308C">
      <w:footerReference w:type="default" r:id="rId12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16EB6" w14:textId="77777777" w:rsidR="00E82FCE" w:rsidRDefault="00E82FCE" w:rsidP="001C3F1C">
      <w:pPr>
        <w:spacing w:after="0" w:line="240" w:lineRule="auto"/>
      </w:pPr>
      <w:r>
        <w:separator/>
      </w:r>
    </w:p>
  </w:endnote>
  <w:endnote w:type="continuationSeparator" w:id="0">
    <w:p w14:paraId="26016EB7" w14:textId="77777777" w:rsidR="00E82FCE" w:rsidRDefault="00E82FCE" w:rsidP="001C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16EB8" w14:textId="77777777" w:rsidR="00865D04" w:rsidRDefault="00865D04">
    <w:pPr>
      <w:pStyle w:val="Footer"/>
    </w:pPr>
    <w:r>
      <w:ptab w:relativeTo="margin" w:alignment="center" w:leader="none"/>
    </w:r>
    <w:r>
      <w:t>www.qc-indy.com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16EB4" w14:textId="77777777" w:rsidR="00E82FCE" w:rsidRDefault="00E82FCE" w:rsidP="001C3F1C">
      <w:pPr>
        <w:spacing w:after="0" w:line="240" w:lineRule="auto"/>
      </w:pPr>
      <w:r>
        <w:separator/>
      </w:r>
    </w:p>
  </w:footnote>
  <w:footnote w:type="continuationSeparator" w:id="0">
    <w:p w14:paraId="26016EB5" w14:textId="77777777" w:rsidR="00E82FCE" w:rsidRDefault="00E82FCE" w:rsidP="001C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64A"/>
    <w:multiLevelType w:val="hybridMultilevel"/>
    <w:tmpl w:val="264C8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465CB"/>
    <w:multiLevelType w:val="hybridMultilevel"/>
    <w:tmpl w:val="CAACA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D6DEE"/>
    <w:multiLevelType w:val="hybridMultilevel"/>
    <w:tmpl w:val="3808E7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2657"/>
    <w:multiLevelType w:val="hybridMultilevel"/>
    <w:tmpl w:val="EB3AD0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92"/>
    <w:rsid w:val="00032605"/>
    <w:rsid w:val="00073D63"/>
    <w:rsid w:val="000F0FEF"/>
    <w:rsid w:val="00165F6B"/>
    <w:rsid w:val="00176D1D"/>
    <w:rsid w:val="001915E4"/>
    <w:rsid w:val="001B2989"/>
    <w:rsid w:val="001C3F1C"/>
    <w:rsid w:val="00322D3E"/>
    <w:rsid w:val="003C7F90"/>
    <w:rsid w:val="0040653D"/>
    <w:rsid w:val="00464E92"/>
    <w:rsid w:val="004C308C"/>
    <w:rsid w:val="005374AD"/>
    <w:rsid w:val="005D1C0E"/>
    <w:rsid w:val="006133C9"/>
    <w:rsid w:val="00620ED8"/>
    <w:rsid w:val="006349E3"/>
    <w:rsid w:val="006A7353"/>
    <w:rsid w:val="006D706C"/>
    <w:rsid w:val="00757149"/>
    <w:rsid w:val="00807D2E"/>
    <w:rsid w:val="0082539E"/>
    <w:rsid w:val="00865D04"/>
    <w:rsid w:val="00872989"/>
    <w:rsid w:val="008F5545"/>
    <w:rsid w:val="008F584E"/>
    <w:rsid w:val="009800F4"/>
    <w:rsid w:val="009F1FBB"/>
    <w:rsid w:val="00AC0720"/>
    <w:rsid w:val="00B54E92"/>
    <w:rsid w:val="00C3097C"/>
    <w:rsid w:val="00C7581D"/>
    <w:rsid w:val="00E41694"/>
    <w:rsid w:val="00E82FCE"/>
    <w:rsid w:val="00EB7E8B"/>
    <w:rsid w:val="00EE3C92"/>
    <w:rsid w:val="00EE4221"/>
    <w:rsid w:val="00FB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16E9E"/>
  <w15:docId w15:val="{563C53A0-53FD-4242-839C-7A1E7B45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E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F1C"/>
  </w:style>
  <w:style w:type="paragraph" w:styleId="Footer">
    <w:name w:val="footer"/>
    <w:basedOn w:val="Normal"/>
    <w:link w:val="FooterChar"/>
    <w:uiPriority w:val="99"/>
    <w:unhideWhenUsed/>
    <w:rsid w:val="001C3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F1C"/>
  </w:style>
  <w:style w:type="paragraph" w:styleId="BalloonText">
    <w:name w:val="Balloon Text"/>
    <w:basedOn w:val="Normal"/>
    <w:link w:val="BalloonTextChar"/>
    <w:uiPriority w:val="99"/>
    <w:semiHidden/>
    <w:unhideWhenUsed/>
    <w:rsid w:val="00EB7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E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F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E33289BB6EB42ADECA40174D2644D" ma:contentTypeVersion="4" ma:contentTypeDescription="Create a new document." ma:contentTypeScope="" ma:versionID="8f904639a511e345bc1b479850be03bd">
  <xsd:schema xmlns:xsd="http://www.w3.org/2001/XMLSchema" xmlns:xs="http://www.w3.org/2001/XMLSchema" xmlns:p="http://schemas.microsoft.com/office/2006/metadata/properties" xmlns:ns2="cd93fccc-17f2-4aba-be76-420524da13a0" targetNamespace="http://schemas.microsoft.com/office/2006/metadata/properties" ma:root="true" ma:fieldsID="5f0bc98d219034c50b99e954aebffb59" ns2:_="">
    <xsd:import namespace="cd93fccc-17f2-4aba-be76-420524da13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3fccc-17f2-4aba-be76-420524da13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201A6-A056-4256-966B-2AB155E1DA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ECD2C-0619-430E-815B-FB6669B85F53}"/>
</file>

<file path=customXml/itemProps3.xml><?xml version="1.0" encoding="utf-8"?>
<ds:datastoreItem xmlns:ds="http://schemas.openxmlformats.org/officeDocument/2006/customXml" ds:itemID="{2C278B78-FEFE-4F4E-86A2-BFB1920C0A8E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cd93fccc-17f2-4aba-be76-420524da13a0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7BF666D-47DC-40B4-82A8-C398F22D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Brownfield</dc:creator>
  <cp:lastModifiedBy>Julia Saltsgaver</cp:lastModifiedBy>
  <cp:revision>3</cp:revision>
  <cp:lastPrinted>2015-08-12T13:59:00Z</cp:lastPrinted>
  <dcterms:created xsi:type="dcterms:W3CDTF">2016-12-09T16:01:00Z</dcterms:created>
  <dcterms:modified xsi:type="dcterms:W3CDTF">2017-06-19T18:57:00Z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0x0101000E6E33289BB6EB42ADECA40174D2644D</vt:lpwstr>
  </property>
</Properties>
</file>