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E63" w:rsidRDefault="00DD130C" w:rsidP="00495F94">
      <w:pPr>
        <w:jc w:val="right"/>
      </w:pPr>
      <w:bookmarkStart w:id="0" w:name="_GoBack"/>
      <w:bookmarkEnd w:id="0"/>
      <w:r>
        <w:rPr>
          <w:noProof/>
        </w:rPr>
        <w:drawing>
          <wp:anchor distT="0" distB="0" distL="114300" distR="114300" simplePos="0" relativeHeight="251666432" behindDoc="1" locked="0" layoutInCell="1" allowOverlap="1" wp14:anchorId="3DBB6818" wp14:editId="3DBB6819">
            <wp:simplePos x="0" y="0"/>
            <wp:positionH relativeFrom="margin">
              <wp:posOffset>3432810</wp:posOffset>
            </wp:positionH>
            <wp:positionV relativeFrom="margin">
              <wp:posOffset>59055</wp:posOffset>
            </wp:positionV>
            <wp:extent cx="3395980" cy="2628900"/>
            <wp:effectExtent l="0" t="0" r="0" b="0"/>
            <wp:wrapTight wrapText="bothSides">
              <wp:wrapPolygon edited="0">
                <wp:start x="0" y="0"/>
                <wp:lineTo x="0" y="21443"/>
                <wp:lineTo x="21447" y="21443"/>
                <wp:lineTo x="21447" y="0"/>
                <wp:lineTo x="0" y="0"/>
              </wp:wrapPolygon>
            </wp:wrapTight>
            <wp:docPr id="7" name="Picture 7" descr="C:\Users\Mary Jane\Desktop\iStock_000021354000_Extra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y Jane\Desktop\iStock_000021354000_ExtraSmal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5980" cy="2628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5F94" w:rsidRPr="00637FED" w:rsidRDefault="00495F94">
      <w:pPr>
        <w:rPr>
          <w:b/>
        </w:rPr>
      </w:pPr>
      <w:r w:rsidRPr="00637FED">
        <w:rPr>
          <w:b/>
        </w:rPr>
        <w:t>HR Management Solutions</w:t>
      </w:r>
      <w:r w:rsidR="00637FED" w:rsidRPr="00637FED">
        <w:rPr>
          <w:b/>
        </w:rPr>
        <w:t xml:space="preserve"> for your company</w:t>
      </w:r>
    </w:p>
    <w:p w:rsidR="00637FED" w:rsidRDefault="0000677C">
      <w:r>
        <w:t>LifePlan Partners, LLC</w:t>
      </w:r>
      <w:r w:rsidR="00F21628">
        <w:t xml:space="preserve">  provides an integrated HR and benefits portal </w:t>
      </w:r>
      <w:r w:rsidR="00637FED">
        <w:t xml:space="preserve">to help you manage your employees, improve communication and assist with disclosure and other compliance requirements.  </w:t>
      </w:r>
    </w:p>
    <w:p w:rsidR="00D50612" w:rsidRDefault="00637FED">
      <w:r w:rsidRPr="00637FED">
        <w:rPr>
          <w:b/>
        </w:rPr>
        <w:t>Connecting with your staff:</w:t>
      </w:r>
      <w:r>
        <w:t xml:space="preserve">  Business executives are constantly looking for ways to improve communication with their staff</w:t>
      </w:r>
      <w:r w:rsidR="006B73C9">
        <w:t xml:space="preserve">, including </w:t>
      </w:r>
      <w:r>
        <w:t>federal or state disclosure requirements, company policies and form</w:t>
      </w:r>
      <w:r w:rsidR="006B73C9">
        <w:t>s</w:t>
      </w:r>
      <w:r w:rsidR="00A44752">
        <w:t>,</w:t>
      </w:r>
      <w:r>
        <w:t xml:space="preserve"> benefit communication or enrollment</w:t>
      </w:r>
      <w:r w:rsidR="006B73C9">
        <w:t>.</w:t>
      </w:r>
      <w:r>
        <w:t xml:space="preserve"> HR in Hand</w:t>
      </w:r>
      <w:r w:rsidR="00E22135">
        <w:t xml:space="preserve">, </w:t>
      </w:r>
      <w:r>
        <w:t xml:space="preserve">with the help of </w:t>
      </w:r>
      <w:r w:rsidR="0000677C">
        <w:t xml:space="preserve">LifePlan Partners, LLC </w:t>
      </w:r>
      <w:r w:rsidR="00E22135">
        <w:t>allows you t</w:t>
      </w:r>
      <w:r>
        <w:t xml:space="preserve">o </w:t>
      </w:r>
      <w:r w:rsidR="00E22135">
        <w:t>pick and choose the components which fit best in your organization.</w:t>
      </w:r>
    </w:p>
    <w:p w:rsidR="00E22135" w:rsidRDefault="00D50612">
      <w:r w:rsidRPr="00E22135">
        <w:rPr>
          <w:b/>
        </w:rPr>
        <w:t xml:space="preserve">Solving HR’s </w:t>
      </w:r>
      <w:r w:rsidR="00A44752">
        <w:rPr>
          <w:b/>
        </w:rPr>
        <w:t>c</w:t>
      </w:r>
      <w:r w:rsidRPr="00E22135">
        <w:rPr>
          <w:b/>
        </w:rPr>
        <w:t xml:space="preserve">ommunication and </w:t>
      </w:r>
      <w:r w:rsidR="00A44752">
        <w:rPr>
          <w:b/>
        </w:rPr>
        <w:t>d</w:t>
      </w:r>
      <w:r w:rsidRPr="00E22135">
        <w:rPr>
          <w:b/>
        </w:rPr>
        <w:t xml:space="preserve">isclosure </w:t>
      </w:r>
      <w:r w:rsidR="00E22135" w:rsidRPr="00E22135">
        <w:rPr>
          <w:b/>
        </w:rPr>
        <w:t>requirement</w:t>
      </w:r>
      <w:r w:rsidR="00A44752">
        <w:rPr>
          <w:b/>
        </w:rPr>
        <w:t>s</w:t>
      </w:r>
      <w:r w:rsidR="00E22135" w:rsidRPr="00E22135">
        <w:rPr>
          <w:b/>
        </w:rPr>
        <w:t>:</w:t>
      </w:r>
      <w:r w:rsidR="00E22135">
        <w:rPr>
          <w:b/>
        </w:rPr>
        <w:t xml:space="preserve">  </w:t>
      </w:r>
      <w:r w:rsidR="00E22135">
        <w:t xml:space="preserve">A simple first step can be </w:t>
      </w:r>
      <w:r w:rsidR="00A44752">
        <w:t>to</w:t>
      </w:r>
      <w:r w:rsidR="00E22135">
        <w:t xml:space="preserve"> post</w:t>
      </w:r>
      <w:r w:rsidR="00A44752">
        <w:t xml:space="preserve"> </w:t>
      </w:r>
      <w:r w:rsidR="00E22135">
        <w:t>federal forms and notices, such as SPD’s for your welfare benefit plans, SBC Notices required by Healthcare Reform and CHIP notices.  You can also make your employee handbook, corporate forms, or benefit summaries available to your employees online</w:t>
      </w:r>
      <w:r w:rsidR="006B73C9">
        <w:t xml:space="preserve"> and on the mobile app</w:t>
      </w:r>
      <w:r w:rsidR="00E22135">
        <w:t>.</w:t>
      </w:r>
    </w:p>
    <w:p w:rsidR="002B046D" w:rsidRDefault="002B046D" w:rsidP="00D8141D">
      <w:pPr>
        <w:jc w:val="center"/>
        <w:rPr>
          <w:b/>
          <w:sz w:val="28"/>
          <w:u w:val="single"/>
        </w:rPr>
      </w:pPr>
      <w:r w:rsidRPr="00D8141D">
        <w:rPr>
          <w:b/>
          <w:sz w:val="28"/>
          <w:u w:val="single"/>
        </w:rPr>
        <w:t xml:space="preserve">Portal Features </w:t>
      </w:r>
    </w:p>
    <w:p w:rsidR="00A44752" w:rsidRPr="00D8141D" w:rsidRDefault="00A44752" w:rsidP="00A44752">
      <w:pPr>
        <w:rPr>
          <w:b/>
          <w:sz w:val="28"/>
          <w:u w:val="single"/>
        </w:rPr>
        <w:sectPr w:rsidR="00A44752" w:rsidRPr="00D8141D" w:rsidSect="00CA4641">
          <w:headerReference w:type="default" r:id="rId13"/>
          <w:footerReference w:type="default" r:id="rId14"/>
          <w:pgSz w:w="12240" w:h="15840"/>
          <w:pgMar w:top="1440" w:right="1440" w:bottom="1440" w:left="1440" w:header="1440" w:footer="576" w:gutter="0"/>
          <w:cols w:space="720"/>
          <w:docGrid w:linePitch="360"/>
        </w:sectPr>
      </w:pPr>
    </w:p>
    <w:p w:rsidR="00D50612" w:rsidRPr="00D8141D" w:rsidRDefault="00495F94">
      <w:pPr>
        <w:rPr>
          <w:b/>
        </w:rPr>
      </w:pPr>
      <w:r w:rsidRPr="00D8141D">
        <w:rPr>
          <w:b/>
        </w:rPr>
        <w:lastRenderedPageBreak/>
        <w:t xml:space="preserve">Employee </w:t>
      </w:r>
      <w:r w:rsidR="00E22135" w:rsidRPr="00D8141D">
        <w:rPr>
          <w:b/>
        </w:rPr>
        <w:t>Access &amp; Branding</w:t>
      </w:r>
    </w:p>
    <w:p w:rsidR="00D50612" w:rsidRDefault="00D50612" w:rsidP="00D50612">
      <w:pPr>
        <w:pStyle w:val="ListParagraph"/>
        <w:numPr>
          <w:ilvl w:val="0"/>
          <w:numId w:val="2"/>
        </w:numPr>
      </w:pPr>
      <w:r w:rsidRPr="002B046D">
        <w:rPr>
          <w:b/>
        </w:rPr>
        <w:t xml:space="preserve">Shared </w:t>
      </w:r>
      <w:r w:rsidR="00495F94" w:rsidRPr="002B046D">
        <w:rPr>
          <w:b/>
        </w:rPr>
        <w:t>ID</w:t>
      </w:r>
      <w:r w:rsidRPr="002B046D">
        <w:rPr>
          <w:b/>
        </w:rPr>
        <w:t>:</w:t>
      </w:r>
      <w:r>
        <w:t xml:space="preserve">  Provide quick </w:t>
      </w:r>
      <w:r w:rsidR="002B046D">
        <w:t>&amp;</w:t>
      </w:r>
      <w:r>
        <w:t xml:space="preserve"> easy access </w:t>
      </w:r>
      <w:r w:rsidR="00E22135">
        <w:t xml:space="preserve">with </w:t>
      </w:r>
      <w:r w:rsidR="002B046D">
        <w:t xml:space="preserve">a </w:t>
      </w:r>
      <w:r>
        <w:t xml:space="preserve">universal </w:t>
      </w:r>
      <w:r w:rsidR="002B046D">
        <w:t xml:space="preserve">ID </w:t>
      </w:r>
      <w:r>
        <w:t xml:space="preserve">for </w:t>
      </w:r>
      <w:r w:rsidR="002B046D">
        <w:t>your entire staff</w:t>
      </w:r>
      <w:r w:rsidR="00495F94">
        <w:t xml:space="preserve">.  </w:t>
      </w:r>
    </w:p>
    <w:p w:rsidR="00D50612" w:rsidRDefault="00D50612" w:rsidP="00D50612">
      <w:pPr>
        <w:pStyle w:val="ListParagraph"/>
        <w:numPr>
          <w:ilvl w:val="0"/>
          <w:numId w:val="2"/>
        </w:numPr>
      </w:pPr>
      <w:r w:rsidRPr="002B046D">
        <w:rPr>
          <w:b/>
        </w:rPr>
        <w:t>Individual ID:</w:t>
      </w:r>
      <w:r>
        <w:t xml:space="preserve">  </w:t>
      </w:r>
      <w:r w:rsidR="00495F94">
        <w:t>P</w:t>
      </w:r>
      <w:r w:rsidR="00B45B72">
        <w:t>rovide a</w:t>
      </w:r>
      <w:r w:rsidR="00495F94">
        <w:t xml:space="preserve"> personalized </w:t>
      </w:r>
      <w:r w:rsidR="00B45B72">
        <w:t xml:space="preserve">experience </w:t>
      </w:r>
      <w:r w:rsidR="00495F94">
        <w:t xml:space="preserve">by importing </w:t>
      </w:r>
      <w:r w:rsidR="00B45B72">
        <w:t>employees</w:t>
      </w:r>
      <w:r w:rsidR="002B046D">
        <w:t xml:space="preserve"> to </w:t>
      </w:r>
      <w:r w:rsidR="00495F94">
        <w:t xml:space="preserve">allow HR to </w:t>
      </w:r>
      <w:r w:rsidR="00B45B72">
        <w:t>customize what documents employee</w:t>
      </w:r>
      <w:r w:rsidR="002B046D">
        <w:t>s</w:t>
      </w:r>
      <w:r w:rsidR="00B45B72">
        <w:t xml:space="preserve"> can view.</w:t>
      </w:r>
    </w:p>
    <w:p w:rsidR="002B046D" w:rsidRDefault="002B046D" w:rsidP="000D58AC">
      <w:pPr>
        <w:pStyle w:val="ListParagraph"/>
        <w:numPr>
          <w:ilvl w:val="0"/>
          <w:numId w:val="2"/>
        </w:numPr>
      </w:pPr>
      <w:r w:rsidRPr="002B046D">
        <w:rPr>
          <w:b/>
        </w:rPr>
        <w:t>White label:</w:t>
      </w:r>
      <w:r>
        <w:t xml:space="preserve">  Customize your site with you company logos and colors</w:t>
      </w:r>
    </w:p>
    <w:p w:rsidR="000D58AC" w:rsidRDefault="000D58AC" w:rsidP="000D58AC">
      <w:pPr>
        <w:pStyle w:val="ListParagraph"/>
        <w:numPr>
          <w:ilvl w:val="0"/>
          <w:numId w:val="2"/>
        </w:numPr>
      </w:pPr>
      <w:r w:rsidRPr="00A44752">
        <w:rPr>
          <w:b/>
        </w:rPr>
        <w:t>Company directory</w:t>
      </w:r>
      <w:r w:rsidR="00A44752">
        <w:rPr>
          <w:b/>
        </w:rPr>
        <w:t>:</w:t>
      </w:r>
      <w:r w:rsidRPr="0017767B">
        <w:t xml:space="preserve"> </w:t>
      </w:r>
      <w:r>
        <w:t>Add HR users outside organization</w:t>
      </w:r>
    </w:p>
    <w:p w:rsidR="000D58AC" w:rsidRDefault="000D58AC" w:rsidP="00A44752">
      <w:pPr>
        <w:pStyle w:val="ListParagraph"/>
        <w:ind w:left="360"/>
      </w:pPr>
    </w:p>
    <w:p w:rsidR="00495F94" w:rsidRDefault="00495F94" w:rsidP="00495F94">
      <w:r w:rsidRPr="002B046D">
        <w:rPr>
          <w:b/>
        </w:rPr>
        <w:t>Much more than notes</w:t>
      </w:r>
      <w:r>
        <w:t xml:space="preserve">: We’ve taken notes to the next level.  Not only can HR easily add personnel </w:t>
      </w:r>
      <w:r w:rsidR="00F41255">
        <w:t>notes</w:t>
      </w:r>
      <w:r>
        <w:t>, they can share them with employee</w:t>
      </w:r>
      <w:r w:rsidR="002B046D">
        <w:t>s</w:t>
      </w:r>
      <w:r w:rsidR="00F41255">
        <w:t xml:space="preserve">, and their broker.  </w:t>
      </w:r>
      <w:r w:rsidR="002B046D">
        <w:t xml:space="preserve">HR can also </w:t>
      </w:r>
      <w:r w:rsidR="00F41255">
        <w:lastRenderedPageBreak/>
        <w:t xml:space="preserve">comment on </w:t>
      </w:r>
      <w:r w:rsidR="002B046D">
        <w:t>notes and “</w:t>
      </w:r>
      <w:r w:rsidR="00F41255">
        <w:t>follow</w:t>
      </w:r>
      <w:r w:rsidR="002B046D">
        <w:t>”</w:t>
      </w:r>
      <w:r w:rsidR="00F41255">
        <w:t xml:space="preserve"> notes.  Finally</w:t>
      </w:r>
      <w:r w:rsidR="000D3EFB">
        <w:t>,</w:t>
      </w:r>
      <w:r w:rsidR="00F41255">
        <w:t xml:space="preserve"> HR can</w:t>
      </w:r>
      <w:r w:rsidR="000D3EFB">
        <w:t xml:space="preserve"> easily</w:t>
      </w:r>
      <w:r w:rsidR="00F41255">
        <w:t xml:space="preserve"> get a comprehensive view of the organization and its activities.  </w:t>
      </w:r>
    </w:p>
    <w:p w:rsidR="00BC2003" w:rsidRDefault="000D3EFB" w:rsidP="00BC2003">
      <w:r w:rsidRPr="00BC2003">
        <w:rPr>
          <w:b/>
        </w:rPr>
        <w:t>Benefit communication:</w:t>
      </w:r>
      <w:r>
        <w:t xml:space="preserve">  At the heart of the system is a robust communication </w:t>
      </w:r>
      <w:r w:rsidR="006B73C9">
        <w:t xml:space="preserve">engine </w:t>
      </w:r>
      <w:r w:rsidR="00BC2003">
        <w:t>to help brokers and HR collaborate on the messaging for employee benefits or company perks.  Features support:</w:t>
      </w:r>
    </w:p>
    <w:p w:rsidR="00BC2003" w:rsidRDefault="00BC2003" w:rsidP="00BC2003">
      <w:pPr>
        <w:pStyle w:val="ListParagraph"/>
        <w:numPr>
          <w:ilvl w:val="0"/>
          <w:numId w:val="9"/>
        </w:numPr>
      </w:pPr>
      <w:r>
        <w:t xml:space="preserve">Policy summaries &amp; documents </w:t>
      </w:r>
    </w:p>
    <w:p w:rsidR="00BC2003" w:rsidRDefault="00BC2003" w:rsidP="00BC2003">
      <w:pPr>
        <w:pStyle w:val="ListParagraph"/>
        <w:numPr>
          <w:ilvl w:val="0"/>
          <w:numId w:val="9"/>
        </w:numPr>
      </w:pPr>
      <w:r>
        <w:t>Side-by-side plan comparisons</w:t>
      </w:r>
    </w:p>
    <w:p w:rsidR="00BC2003" w:rsidRDefault="00BC2003" w:rsidP="00BC2003">
      <w:pPr>
        <w:pStyle w:val="ListParagraph"/>
        <w:numPr>
          <w:ilvl w:val="0"/>
          <w:numId w:val="9"/>
        </w:numPr>
      </w:pPr>
      <w:r>
        <w:t xml:space="preserve">Carrier phone numbers </w:t>
      </w:r>
    </w:p>
    <w:p w:rsidR="00BC2003" w:rsidRDefault="00BC2003" w:rsidP="00BC2003">
      <w:pPr>
        <w:pStyle w:val="ListParagraph"/>
        <w:numPr>
          <w:ilvl w:val="0"/>
          <w:numId w:val="9"/>
        </w:numPr>
      </w:pPr>
      <w:r>
        <w:t>Plan rates, eligibility and contributions</w:t>
      </w:r>
    </w:p>
    <w:p w:rsidR="00BC2003" w:rsidRDefault="00BC2003" w:rsidP="00BC2003">
      <w:pPr>
        <w:pStyle w:val="ListParagraph"/>
        <w:numPr>
          <w:ilvl w:val="0"/>
          <w:numId w:val="9"/>
        </w:numPr>
      </w:pPr>
      <w:r>
        <w:t xml:space="preserve">Customizable contacts, documents, links and user </w:t>
      </w:r>
      <w:r w:rsidR="005715C1">
        <w:t xml:space="preserve">defined text </w:t>
      </w:r>
    </w:p>
    <w:p w:rsidR="000D3EFB" w:rsidRDefault="000D3EFB" w:rsidP="00B45B72"/>
    <w:p w:rsidR="00BC2003" w:rsidRDefault="00BC2003" w:rsidP="00B45B72">
      <w:pPr>
        <w:rPr>
          <w:b/>
        </w:rPr>
      </w:pPr>
    </w:p>
    <w:p w:rsidR="00BC2003" w:rsidRDefault="00BC2003" w:rsidP="00BC2003">
      <w:r w:rsidRPr="000D3EFB">
        <w:rPr>
          <w:b/>
        </w:rPr>
        <w:t>Mobile Apps:</w:t>
      </w:r>
      <w:r>
        <w:t xml:space="preserve">  Employees and HR can also securely access company resources on the go</w:t>
      </w:r>
      <w:r w:rsidR="00A44752">
        <w:t>,</w:t>
      </w:r>
      <w:r>
        <w:t xml:space="preserve"> helping you improve communication whether employees are across the country or across the street at the doctor’s office.  HR managers can quickly access employee records, enrollment details</w:t>
      </w:r>
      <w:r w:rsidR="00A44752">
        <w:t xml:space="preserve"> </w:t>
      </w:r>
      <w:r>
        <w:t>(if configured), dependents as well as plan premiums and eligibility information.</w:t>
      </w:r>
    </w:p>
    <w:p w:rsidR="00BC2003" w:rsidRDefault="00BC2003" w:rsidP="00BC2003">
      <w:r w:rsidRPr="006B73C9">
        <w:rPr>
          <w:b/>
        </w:rPr>
        <w:t>Employee Self-service:</w:t>
      </w:r>
      <w:r>
        <w:t xml:space="preserve">  HR systems </w:t>
      </w:r>
      <w:r w:rsidR="00A44752">
        <w:t xml:space="preserve">are </w:t>
      </w:r>
      <w:r>
        <w:t>traditionally used by large organizations, but with HR in Hand, you can give you</w:t>
      </w:r>
      <w:r w:rsidR="00A44752">
        <w:t>r</w:t>
      </w:r>
      <w:r>
        <w:t xml:space="preserve"> employees access to more company information than ever before including:  </w:t>
      </w:r>
    </w:p>
    <w:p w:rsidR="00BC2003" w:rsidRDefault="00BC2003" w:rsidP="00BC2003">
      <w:pPr>
        <w:pStyle w:val="ListParagraph"/>
        <w:numPr>
          <w:ilvl w:val="0"/>
          <w:numId w:val="15"/>
        </w:numPr>
      </w:pPr>
      <w:r>
        <w:t xml:space="preserve">Permit employees to update their address </w:t>
      </w:r>
    </w:p>
    <w:p w:rsidR="00BC2003" w:rsidRDefault="00BC2003" w:rsidP="00BC2003">
      <w:pPr>
        <w:pStyle w:val="ListParagraph"/>
        <w:numPr>
          <w:ilvl w:val="0"/>
          <w:numId w:val="15"/>
        </w:numPr>
      </w:pPr>
      <w:r>
        <w:t xml:space="preserve">Track and approve changes </w:t>
      </w:r>
    </w:p>
    <w:p w:rsidR="00BC2003" w:rsidRDefault="00BC2003" w:rsidP="00BC2003">
      <w:pPr>
        <w:pStyle w:val="ListParagraph"/>
        <w:numPr>
          <w:ilvl w:val="0"/>
          <w:numId w:val="1"/>
        </w:numPr>
      </w:pPr>
      <w:r>
        <w:t>Access the company directory</w:t>
      </w:r>
    </w:p>
    <w:p w:rsidR="00BC2003" w:rsidRDefault="00BC2003" w:rsidP="00BC2003">
      <w:pPr>
        <w:pStyle w:val="ListParagraph"/>
        <w:numPr>
          <w:ilvl w:val="0"/>
          <w:numId w:val="1"/>
        </w:numPr>
      </w:pPr>
      <w:r>
        <w:t>Manage emergency contacts,</w:t>
      </w:r>
    </w:p>
    <w:p w:rsidR="00BC2003" w:rsidRDefault="00CA4641" w:rsidP="00BC2003">
      <w:pPr>
        <w:pStyle w:val="ListParagraph"/>
        <w:numPr>
          <w:ilvl w:val="0"/>
          <w:numId w:val="1"/>
        </w:numPr>
      </w:pPr>
      <w:r>
        <w:t xml:space="preserve">Update </w:t>
      </w:r>
      <w:r w:rsidR="00BC2003">
        <w:t>education, licenses and certificates</w:t>
      </w:r>
      <w:r>
        <w:t xml:space="preserve"> </w:t>
      </w:r>
    </w:p>
    <w:p w:rsidR="00BC2003" w:rsidRPr="000D3EFB" w:rsidRDefault="00BC2003" w:rsidP="00BC2003">
      <w:r w:rsidRPr="000D3EFB">
        <w:rPr>
          <w:b/>
        </w:rPr>
        <w:t>Document Resource Library:</w:t>
      </w:r>
      <w:r>
        <w:t xml:space="preserve"> The powerful document library lets you link documents to benefit plan</w:t>
      </w:r>
      <w:r w:rsidR="00A44752">
        <w:t>s</w:t>
      </w:r>
      <w:r>
        <w:t>, create workflows or categorize HR forms, for example, New Hire forms.</w:t>
      </w:r>
    </w:p>
    <w:p w:rsidR="00B45B72" w:rsidRDefault="00B45B72" w:rsidP="00B45B72">
      <w:r w:rsidRPr="000D3EFB">
        <w:rPr>
          <w:b/>
        </w:rPr>
        <w:t>Rules Engine</w:t>
      </w:r>
      <w:r w:rsidR="000D3EFB" w:rsidRPr="000D3EFB">
        <w:rPr>
          <w:b/>
        </w:rPr>
        <w:t xml:space="preserve">:  </w:t>
      </w:r>
      <w:r>
        <w:t xml:space="preserve">As companies grow, so does the need </w:t>
      </w:r>
      <w:r w:rsidR="00A44752">
        <w:t xml:space="preserve">to </w:t>
      </w:r>
      <w:r>
        <w:t>customize benefits, policies or process</w:t>
      </w:r>
      <w:r w:rsidR="006B73C9">
        <w:t>es</w:t>
      </w:r>
      <w:r>
        <w:t xml:space="preserve"> by business units.  </w:t>
      </w:r>
      <w:r w:rsidR="000D3EFB">
        <w:t xml:space="preserve">You can </w:t>
      </w:r>
      <w:r w:rsidR="00F41255">
        <w:t xml:space="preserve">categorize </w:t>
      </w:r>
      <w:r w:rsidR="008827B6">
        <w:t>employees</w:t>
      </w:r>
      <w:r w:rsidR="000D3EFB">
        <w:t xml:space="preserve"> based on their </w:t>
      </w:r>
      <w:r>
        <w:t xml:space="preserve">class, department, </w:t>
      </w:r>
      <w:r w:rsidR="00F41255">
        <w:t xml:space="preserve">etc. </w:t>
      </w:r>
      <w:r w:rsidR="000D3EFB">
        <w:t xml:space="preserve">which allows </w:t>
      </w:r>
      <w:r w:rsidR="006B73C9">
        <w:t>H</w:t>
      </w:r>
      <w:r w:rsidR="000D3EFB">
        <w:t xml:space="preserve">R to control who see what documents.  Share billing policies with accounting or </w:t>
      </w:r>
      <w:r w:rsidR="00F41255">
        <w:t>create complex rule</w:t>
      </w:r>
      <w:r w:rsidR="00A44752">
        <w:t>s</w:t>
      </w:r>
      <w:r w:rsidR="00F41255">
        <w:t xml:space="preserve"> to further delineate your population allowing you, </w:t>
      </w:r>
      <w:r>
        <w:t>for example,</w:t>
      </w:r>
      <w:r w:rsidR="00F41255">
        <w:t xml:space="preserve"> to show e</w:t>
      </w:r>
      <w:r>
        <w:t xml:space="preserve">mployees in New Jersey </w:t>
      </w:r>
      <w:r w:rsidR="000D3EFB">
        <w:t>a custom benefit summary</w:t>
      </w:r>
      <w:r>
        <w:t>.</w:t>
      </w:r>
    </w:p>
    <w:p w:rsidR="00AB22DB" w:rsidRDefault="00AB22DB" w:rsidP="0017767B">
      <w:pPr>
        <w:rPr>
          <w:b/>
        </w:rPr>
      </w:pPr>
    </w:p>
    <w:p w:rsidR="00AB22DB" w:rsidRDefault="00AB22DB" w:rsidP="0017767B">
      <w:pPr>
        <w:rPr>
          <w:b/>
        </w:rPr>
      </w:pPr>
    </w:p>
    <w:p w:rsidR="00AB22DB" w:rsidRDefault="00AB22DB" w:rsidP="0017767B">
      <w:pPr>
        <w:rPr>
          <w:b/>
        </w:rPr>
      </w:pPr>
    </w:p>
    <w:p w:rsidR="00AB22DB" w:rsidRDefault="00CA4641" w:rsidP="0017767B">
      <w:pPr>
        <w:rPr>
          <w:b/>
        </w:rPr>
      </w:pPr>
      <w:r>
        <w:rPr>
          <w:noProof/>
        </w:rPr>
        <w:drawing>
          <wp:inline distT="0" distB="0" distL="0" distR="0" wp14:anchorId="3DBB681A" wp14:editId="3DBB681B">
            <wp:extent cx="2514600" cy="1962002"/>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hone-white-backgroun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9493" cy="1965820"/>
                    </a:xfrm>
                    <a:prstGeom prst="rect">
                      <a:avLst/>
                    </a:prstGeom>
                  </pic:spPr>
                </pic:pic>
              </a:graphicData>
            </a:graphic>
          </wp:inline>
        </w:drawing>
      </w:r>
    </w:p>
    <w:p w:rsidR="0017767B" w:rsidRDefault="0017767B" w:rsidP="0017767B">
      <w:r w:rsidRPr="00BC2003">
        <w:rPr>
          <w:b/>
        </w:rPr>
        <w:t>Virtual Personnel File:</w:t>
      </w:r>
      <w:r>
        <w:t xml:space="preserve">  </w:t>
      </w:r>
      <w:r w:rsidR="00BC2003">
        <w:t>E</w:t>
      </w:r>
      <w:r>
        <w:t xml:space="preserve">asily track and report on critical HR data.  Fields </w:t>
      </w:r>
      <w:r w:rsidR="006B73C9">
        <w:t>that</w:t>
      </w:r>
      <w:r w:rsidR="00BC2003">
        <w:t xml:space="preserve"> are important to your organization can </w:t>
      </w:r>
      <w:r>
        <w:t>be mar</w:t>
      </w:r>
      <w:r w:rsidR="00AB5DA2">
        <w:t>ke</w:t>
      </w:r>
      <w:r>
        <w:t xml:space="preserve">d as required </w:t>
      </w:r>
      <w:r w:rsidR="006B73C9">
        <w:t xml:space="preserve">which </w:t>
      </w:r>
      <w:r w:rsidR="00BC2003">
        <w:t>allow</w:t>
      </w:r>
      <w:r w:rsidR="006B73C9">
        <w:t>s</w:t>
      </w:r>
      <w:r w:rsidR="00BC2003">
        <w:t xml:space="preserve"> HR to easily report on missing data to keep in compliance.   Additional tracking includes</w:t>
      </w:r>
      <w:r w:rsidR="00AB5DA2">
        <w:t>:</w:t>
      </w:r>
    </w:p>
    <w:p w:rsidR="0017767B" w:rsidRDefault="0017767B" w:rsidP="0017767B">
      <w:pPr>
        <w:pStyle w:val="ListParagraph"/>
        <w:numPr>
          <w:ilvl w:val="0"/>
          <w:numId w:val="8"/>
        </w:numPr>
      </w:pPr>
      <w:r>
        <w:t xml:space="preserve">Leave status &amp; </w:t>
      </w:r>
      <w:r w:rsidR="00BC2003">
        <w:t>r</w:t>
      </w:r>
      <w:r>
        <w:t>eview dates</w:t>
      </w:r>
    </w:p>
    <w:p w:rsidR="0017767B" w:rsidRDefault="0017767B" w:rsidP="0017767B">
      <w:pPr>
        <w:pStyle w:val="ListParagraph"/>
        <w:numPr>
          <w:ilvl w:val="0"/>
          <w:numId w:val="8"/>
        </w:numPr>
      </w:pPr>
      <w:r>
        <w:t>EEOC &amp; veteran</w:t>
      </w:r>
      <w:r w:rsidR="00BC2003">
        <w:t xml:space="preserve"> status</w:t>
      </w:r>
    </w:p>
    <w:p w:rsidR="0017767B" w:rsidRDefault="0017767B" w:rsidP="0017767B">
      <w:pPr>
        <w:pStyle w:val="ListParagraph"/>
        <w:numPr>
          <w:ilvl w:val="0"/>
          <w:numId w:val="8"/>
        </w:numPr>
      </w:pPr>
      <w:r>
        <w:t>Payroll groups</w:t>
      </w:r>
    </w:p>
    <w:p w:rsidR="00BC2003" w:rsidRDefault="00BC2003" w:rsidP="0017767B">
      <w:pPr>
        <w:pStyle w:val="ListParagraph"/>
        <w:numPr>
          <w:ilvl w:val="0"/>
          <w:numId w:val="8"/>
        </w:numPr>
      </w:pPr>
      <w:r>
        <w:t>Salary history</w:t>
      </w:r>
    </w:p>
    <w:p w:rsidR="00AB22DB" w:rsidRDefault="00AB22DB" w:rsidP="0017767B">
      <w:pPr>
        <w:pStyle w:val="ListParagraph"/>
        <w:numPr>
          <w:ilvl w:val="0"/>
          <w:numId w:val="8"/>
        </w:numPr>
      </w:pPr>
      <w:r>
        <w:t>Birthdays and anniversaries</w:t>
      </w:r>
    </w:p>
    <w:p w:rsidR="007B4372" w:rsidRDefault="007B4372" w:rsidP="0017767B">
      <w:r w:rsidRPr="00CA4641">
        <w:rPr>
          <w:b/>
        </w:rPr>
        <w:t>Communication</w:t>
      </w:r>
      <w:r w:rsidR="00AB5DA2" w:rsidRPr="00CA4641">
        <w:rPr>
          <w:b/>
        </w:rPr>
        <w:t>:</w:t>
      </w:r>
      <w:r w:rsidR="00AB5DA2">
        <w:t xml:space="preserve">  The communications capabilities let HR managers post custom alerts to employees and add company articles </w:t>
      </w:r>
      <w:r w:rsidR="00665FF1">
        <w:t>or news to the employee portal</w:t>
      </w:r>
      <w:r w:rsidR="00AB5DA2">
        <w:t xml:space="preserve">.  </w:t>
      </w:r>
      <w:r w:rsidR="00665FF1">
        <w:t>Office contacts</w:t>
      </w:r>
      <w:r w:rsidR="00AB5DA2">
        <w:t>, RSS fee</w:t>
      </w:r>
      <w:r w:rsidR="00245A46">
        <w:t xml:space="preserve">ds and links to web resources </w:t>
      </w:r>
      <w:r w:rsidR="00665FF1">
        <w:t xml:space="preserve">as well as system emails are customizable </w:t>
      </w:r>
    </w:p>
    <w:p w:rsidR="00CA4641" w:rsidRDefault="00CA4641" w:rsidP="00665FF1">
      <w:r w:rsidRPr="00CA4641">
        <w:rPr>
          <w:b/>
        </w:rPr>
        <w:t>Reporting:</w:t>
      </w:r>
      <w:r>
        <w:t xml:space="preserve">  Systems are only as good as the reporting system, and the custom report writer allows HR to configure row or column reports</w:t>
      </w:r>
      <w:r w:rsidR="00665FF1">
        <w:t xml:space="preserve"> </w:t>
      </w:r>
      <w:r w:rsidR="00A44752">
        <w:t>they can s</w:t>
      </w:r>
      <w:r>
        <w:t xml:space="preserve">ave and share.  Standard reports give you quick access to your data and help meet HR compliance </w:t>
      </w:r>
      <w:r w:rsidR="00665FF1">
        <w:t>such as t</w:t>
      </w:r>
      <w:r>
        <w:t>rack</w:t>
      </w:r>
      <w:r w:rsidR="00A44752">
        <w:t>ing</w:t>
      </w:r>
      <w:r>
        <w:t xml:space="preserve"> HR page views</w:t>
      </w:r>
      <w:r w:rsidR="00665FF1">
        <w:t>.</w:t>
      </w:r>
    </w:p>
    <w:p w:rsidR="0017767B" w:rsidRDefault="0017767B" w:rsidP="00665FF1"/>
    <w:p w:rsidR="00665FF1" w:rsidRDefault="00665FF1" w:rsidP="00E437CC">
      <w:pPr>
        <w:sectPr w:rsidR="00665FF1" w:rsidSect="00CA4641">
          <w:type w:val="continuous"/>
          <w:pgSz w:w="12240" w:h="15840"/>
          <w:pgMar w:top="1440" w:right="1440" w:bottom="1296" w:left="1440" w:header="1440" w:footer="576" w:gutter="0"/>
          <w:cols w:num="2" w:space="720"/>
          <w:docGrid w:linePitch="360"/>
        </w:sectPr>
      </w:pPr>
    </w:p>
    <w:p w:rsidR="008444D2" w:rsidRDefault="008444D2" w:rsidP="008444D2">
      <w:pPr>
        <w:spacing w:after="0"/>
        <w:rPr>
          <w:b/>
          <w:sz w:val="28"/>
        </w:rPr>
      </w:pPr>
    </w:p>
    <w:p w:rsidR="00665FF1" w:rsidRPr="00A44752" w:rsidRDefault="008B0108" w:rsidP="008444D2">
      <w:pPr>
        <w:spacing w:after="0"/>
        <w:rPr>
          <w:b/>
          <w:sz w:val="28"/>
        </w:rPr>
      </w:pPr>
      <w:r>
        <w:rPr>
          <w:noProof/>
        </w:rPr>
        <w:drawing>
          <wp:anchor distT="0" distB="0" distL="114300" distR="114300" simplePos="0" relativeHeight="251665408" behindDoc="0" locked="0" layoutInCell="1" allowOverlap="1" wp14:anchorId="012A6E94" wp14:editId="53E0E2C8">
            <wp:simplePos x="0" y="0"/>
            <wp:positionH relativeFrom="margin">
              <wp:posOffset>5141595</wp:posOffset>
            </wp:positionH>
            <wp:positionV relativeFrom="margin">
              <wp:posOffset>13970</wp:posOffset>
            </wp:positionV>
            <wp:extent cx="1690370" cy="2538095"/>
            <wp:effectExtent l="0" t="0" r="5080" b="0"/>
            <wp:wrapSquare wrapText="bothSides"/>
            <wp:docPr id="2" name="Picture 2" descr="C:\Users\Mary Jane\Downloads\iStock_000002807197_Extra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 Jane\Downloads\iStock_000002807197_ExtraSmal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0370" cy="2538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FF1" w:rsidRPr="00A44752">
        <w:rPr>
          <w:b/>
          <w:sz w:val="28"/>
        </w:rPr>
        <w:t xml:space="preserve">Online </w:t>
      </w:r>
      <w:r w:rsidR="00A44752">
        <w:rPr>
          <w:b/>
          <w:sz w:val="28"/>
        </w:rPr>
        <w:t>B</w:t>
      </w:r>
      <w:r w:rsidR="00665FF1" w:rsidRPr="00A44752">
        <w:rPr>
          <w:b/>
          <w:sz w:val="28"/>
        </w:rPr>
        <w:t xml:space="preserve">enefits </w:t>
      </w:r>
      <w:r w:rsidR="00A44752">
        <w:rPr>
          <w:b/>
          <w:sz w:val="28"/>
        </w:rPr>
        <w:t>M</w:t>
      </w:r>
      <w:r w:rsidR="00665FF1" w:rsidRPr="00A44752">
        <w:rPr>
          <w:b/>
          <w:sz w:val="28"/>
        </w:rPr>
        <w:t>anagement</w:t>
      </w:r>
    </w:p>
    <w:p w:rsidR="00665FF1" w:rsidRDefault="00A44752" w:rsidP="00E437CC">
      <w:r>
        <w:t>Selecting the right level of service for your company</w:t>
      </w:r>
      <w:r w:rsidR="00665FF1">
        <w:t>:</w:t>
      </w:r>
      <w:r w:rsidR="00D8141D" w:rsidRPr="00D8141D">
        <w:rPr>
          <w:noProof/>
        </w:rPr>
        <w:t xml:space="preserve"> </w:t>
      </w:r>
    </w:p>
    <w:p w:rsidR="00665FF1" w:rsidRDefault="00665FF1" w:rsidP="00665FF1">
      <w:pPr>
        <w:pStyle w:val="ListParagraph"/>
        <w:numPr>
          <w:ilvl w:val="0"/>
          <w:numId w:val="16"/>
        </w:numPr>
      </w:pPr>
      <w:r w:rsidRPr="00DB1C50">
        <w:rPr>
          <w:b/>
        </w:rPr>
        <w:t>Online plan Selection</w:t>
      </w:r>
      <w:r w:rsidR="00D8141D" w:rsidRPr="00DB1C50">
        <w:rPr>
          <w:b/>
        </w:rPr>
        <w:t>:</w:t>
      </w:r>
      <w:r w:rsidR="00D8141D">
        <w:t xml:space="preserve">  This service </w:t>
      </w:r>
      <w:r w:rsidR="00DB1C50">
        <w:t xml:space="preserve">level </w:t>
      </w:r>
      <w:r w:rsidR="00D8141D">
        <w:t>allow</w:t>
      </w:r>
      <w:r w:rsidR="00DB1C50">
        <w:t>s</w:t>
      </w:r>
      <w:r w:rsidR="00D8141D">
        <w:t xml:space="preserve"> </w:t>
      </w:r>
      <w:r w:rsidR="00A44752">
        <w:t>HR</w:t>
      </w:r>
      <w:r w:rsidR="00D8141D">
        <w:t xml:space="preserve"> to roll out a complete self-service enrollment experience for </w:t>
      </w:r>
      <w:r w:rsidR="00A44752">
        <w:t>their</w:t>
      </w:r>
      <w:r w:rsidR="00D8141D">
        <w:t xml:space="preserve"> employees including new hire, open season and life events.  </w:t>
      </w:r>
      <w:r w:rsidR="00DB1C50">
        <w:t xml:space="preserve">Changes made by your employees will be posted to your “Wall” or </w:t>
      </w:r>
      <w:r w:rsidR="00A44752">
        <w:t>HR can receive email notifications</w:t>
      </w:r>
      <w:r w:rsidR="00DB1C50">
        <w:t>.  HR</w:t>
      </w:r>
      <w:r w:rsidR="00D8141D">
        <w:t xml:space="preserve">, in turn, </w:t>
      </w:r>
      <w:r w:rsidR="00DB1C50">
        <w:t xml:space="preserve">can </w:t>
      </w:r>
      <w:r w:rsidR="00D8141D">
        <w:t>make the changes on the carrier portals.</w:t>
      </w:r>
    </w:p>
    <w:p w:rsidR="000D58AC" w:rsidRDefault="00665FF1" w:rsidP="00665FF1">
      <w:pPr>
        <w:pStyle w:val="ListParagraph"/>
        <w:numPr>
          <w:ilvl w:val="0"/>
          <w:numId w:val="16"/>
        </w:numPr>
      </w:pPr>
      <w:r w:rsidRPr="00DB1C50">
        <w:rPr>
          <w:b/>
        </w:rPr>
        <w:t>Carrier feeds:</w:t>
      </w:r>
      <w:r>
        <w:t xml:space="preserve">  Larger organizations or companies with higher turnover </w:t>
      </w:r>
      <w:r w:rsidR="00D8141D">
        <w:t xml:space="preserve">may require carrier </w:t>
      </w:r>
      <w:r w:rsidR="00A44752">
        <w:t xml:space="preserve">feeds.  This requires configuration and carrier reconciliation prior to beginning transmission of eligibility and may require the audit of </w:t>
      </w:r>
      <w:r w:rsidR="002604A0">
        <w:t>error reports.</w:t>
      </w:r>
    </w:p>
    <w:p w:rsidR="00D8141D" w:rsidRPr="00D8141D" w:rsidRDefault="00D8141D" w:rsidP="00291B96">
      <w:pPr>
        <w:ind w:left="720" w:firstLine="720"/>
        <w:jc w:val="center"/>
        <w:rPr>
          <w:b/>
          <w:sz w:val="32"/>
          <w:u w:val="single"/>
        </w:rPr>
      </w:pPr>
      <w:r w:rsidRPr="00D8141D">
        <w:rPr>
          <w:b/>
          <w:sz w:val="32"/>
          <w:u w:val="single"/>
        </w:rPr>
        <w:t>Enrollment Features</w:t>
      </w:r>
    </w:p>
    <w:p w:rsidR="00DD130C" w:rsidRDefault="00DD130C" w:rsidP="008D516F">
      <w:pPr>
        <w:sectPr w:rsidR="00DD130C" w:rsidSect="00665FF1">
          <w:type w:val="continuous"/>
          <w:pgSz w:w="12240" w:h="15840"/>
          <w:pgMar w:top="1440" w:right="1440" w:bottom="1296" w:left="1440" w:header="1440" w:footer="576" w:gutter="0"/>
          <w:cols w:space="720"/>
          <w:docGrid w:linePitch="360"/>
        </w:sectPr>
      </w:pPr>
    </w:p>
    <w:p w:rsidR="008D516F" w:rsidRPr="008D5517" w:rsidRDefault="008D516F" w:rsidP="008D516F">
      <w:pPr>
        <w:rPr>
          <w:b/>
        </w:rPr>
      </w:pPr>
      <w:r w:rsidRPr="008D5517">
        <w:rPr>
          <w:b/>
        </w:rPr>
        <w:lastRenderedPageBreak/>
        <w:t xml:space="preserve">Benefits </w:t>
      </w:r>
      <w:r w:rsidR="008D5517">
        <w:rPr>
          <w:b/>
        </w:rPr>
        <w:t>a</w:t>
      </w:r>
      <w:r w:rsidRPr="008D5517">
        <w:rPr>
          <w:b/>
        </w:rPr>
        <w:t>dministration</w:t>
      </w:r>
      <w:r w:rsidR="008D5517" w:rsidRPr="008D5517">
        <w:rPr>
          <w:b/>
        </w:rPr>
        <w:t xml:space="preserve"> </w:t>
      </w:r>
      <w:r w:rsidR="008D5517">
        <w:rPr>
          <w:b/>
        </w:rPr>
        <w:t>s</w:t>
      </w:r>
      <w:r w:rsidR="008D5517" w:rsidRPr="008D5517">
        <w:rPr>
          <w:b/>
        </w:rPr>
        <w:t>ervices</w:t>
      </w:r>
    </w:p>
    <w:p w:rsidR="008D516F" w:rsidRDefault="008D516F" w:rsidP="008D516F">
      <w:pPr>
        <w:pStyle w:val="ListParagraph"/>
        <w:numPr>
          <w:ilvl w:val="0"/>
          <w:numId w:val="6"/>
        </w:numPr>
      </w:pPr>
      <w:r>
        <w:t>Open Season</w:t>
      </w:r>
    </w:p>
    <w:p w:rsidR="008D516F" w:rsidRDefault="008D516F" w:rsidP="008D516F">
      <w:pPr>
        <w:pStyle w:val="ListParagraph"/>
        <w:numPr>
          <w:ilvl w:val="0"/>
          <w:numId w:val="6"/>
        </w:numPr>
      </w:pPr>
      <w:r>
        <w:t>New hire</w:t>
      </w:r>
      <w:r w:rsidR="008D5517">
        <w:t xml:space="preserve"> </w:t>
      </w:r>
    </w:p>
    <w:p w:rsidR="008D516F" w:rsidRDefault="008D516F" w:rsidP="008D516F">
      <w:pPr>
        <w:pStyle w:val="ListParagraph"/>
        <w:numPr>
          <w:ilvl w:val="0"/>
          <w:numId w:val="6"/>
        </w:numPr>
      </w:pPr>
      <w:r>
        <w:t>Life events</w:t>
      </w:r>
    </w:p>
    <w:p w:rsidR="008D516F" w:rsidRDefault="00D8141D" w:rsidP="008D516F">
      <w:pPr>
        <w:pStyle w:val="ListParagraph"/>
        <w:numPr>
          <w:ilvl w:val="0"/>
          <w:numId w:val="6"/>
        </w:numPr>
      </w:pPr>
      <w:r>
        <w:t>Beneficiary tracking</w:t>
      </w:r>
    </w:p>
    <w:p w:rsidR="00D8141D" w:rsidRDefault="00D8141D" w:rsidP="00D8141D">
      <w:pPr>
        <w:pStyle w:val="ListParagraph"/>
        <w:numPr>
          <w:ilvl w:val="0"/>
          <w:numId w:val="6"/>
        </w:numPr>
      </w:pPr>
      <w:r>
        <w:t>Alerts for missing ben</w:t>
      </w:r>
      <w:r w:rsidR="008D5517">
        <w:t>eficiary, dependent information, etc.</w:t>
      </w:r>
      <w:r>
        <w:t xml:space="preserve"> </w:t>
      </w:r>
    </w:p>
    <w:p w:rsidR="00D8141D" w:rsidRDefault="00D8141D" w:rsidP="008D5517">
      <w:pPr>
        <w:pStyle w:val="ListParagraph"/>
        <w:ind w:left="360"/>
      </w:pPr>
    </w:p>
    <w:p w:rsidR="00D8141D" w:rsidRPr="008D5517" w:rsidRDefault="00D8141D" w:rsidP="008D5517">
      <w:pPr>
        <w:rPr>
          <w:b/>
        </w:rPr>
      </w:pPr>
      <w:r w:rsidRPr="008D5517">
        <w:rPr>
          <w:b/>
        </w:rPr>
        <w:t>Plan configuration options</w:t>
      </w:r>
    </w:p>
    <w:p w:rsidR="008D516F" w:rsidRDefault="008D516F" w:rsidP="00D8141D">
      <w:pPr>
        <w:pStyle w:val="ListParagraph"/>
        <w:numPr>
          <w:ilvl w:val="0"/>
          <w:numId w:val="17"/>
        </w:numPr>
      </w:pPr>
      <w:r>
        <w:t xml:space="preserve">Rules based </w:t>
      </w:r>
      <w:r w:rsidR="008D5517">
        <w:t>eligibility</w:t>
      </w:r>
    </w:p>
    <w:p w:rsidR="008D516F" w:rsidRDefault="008D516F" w:rsidP="008D516F">
      <w:pPr>
        <w:pStyle w:val="ListParagraph"/>
        <w:numPr>
          <w:ilvl w:val="0"/>
          <w:numId w:val="6"/>
        </w:numPr>
      </w:pPr>
      <w:r>
        <w:t xml:space="preserve">Contributions </w:t>
      </w:r>
      <w:r w:rsidR="008D5517">
        <w:t xml:space="preserve">by </w:t>
      </w:r>
      <w:r>
        <w:t>“classes”</w:t>
      </w:r>
    </w:p>
    <w:p w:rsidR="008D516F" w:rsidRDefault="008D516F" w:rsidP="008D516F">
      <w:pPr>
        <w:pStyle w:val="ListParagraph"/>
        <w:numPr>
          <w:ilvl w:val="0"/>
          <w:numId w:val="6"/>
        </w:numPr>
      </w:pPr>
      <w:r>
        <w:t xml:space="preserve">Open enrollment </w:t>
      </w:r>
      <w:r w:rsidR="008D5517">
        <w:t xml:space="preserve">including </w:t>
      </w:r>
      <w:r>
        <w:t xml:space="preserve">passive </w:t>
      </w:r>
      <w:r w:rsidR="008D5517">
        <w:t>re-</w:t>
      </w:r>
      <w:r>
        <w:t>enrollment</w:t>
      </w:r>
    </w:p>
    <w:p w:rsidR="00D8141D" w:rsidRDefault="002604A0" w:rsidP="00D8141D">
      <w:pPr>
        <w:pStyle w:val="ListParagraph"/>
        <w:numPr>
          <w:ilvl w:val="0"/>
          <w:numId w:val="6"/>
        </w:numPr>
      </w:pPr>
      <w:r>
        <w:t>Customizable</w:t>
      </w:r>
      <w:r w:rsidR="00D8141D">
        <w:t xml:space="preserve"> communication for plans</w:t>
      </w:r>
    </w:p>
    <w:p w:rsidR="00DB1C50" w:rsidRDefault="00DB1C50" w:rsidP="00DB1C50">
      <w:pPr>
        <w:pStyle w:val="ListParagraph"/>
        <w:numPr>
          <w:ilvl w:val="0"/>
          <w:numId w:val="6"/>
        </w:numPr>
      </w:pPr>
      <w:r>
        <w:t xml:space="preserve">Documents:  Rules for docs, EOI, SBC, Show in enrollment, Required, </w:t>
      </w:r>
    </w:p>
    <w:p w:rsidR="008D5517" w:rsidRDefault="008D5517" w:rsidP="00DB1C50">
      <w:pPr>
        <w:pStyle w:val="ListParagraph"/>
        <w:numPr>
          <w:ilvl w:val="0"/>
          <w:numId w:val="6"/>
        </w:numPr>
      </w:pPr>
      <w:r>
        <w:t>Rate adjustments fo</w:t>
      </w:r>
      <w:r w:rsidR="002604A0">
        <w:t>r age band</w:t>
      </w:r>
      <w:r>
        <w:t xml:space="preserve"> changes</w:t>
      </w:r>
    </w:p>
    <w:p w:rsidR="00DB1C50" w:rsidRDefault="00DB1C50" w:rsidP="00DB1C50">
      <w:pPr>
        <w:pStyle w:val="ListParagraph"/>
        <w:numPr>
          <w:ilvl w:val="0"/>
          <w:numId w:val="6"/>
        </w:numPr>
      </w:pPr>
      <w:r>
        <w:t>Cafeteria and HSA contingency support</w:t>
      </w:r>
    </w:p>
    <w:p w:rsidR="00D8141D" w:rsidRDefault="00D8141D" w:rsidP="008D5517">
      <w:pPr>
        <w:pStyle w:val="ListParagraph"/>
        <w:ind w:left="360"/>
      </w:pPr>
    </w:p>
    <w:p w:rsidR="008D5517" w:rsidRDefault="008D5517" w:rsidP="00E437CC"/>
    <w:p w:rsidR="00DD130C" w:rsidRDefault="00DD130C" w:rsidP="00291B96">
      <w:pPr>
        <w:rPr>
          <w:b/>
        </w:rPr>
      </w:pPr>
    </w:p>
    <w:p w:rsidR="00291B96" w:rsidRPr="00291B96" w:rsidRDefault="00291B96" w:rsidP="00291B96">
      <w:pPr>
        <w:rPr>
          <w:b/>
        </w:rPr>
      </w:pPr>
      <w:r w:rsidRPr="00291B96">
        <w:rPr>
          <w:b/>
        </w:rPr>
        <w:lastRenderedPageBreak/>
        <w:t>Reporting</w:t>
      </w:r>
    </w:p>
    <w:p w:rsidR="00291B96" w:rsidRDefault="00291B96" w:rsidP="00291B96">
      <w:pPr>
        <w:pStyle w:val="ListParagraph"/>
        <w:numPr>
          <w:ilvl w:val="0"/>
          <w:numId w:val="1"/>
        </w:numPr>
      </w:pPr>
      <w:r>
        <w:t>Over 40 standard reports</w:t>
      </w:r>
    </w:p>
    <w:p w:rsidR="00291B96" w:rsidRDefault="00291B96" w:rsidP="00291B96">
      <w:pPr>
        <w:pStyle w:val="ListParagraph"/>
        <w:numPr>
          <w:ilvl w:val="0"/>
          <w:numId w:val="1"/>
        </w:numPr>
      </w:pPr>
      <w:r>
        <w:t>Custom row and column report engine,</w:t>
      </w:r>
    </w:p>
    <w:p w:rsidR="00291B96" w:rsidRDefault="00291B96" w:rsidP="00291B96">
      <w:pPr>
        <w:pStyle w:val="ListParagraph"/>
        <w:numPr>
          <w:ilvl w:val="0"/>
          <w:numId w:val="1"/>
        </w:numPr>
      </w:pPr>
      <w:r>
        <w:t>Save, share and export reports</w:t>
      </w:r>
    </w:p>
    <w:p w:rsidR="00291B96" w:rsidRDefault="00291B96" w:rsidP="00291B96">
      <w:pPr>
        <w:pStyle w:val="ListParagraph"/>
        <w:numPr>
          <w:ilvl w:val="0"/>
          <w:numId w:val="1"/>
        </w:numPr>
      </w:pPr>
      <w:r>
        <w:t>Custom event tracking via “Wall”</w:t>
      </w:r>
    </w:p>
    <w:p w:rsidR="00D8141D" w:rsidRPr="008D5517" w:rsidRDefault="00D8141D" w:rsidP="00E437CC">
      <w:pPr>
        <w:rPr>
          <w:b/>
        </w:rPr>
      </w:pPr>
      <w:r w:rsidRPr="008D5517">
        <w:rPr>
          <w:b/>
        </w:rPr>
        <w:t>HR features</w:t>
      </w:r>
    </w:p>
    <w:p w:rsidR="00D8141D" w:rsidRDefault="00D8141D" w:rsidP="00D8141D">
      <w:pPr>
        <w:pStyle w:val="ListParagraph"/>
        <w:numPr>
          <w:ilvl w:val="0"/>
          <w:numId w:val="6"/>
        </w:numPr>
      </w:pPr>
      <w:r>
        <w:t xml:space="preserve">Evidence of Insurability </w:t>
      </w:r>
    </w:p>
    <w:p w:rsidR="008D5517" w:rsidRDefault="00D8141D" w:rsidP="008D5517">
      <w:pPr>
        <w:pStyle w:val="ListParagraph"/>
        <w:numPr>
          <w:ilvl w:val="0"/>
          <w:numId w:val="6"/>
        </w:numPr>
      </w:pPr>
      <w:r>
        <w:t>COBRA tracking</w:t>
      </w:r>
    </w:p>
    <w:p w:rsidR="008D516F" w:rsidRDefault="008D516F" w:rsidP="008D5517">
      <w:pPr>
        <w:pStyle w:val="ListParagraph"/>
        <w:numPr>
          <w:ilvl w:val="0"/>
          <w:numId w:val="6"/>
        </w:numPr>
      </w:pPr>
      <w:r>
        <w:t>Pend enrollment</w:t>
      </w:r>
      <w:r w:rsidR="00F1392D">
        <w:t>s</w:t>
      </w:r>
    </w:p>
    <w:p w:rsidR="00291B96" w:rsidRDefault="00291B96" w:rsidP="008D516F">
      <w:pPr>
        <w:pStyle w:val="ListParagraph"/>
        <w:numPr>
          <w:ilvl w:val="0"/>
          <w:numId w:val="1"/>
        </w:numPr>
      </w:pPr>
      <w:r>
        <w:t>HR user restrictions</w:t>
      </w:r>
    </w:p>
    <w:p w:rsidR="008D5517" w:rsidRDefault="008D5517" w:rsidP="00E437CC">
      <w:r w:rsidRPr="00291B96">
        <w:rPr>
          <w:b/>
        </w:rPr>
        <w:t>Benefit administration best practices:</w:t>
      </w:r>
      <w:r>
        <w:t xml:space="preserve">  All carrier</w:t>
      </w:r>
      <w:r w:rsidR="00291B96">
        <w:t>s</w:t>
      </w:r>
      <w:r>
        <w:t xml:space="preserve"> are required to accept HIPAA feeds, but that does not mean they do it well and benefit systems are not perfect.  HR can reduce the administrative errors by making a few administrative changes:</w:t>
      </w:r>
    </w:p>
    <w:p w:rsidR="008D5517" w:rsidRDefault="008D5517" w:rsidP="008D5517">
      <w:pPr>
        <w:pStyle w:val="ListParagraph"/>
        <w:numPr>
          <w:ilvl w:val="0"/>
          <w:numId w:val="18"/>
        </w:numPr>
      </w:pPr>
      <w:r>
        <w:t>Have benefit</w:t>
      </w:r>
      <w:r w:rsidR="00F1392D">
        <w:t>s</w:t>
      </w:r>
      <w:r>
        <w:t xml:space="preserve"> begin on the 1</w:t>
      </w:r>
      <w:r w:rsidRPr="008D5517">
        <w:rPr>
          <w:vertAlign w:val="superscript"/>
        </w:rPr>
        <w:t>st</w:t>
      </w:r>
      <w:r>
        <w:t xml:space="preserve"> of the month rather than date of hire</w:t>
      </w:r>
    </w:p>
    <w:p w:rsidR="008827B6" w:rsidRDefault="008D5517" w:rsidP="00291B96">
      <w:pPr>
        <w:pStyle w:val="ListParagraph"/>
        <w:numPr>
          <w:ilvl w:val="0"/>
          <w:numId w:val="18"/>
        </w:numPr>
      </w:pPr>
      <w:r>
        <w:t xml:space="preserve">Convert to self-billing for </w:t>
      </w:r>
      <w:r w:rsidR="00291B96">
        <w:t>ancillary</w:t>
      </w:r>
      <w:r>
        <w:t xml:space="preserve"> </w:t>
      </w:r>
      <w:r w:rsidR="00291B96">
        <w:t>coverage</w:t>
      </w:r>
    </w:p>
    <w:sectPr w:rsidR="008827B6" w:rsidSect="00D8141D">
      <w:type w:val="continuous"/>
      <w:pgSz w:w="12240" w:h="15840"/>
      <w:pgMar w:top="1440" w:right="1440" w:bottom="1296" w:left="1440" w:header="1440" w:footer="57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4C7" w:rsidRDefault="009254C7" w:rsidP="004B7AB1">
      <w:pPr>
        <w:spacing w:after="0" w:line="240" w:lineRule="auto"/>
      </w:pPr>
      <w:r>
        <w:separator/>
      </w:r>
    </w:p>
  </w:endnote>
  <w:endnote w:type="continuationSeparator" w:id="0">
    <w:p w:rsidR="009254C7" w:rsidRDefault="009254C7" w:rsidP="004B7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628" w:rsidRDefault="00F21628" w:rsidP="00F21628">
    <w:pPr>
      <w:jc w:val="right"/>
    </w:pPr>
    <w:r>
      <w:rPr>
        <w:noProof/>
      </w:rPr>
      <w:t>Call for your login credentials</w:t>
    </w:r>
  </w:p>
  <w:p w:rsidR="00F21628" w:rsidRDefault="00F21628" w:rsidP="00A72A45">
    <w:pPr>
      <w:jc w:val="right"/>
      <w:rPr>
        <w:noProof/>
      </w:rPr>
    </w:pPr>
    <w:r>
      <w:rPr>
        <w:noProof/>
      </w:rPr>
      <w:t xml:space="preserve"> </w:t>
    </w:r>
    <w:r w:rsidR="00A72A45">
      <w:rPr>
        <w:noProof/>
      </w:rPr>
      <w:t>LifePlan Partners  (513) 281-5200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4C7" w:rsidRDefault="009254C7" w:rsidP="004B7AB1">
      <w:pPr>
        <w:spacing w:after="0" w:line="240" w:lineRule="auto"/>
      </w:pPr>
      <w:r>
        <w:separator/>
      </w:r>
    </w:p>
  </w:footnote>
  <w:footnote w:type="continuationSeparator" w:id="0">
    <w:p w:rsidR="009254C7" w:rsidRDefault="009254C7" w:rsidP="004B7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B1" w:rsidRDefault="004B7AB1">
    <w:pPr>
      <w:pStyle w:val="Header"/>
      <w:jc w:val="right"/>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3DBB6826" wp14:editId="3DBB6827">
              <wp:simplePos x="0" y="0"/>
              <wp:positionH relativeFrom="margin">
                <wp:align>center</wp:align>
              </wp:positionH>
              <wp:positionV relativeFrom="page">
                <wp:align>top</wp:align>
              </wp:positionV>
              <wp:extent cx="7839075" cy="1266825"/>
              <wp:effectExtent l="0" t="0" r="9525" b="9525"/>
              <wp:wrapNone/>
              <wp:docPr id="59" name="Rectangle 4"/>
              <wp:cNvGraphicFramePr/>
              <a:graphic xmlns:a="http://schemas.openxmlformats.org/drawingml/2006/main">
                <a:graphicData uri="http://schemas.microsoft.com/office/word/2010/wordprocessingShape">
                  <wps:wsp>
                    <wps:cNvSpPr/>
                    <wps:spPr>
                      <a:xfrm>
                        <a:off x="0" y="0"/>
                        <a:ext cx="7839075" cy="12668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1628" w:rsidRPr="00F21628" w:rsidRDefault="006B73C9" w:rsidP="00F21628">
                          <w:pPr>
                            <w:rPr>
                              <w:b/>
                              <w:sz w:val="28"/>
                            </w:rPr>
                          </w:pPr>
                          <w:r>
                            <w:rPr>
                              <w:b/>
                              <w:sz w:val="28"/>
                            </w:rPr>
                            <w:t xml:space="preserve">    </w:t>
                          </w:r>
                          <w:r w:rsidR="00F21628" w:rsidRPr="00F21628">
                            <w:rPr>
                              <w:b/>
                              <w:sz w:val="28"/>
                            </w:rPr>
                            <w:t>HR in Hand</w:t>
                          </w:r>
                          <w:r w:rsidR="00A72A45">
                            <w:rPr>
                              <w:rFonts w:ascii="Calibri" w:hAnsi="Calibri"/>
                              <w:b/>
                              <w:bCs/>
                              <w:noProof/>
                              <w:sz w:val="20"/>
                              <w:szCs w:val="20"/>
                            </w:rPr>
                            <w:ptab w:relativeTo="margin" w:alignment="right" w:leader="none"/>
                          </w:r>
                          <w:r w:rsidR="00A72A45">
                            <w:rPr>
                              <w:rFonts w:ascii="Calibri" w:hAnsi="Calibri"/>
                              <w:b/>
                              <w:bCs/>
                              <w:noProof/>
                              <w:sz w:val="20"/>
                              <w:szCs w:val="20"/>
                            </w:rPr>
                            <w:drawing>
                              <wp:inline distT="0" distB="0" distL="0" distR="0">
                                <wp:extent cx="2615565" cy="520700"/>
                                <wp:effectExtent l="0" t="0" r="0" b="0"/>
                                <wp:docPr id="1" name="Picture 1" descr="LPP-Logo%20(2)%20(275x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P-Logo%20(2)%20(275x5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15565" cy="520700"/>
                                        </a:xfrm>
                                        <a:prstGeom prst="rect">
                                          <a:avLst/>
                                        </a:prstGeom>
                                        <a:noFill/>
                                        <a:ln>
                                          <a:noFill/>
                                        </a:ln>
                                      </pic:spPr>
                                    </pic:pic>
                                  </a:graphicData>
                                </a:graphic>
                              </wp:inline>
                            </w:drawing>
                          </w:r>
                        </w:p>
                        <w:p w:rsidR="00DC290B" w:rsidRDefault="006B73C9" w:rsidP="00F21628">
                          <w:r>
                            <w:rPr>
                              <w:b/>
                              <w:sz w:val="28"/>
                            </w:rPr>
                            <w:t xml:space="preserve">    </w:t>
                          </w:r>
                          <w:r w:rsidR="00F21628" w:rsidRPr="00F21628">
                            <w:rPr>
                              <w:b/>
                              <w:sz w:val="28"/>
                            </w:rPr>
                            <w:t>System Overview</w:t>
                          </w:r>
                        </w:p>
                      </w:txbxContent>
                    </wps:txbx>
                    <wps:bodyPr rtlCol="0" anchor="ctr">
                      <a:noAutofit/>
                    </wps:bodyPr>
                  </wps:wsp>
                </a:graphicData>
              </a:graphic>
              <wp14:sizeRelH relativeFrom="margin">
                <wp14:pctWidth>0</wp14:pctWidth>
              </wp14:sizeRelH>
              <wp14:sizeRelV relativeFrom="topMargin">
                <wp14:pctHeight>0</wp14:pctHeight>
              </wp14:sizeRelV>
            </wp:anchor>
          </w:drawing>
        </mc:Choice>
        <mc:Fallback>
          <w:pict>
            <v:rect id="Rectangle 4" o:spid="_x0000_s1026" style="position:absolute;left:0;text-align:left;margin-left:0;margin-top:0;width:617.25pt;height:99.7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" fillcolor="#4f81bd [3204]" stroked="f" strokeweight="2pt">
              <v:textbox>
                <w:txbxContent>
                  <w:p w:rsidR="00F21628" w:rsidRPr="00F21628" w:rsidRDefault="006B73C9" w:rsidP="00F21628">
                    <w:pPr>
                      <w:rPr>
                        <w:b/>
                        <w:sz w:val="28"/>
                      </w:rPr>
                    </w:pPr>
                    <w:r>
                      <w:rPr>
                        <w:b/>
                        <w:sz w:val="28"/>
                      </w:rPr>
                      <w:t xml:space="preserve">    </w:t>
                    </w:r>
                    <w:r w:rsidR="00F21628" w:rsidRPr="00F21628">
                      <w:rPr>
                        <w:b/>
                        <w:sz w:val="28"/>
                      </w:rPr>
                      <w:t>HR in Hand</w:t>
                    </w:r>
                    <w:r w:rsidR="00A72A45">
                      <w:rPr>
                        <w:rFonts w:ascii="Calibri" w:hAnsi="Calibri"/>
                        <w:b/>
                        <w:bCs/>
                        <w:noProof/>
                        <w:sz w:val="20"/>
                        <w:szCs w:val="20"/>
                      </w:rPr>
                      <w:ptab w:relativeTo="margin" w:alignment="right" w:leader="none"/>
                    </w:r>
                    <w:r w:rsidR="00A72A45">
                      <w:rPr>
                        <w:rFonts w:ascii="Calibri" w:hAnsi="Calibri"/>
                        <w:b/>
                        <w:bCs/>
                        <w:noProof/>
                        <w:sz w:val="20"/>
                        <w:szCs w:val="20"/>
                      </w:rPr>
                      <w:drawing>
                        <wp:inline distT="0" distB="0" distL="0" distR="0">
                          <wp:extent cx="2615565" cy="520700"/>
                          <wp:effectExtent l="0" t="0" r="0" b="0"/>
                          <wp:docPr id="1" name="Picture 1" descr="LPP-Logo%20(2)%20(275x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P-Logo%20(2)%20(275x55)"/>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615565" cy="520700"/>
                                  </a:xfrm>
                                  <a:prstGeom prst="rect">
                                    <a:avLst/>
                                  </a:prstGeom>
                                  <a:noFill/>
                                  <a:ln>
                                    <a:noFill/>
                                  </a:ln>
                                </pic:spPr>
                              </pic:pic>
                            </a:graphicData>
                          </a:graphic>
                        </wp:inline>
                      </w:drawing>
                    </w:r>
                  </w:p>
                  <w:p w:rsidR="00DC290B" w:rsidRDefault="006B73C9" w:rsidP="00F21628">
                    <w:r>
                      <w:rPr>
                        <w:b/>
                        <w:sz w:val="28"/>
                      </w:rPr>
                      <w:t xml:space="preserve">    </w:t>
                    </w:r>
                    <w:r w:rsidR="00F21628" w:rsidRPr="00F21628">
                      <w:rPr>
                        <w:b/>
                        <w:sz w:val="28"/>
                      </w:rPr>
                      <w:t>System Overview</w:t>
                    </w:r>
                  </w:p>
                </w:txbxContent>
              </v:textbox>
              <w10:wrap anchorx="margin" anchory="page"/>
            </v:rect>
          </w:pict>
        </mc:Fallback>
      </mc:AlternateContent>
    </w:r>
  </w:p>
  <w:p w:rsidR="004B7AB1" w:rsidRDefault="004B7A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0C7D"/>
    <w:multiLevelType w:val="hybridMultilevel"/>
    <w:tmpl w:val="8DC67D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73E9B"/>
    <w:multiLevelType w:val="hybridMultilevel"/>
    <w:tmpl w:val="877410A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3C1898"/>
    <w:multiLevelType w:val="hybridMultilevel"/>
    <w:tmpl w:val="7E9ED88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781DFF"/>
    <w:multiLevelType w:val="hybridMultilevel"/>
    <w:tmpl w:val="CFFC87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DE7FEA"/>
    <w:multiLevelType w:val="hybridMultilevel"/>
    <w:tmpl w:val="0F4EA3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FF50C5"/>
    <w:multiLevelType w:val="hybridMultilevel"/>
    <w:tmpl w:val="C108D1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B10D6"/>
    <w:multiLevelType w:val="hybridMultilevel"/>
    <w:tmpl w:val="8EB6626E"/>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6D36C53"/>
    <w:multiLevelType w:val="hybridMultilevel"/>
    <w:tmpl w:val="089A4B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6259F2"/>
    <w:multiLevelType w:val="hybridMultilevel"/>
    <w:tmpl w:val="B98CCDF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C7F172E"/>
    <w:multiLevelType w:val="hybridMultilevel"/>
    <w:tmpl w:val="CC8A5E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3C2167"/>
    <w:multiLevelType w:val="hybridMultilevel"/>
    <w:tmpl w:val="46B6429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B272DC2"/>
    <w:multiLevelType w:val="hybridMultilevel"/>
    <w:tmpl w:val="B29A2D5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D6064BF"/>
    <w:multiLevelType w:val="hybridMultilevel"/>
    <w:tmpl w:val="8594E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18726D"/>
    <w:multiLevelType w:val="hybridMultilevel"/>
    <w:tmpl w:val="15247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D14034"/>
    <w:multiLevelType w:val="hybridMultilevel"/>
    <w:tmpl w:val="8C806C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BE1716A"/>
    <w:multiLevelType w:val="hybridMultilevel"/>
    <w:tmpl w:val="907201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34771F"/>
    <w:multiLevelType w:val="hybridMultilevel"/>
    <w:tmpl w:val="48EE54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D50B5C"/>
    <w:multiLevelType w:val="hybridMultilevel"/>
    <w:tmpl w:val="FE50F1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5"/>
  </w:num>
  <w:num w:numId="4">
    <w:abstractNumId w:val="5"/>
  </w:num>
  <w:num w:numId="5">
    <w:abstractNumId w:val="16"/>
  </w:num>
  <w:num w:numId="6">
    <w:abstractNumId w:val="2"/>
  </w:num>
  <w:num w:numId="7">
    <w:abstractNumId w:val="13"/>
  </w:num>
  <w:num w:numId="8">
    <w:abstractNumId w:val="14"/>
  </w:num>
  <w:num w:numId="9">
    <w:abstractNumId w:val="7"/>
  </w:num>
  <w:num w:numId="10">
    <w:abstractNumId w:val="12"/>
  </w:num>
  <w:num w:numId="11">
    <w:abstractNumId w:val="4"/>
  </w:num>
  <w:num w:numId="12">
    <w:abstractNumId w:val="0"/>
  </w:num>
  <w:num w:numId="13">
    <w:abstractNumId w:val="9"/>
  </w:num>
  <w:num w:numId="14">
    <w:abstractNumId w:val="17"/>
  </w:num>
  <w:num w:numId="15">
    <w:abstractNumId w:val="3"/>
  </w:num>
  <w:num w:numId="16">
    <w:abstractNumId w:val="6"/>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612"/>
    <w:rsid w:val="0000677C"/>
    <w:rsid w:val="000435D4"/>
    <w:rsid w:val="000D3EFB"/>
    <w:rsid w:val="000D58AC"/>
    <w:rsid w:val="000F3605"/>
    <w:rsid w:val="000F74D2"/>
    <w:rsid w:val="0017767B"/>
    <w:rsid w:val="001C5356"/>
    <w:rsid w:val="00245A46"/>
    <w:rsid w:val="002604A0"/>
    <w:rsid w:val="00291B96"/>
    <w:rsid w:val="002A6068"/>
    <w:rsid w:val="002B046D"/>
    <w:rsid w:val="00476B6C"/>
    <w:rsid w:val="00495F94"/>
    <w:rsid w:val="004B7AB1"/>
    <w:rsid w:val="00515A2E"/>
    <w:rsid w:val="00546745"/>
    <w:rsid w:val="005715C1"/>
    <w:rsid w:val="00637FED"/>
    <w:rsid w:val="00665FF1"/>
    <w:rsid w:val="006753E3"/>
    <w:rsid w:val="006B73C9"/>
    <w:rsid w:val="00771EA7"/>
    <w:rsid w:val="007B4372"/>
    <w:rsid w:val="007F54F0"/>
    <w:rsid w:val="008444D2"/>
    <w:rsid w:val="008827B6"/>
    <w:rsid w:val="008B0108"/>
    <w:rsid w:val="008D516F"/>
    <w:rsid w:val="008D5517"/>
    <w:rsid w:val="009254C7"/>
    <w:rsid w:val="009753B0"/>
    <w:rsid w:val="009A4C6A"/>
    <w:rsid w:val="009F50F8"/>
    <w:rsid w:val="00A44752"/>
    <w:rsid w:val="00A72A45"/>
    <w:rsid w:val="00AB22DB"/>
    <w:rsid w:val="00AB5DA2"/>
    <w:rsid w:val="00B45B72"/>
    <w:rsid w:val="00B9148B"/>
    <w:rsid w:val="00BC2003"/>
    <w:rsid w:val="00C469D5"/>
    <w:rsid w:val="00C72B8E"/>
    <w:rsid w:val="00CA4641"/>
    <w:rsid w:val="00CD5641"/>
    <w:rsid w:val="00D50612"/>
    <w:rsid w:val="00D8141D"/>
    <w:rsid w:val="00DB1C50"/>
    <w:rsid w:val="00DC290B"/>
    <w:rsid w:val="00DD130C"/>
    <w:rsid w:val="00DF20C9"/>
    <w:rsid w:val="00E22135"/>
    <w:rsid w:val="00E437CC"/>
    <w:rsid w:val="00ED15E7"/>
    <w:rsid w:val="00F1392D"/>
    <w:rsid w:val="00F21628"/>
    <w:rsid w:val="00F22300"/>
    <w:rsid w:val="00F41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612"/>
    <w:rPr>
      <w:rFonts w:ascii="Tahoma" w:hAnsi="Tahoma" w:cs="Tahoma"/>
      <w:sz w:val="16"/>
      <w:szCs w:val="16"/>
    </w:rPr>
  </w:style>
  <w:style w:type="paragraph" w:styleId="ListParagraph">
    <w:name w:val="List Paragraph"/>
    <w:basedOn w:val="Normal"/>
    <w:uiPriority w:val="34"/>
    <w:qFormat/>
    <w:rsid w:val="00D50612"/>
    <w:pPr>
      <w:ind w:left="720"/>
      <w:contextualSpacing/>
    </w:pPr>
  </w:style>
  <w:style w:type="character" w:styleId="Hyperlink">
    <w:name w:val="Hyperlink"/>
    <w:basedOn w:val="DefaultParagraphFont"/>
    <w:uiPriority w:val="99"/>
    <w:unhideWhenUsed/>
    <w:rsid w:val="001C5356"/>
    <w:rPr>
      <w:color w:val="0000FF" w:themeColor="hyperlink"/>
      <w:u w:val="single"/>
    </w:rPr>
  </w:style>
  <w:style w:type="character" w:styleId="FollowedHyperlink">
    <w:name w:val="FollowedHyperlink"/>
    <w:basedOn w:val="DefaultParagraphFont"/>
    <w:uiPriority w:val="99"/>
    <w:semiHidden/>
    <w:unhideWhenUsed/>
    <w:rsid w:val="00546745"/>
    <w:rPr>
      <w:color w:val="800080" w:themeColor="followedHyperlink"/>
      <w:u w:val="single"/>
    </w:rPr>
  </w:style>
  <w:style w:type="paragraph" w:styleId="Header">
    <w:name w:val="header"/>
    <w:basedOn w:val="Normal"/>
    <w:link w:val="HeaderChar"/>
    <w:uiPriority w:val="99"/>
    <w:unhideWhenUsed/>
    <w:rsid w:val="004B7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AB1"/>
  </w:style>
  <w:style w:type="paragraph" w:styleId="Footer">
    <w:name w:val="footer"/>
    <w:basedOn w:val="Normal"/>
    <w:link w:val="FooterChar"/>
    <w:uiPriority w:val="99"/>
    <w:unhideWhenUsed/>
    <w:rsid w:val="004B7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A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612"/>
    <w:rPr>
      <w:rFonts w:ascii="Tahoma" w:hAnsi="Tahoma" w:cs="Tahoma"/>
      <w:sz w:val="16"/>
      <w:szCs w:val="16"/>
    </w:rPr>
  </w:style>
  <w:style w:type="paragraph" w:styleId="ListParagraph">
    <w:name w:val="List Paragraph"/>
    <w:basedOn w:val="Normal"/>
    <w:uiPriority w:val="34"/>
    <w:qFormat/>
    <w:rsid w:val="00D50612"/>
    <w:pPr>
      <w:ind w:left="720"/>
      <w:contextualSpacing/>
    </w:pPr>
  </w:style>
  <w:style w:type="character" w:styleId="Hyperlink">
    <w:name w:val="Hyperlink"/>
    <w:basedOn w:val="DefaultParagraphFont"/>
    <w:uiPriority w:val="99"/>
    <w:unhideWhenUsed/>
    <w:rsid w:val="001C5356"/>
    <w:rPr>
      <w:color w:val="0000FF" w:themeColor="hyperlink"/>
      <w:u w:val="single"/>
    </w:rPr>
  </w:style>
  <w:style w:type="character" w:styleId="FollowedHyperlink">
    <w:name w:val="FollowedHyperlink"/>
    <w:basedOn w:val="DefaultParagraphFont"/>
    <w:uiPriority w:val="99"/>
    <w:semiHidden/>
    <w:unhideWhenUsed/>
    <w:rsid w:val="00546745"/>
    <w:rPr>
      <w:color w:val="800080" w:themeColor="followedHyperlink"/>
      <w:u w:val="single"/>
    </w:rPr>
  </w:style>
  <w:style w:type="paragraph" w:styleId="Header">
    <w:name w:val="header"/>
    <w:basedOn w:val="Normal"/>
    <w:link w:val="HeaderChar"/>
    <w:uiPriority w:val="99"/>
    <w:unhideWhenUsed/>
    <w:rsid w:val="004B7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AB1"/>
  </w:style>
  <w:style w:type="paragraph" w:styleId="Footer">
    <w:name w:val="footer"/>
    <w:basedOn w:val="Normal"/>
    <w:link w:val="FooterChar"/>
    <w:uiPriority w:val="99"/>
    <w:unhideWhenUsed/>
    <w:rsid w:val="004B7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cid:image002.jpg@01CE8DED.0D593A00" TargetMode="External"/><Relationship Id="rId1" Type="http://schemas.openxmlformats.org/officeDocument/2006/relationships/image" Target="media/image2.jpeg"/><Relationship Id="rId4" Type="http://schemas.openxmlformats.org/officeDocument/2006/relationships/image" Target="cid:image002.jpg@01CE8DED.0D593A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F531542F34594D8C0B2841B96B8D16" ma:contentTypeVersion="0" ma:contentTypeDescription="Create a new document." ma:contentTypeScope="" ma:versionID="58021412bc5c5aa73593b001d4782d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E8167-27B2-4E63-9E8F-323E3D6989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7B0C6B-58A5-48AD-BCAA-1CCF8C564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A3080F-3CCD-40ED-80BF-87CA958E0AF9}">
  <ds:schemaRefs>
    <ds:schemaRef ds:uri="http://schemas.microsoft.com/sharepoint/v3/contenttype/forms"/>
  </ds:schemaRefs>
</ds:datastoreItem>
</file>

<file path=customXml/itemProps4.xml><?xml version="1.0" encoding="utf-8"?>
<ds:datastoreItem xmlns:ds="http://schemas.openxmlformats.org/officeDocument/2006/customXml" ds:itemID="{D584D8D2-E50B-42DC-ADBB-46A187980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Reese</dc:creator>
  <cp:lastModifiedBy>Richard Harper</cp:lastModifiedBy>
  <cp:revision>2</cp:revision>
  <cp:lastPrinted>2013-01-22T22:36:00Z</cp:lastPrinted>
  <dcterms:created xsi:type="dcterms:W3CDTF">2013-08-01T21:19:00Z</dcterms:created>
  <dcterms:modified xsi:type="dcterms:W3CDTF">2013-08-01T21:19:00Z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0x010100DBF531542F34594D8C0B2841B96B8D16</vt:lpwstr>
  </property>
</Properties>
</file>