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9A09B" w14:textId="5E1D415F" w:rsidR="007F618C" w:rsidRPr="00022208" w:rsidRDefault="00920E58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hAnsi="Garamond"/>
          <w:sz w:val="28"/>
          <w:szCs w:val="28"/>
        </w:rPr>
        <w:t>Better than last quarter</w:t>
      </w:r>
      <w:r w:rsidR="000B1B9E" w:rsidRPr="00022208">
        <w:rPr>
          <w:rFonts w:ascii="Garamond" w:hAnsi="Garamond"/>
          <w:sz w:val="28"/>
          <w:szCs w:val="28"/>
        </w:rPr>
        <w:t>!</w:t>
      </w:r>
      <w:r w:rsidRPr="00022208">
        <w:rPr>
          <w:rFonts w:ascii="Garamond" w:hAnsi="Garamond"/>
          <w:sz w:val="28"/>
          <w:szCs w:val="28"/>
        </w:rPr>
        <w:t xml:space="preserve">  The DJIA was up </w:t>
      </w:r>
      <w:r w:rsidR="000B1B9E" w:rsidRPr="00022208">
        <w:rPr>
          <w:rFonts w:ascii="Garamond" w:hAnsi="Garamond"/>
          <w:sz w:val="28"/>
          <w:szCs w:val="28"/>
        </w:rPr>
        <w:t>+</w:t>
      </w:r>
      <w:r w:rsidRPr="00022208">
        <w:rPr>
          <w:rFonts w:ascii="Garamond" w:hAnsi="Garamond"/>
          <w:sz w:val="28"/>
          <w:szCs w:val="28"/>
        </w:rPr>
        <w:t xml:space="preserve">1.3% and the S&amp;P 500 was up </w:t>
      </w:r>
      <w:r w:rsidR="000B1B9E" w:rsidRPr="00022208">
        <w:rPr>
          <w:rFonts w:ascii="Garamond" w:hAnsi="Garamond"/>
          <w:sz w:val="28"/>
          <w:szCs w:val="28"/>
        </w:rPr>
        <w:t>+</w:t>
      </w:r>
      <w:r w:rsidRPr="00022208">
        <w:rPr>
          <w:rFonts w:ascii="Garamond" w:hAnsi="Garamond"/>
          <w:sz w:val="28"/>
          <w:szCs w:val="28"/>
        </w:rPr>
        <w:t xml:space="preserve">3.4%.  The NASDAQ was up a healthy </w:t>
      </w:r>
      <w:r w:rsidR="000B1B9E" w:rsidRPr="00022208">
        <w:rPr>
          <w:rFonts w:ascii="Garamond" w:hAnsi="Garamond"/>
          <w:sz w:val="28"/>
          <w:szCs w:val="28"/>
        </w:rPr>
        <w:t>+</w:t>
      </w:r>
      <w:r w:rsidRPr="00022208">
        <w:rPr>
          <w:rFonts w:ascii="Garamond" w:hAnsi="Garamond"/>
          <w:sz w:val="28"/>
          <w:szCs w:val="28"/>
        </w:rPr>
        <w:t xml:space="preserve">6.6% reflecting strong small company </w:t>
      </w:r>
      <w:r w:rsidR="005858EB" w:rsidRPr="00022208">
        <w:rPr>
          <w:rFonts w:ascii="Garamond" w:hAnsi="Garamond"/>
          <w:sz w:val="28"/>
          <w:szCs w:val="28"/>
        </w:rPr>
        <w:t>performance</w:t>
      </w:r>
      <w:r w:rsidR="000B1B9E" w:rsidRPr="00022208">
        <w:rPr>
          <w:rFonts w:ascii="Garamond" w:hAnsi="Garamond"/>
          <w:sz w:val="28"/>
          <w:szCs w:val="28"/>
        </w:rPr>
        <w:t xml:space="preserve"> (less susceptibility to trade wars)</w:t>
      </w:r>
      <w:r w:rsidR="005858EB" w:rsidRPr="00022208">
        <w:rPr>
          <w:rFonts w:ascii="Garamond" w:hAnsi="Garamond"/>
          <w:sz w:val="28"/>
          <w:szCs w:val="28"/>
        </w:rPr>
        <w:t xml:space="preserve">.  Despite positive results for the indices, significant volatility is still around.  The bond markets were relatively stable </w:t>
      </w:r>
      <w:r w:rsidR="004C6A13" w:rsidRPr="00022208">
        <w:rPr>
          <w:rFonts w:ascii="Garamond" w:hAnsi="Garamond"/>
          <w:sz w:val="28"/>
          <w:szCs w:val="28"/>
        </w:rPr>
        <w:t xml:space="preserve">(the Barclay’s Aggregate Bond Index was down .2% for the quarter) </w:t>
      </w:r>
      <w:r w:rsidR="005858EB" w:rsidRPr="00022208">
        <w:rPr>
          <w:rFonts w:ascii="Garamond" w:hAnsi="Garamond"/>
          <w:sz w:val="28"/>
          <w:szCs w:val="28"/>
        </w:rPr>
        <w:t xml:space="preserve">although </w:t>
      </w:r>
      <w:r w:rsidR="000B1B9E" w:rsidRPr="00022208">
        <w:rPr>
          <w:rFonts w:ascii="Garamond" w:hAnsi="Garamond"/>
          <w:sz w:val="28"/>
          <w:szCs w:val="28"/>
        </w:rPr>
        <w:t>an</w:t>
      </w:r>
      <w:r w:rsidR="005858EB" w:rsidRPr="00022208">
        <w:rPr>
          <w:rFonts w:ascii="Garamond" w:hAnsi="Garamond"/>
          <w:sz w:val="28"/>
          <w:szCs w:val="28"/>
        </w:rPr>
        <w:t xml:space="preserve"> additional ¼ point interest rate increase took place in June.</w:t>
      </w:r>
    </w:p>
    <w:p w14:paraId="09C27ED2" w14:textId="0588021A" w:rsidR="00C76F92" w:rsidRPr="00022208" w:rsidRDefault="00C76F92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2914B426" w14:textId="3C7CDD4A" w:rsidR="00C76F92" w:rsidRPr="00022208" w:rsidRDefault="00C76F92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hAnsi="Garamond"/>
          <w:sz w:val="28"/>
          <w:szCs w:val="28"/>
        </w:rPr>
        <w:t xml:space="preserve">The economy is in good shape. </w:t>
      </w:r>
      <w:r w:rsidR="008A0AFA" w:rsidRPr="00022208">
        <w:rPr>
          <w:rFonts w:ascii="Garamond" w:hAnsi="Garamond"/>
          <w:sz w:val="28"/>
          <w:szCs w:val="28"/>
        </w:rPr>
        <w:t xml:space="preserve">Leading economic </w:t>
      </w:r>
      <w:r w:rsidR="006F599B" w:rsidRPr="00022208">
        <w:rPr>
          <w:rFonts w:ascii="Garamond" w:hAnsi="Garamond"/>
          <w:sz w:val="28"/>
          <w:szCs w:val="28"/>
        </w:rPr>
        <w:t>indicators remain positive and t</w:t>
      </w:r>
      <w:r w:rsidRPr="00022208">
        <w:rPr>
          <w:rFonts w:ascii="Garamond" w:hAnsi="Garamond"/>
          <w:sz w:val="28"/>
          <w:szCs w:val="28"/>
        </w:rPr>
        <w:t>he unemployment rate is lower than it has been in quite a</w:t>
      </w:r>
      <w:r w:rsidR="00E05E66" w:rsidRPr="00022208">
        <w:rPr>
          <w:rFonts w:ascii="Garamond" w:hAnsi="Garamond"/>
          <w:sz w:val="28"/>
          <w:szCs w:val="28"/>
        </w:rPr>
        <w:t xml:space="preserve"> </w:t>
      </w:r>
      <w:r w:rsidRPr="00022208">
        <w:rPr>
          <w:rFonts w:ascii="Garamond" w:hAnsi="Garamond"/>
          <w:sz w:val="28"/>
          <w:szCs w:val="28"/>
        </w:rPr>
        <w:t>while.  The number of unemployed workers is dropping (there are shortages in some areas) and wages are slowly rising.  A good indication of economic d</w:t>
      </w:r>
      <w:r w:rsidR="006F599B" w:rsidRPr="00022208">
        <w:rPr>
          <w:rFonts w:ascii="Garamond" w:hAnsi="Garamond"/>
          <w:sz w:val="28"/>
          <w:szCs w:val="28"/>
        </w:rPr>
        <w:t>irection is corporate earnings and</w:t>
      </w:r>
      <w:r w:rsidRPr="00022208">
        <w:rPr>
          <w:rFonts w:ascii="Garamond" w:hAnsi="Garamond"/>
          <w:sz w:val="28"/>
          <w:szCs w:val="28"/>
        </w:rPr>
        <w:t xml:space="preserve"> 2</w:t>
      </w:r>
      <w:r w:rsidRPr="00022208">
        <w:rPr>
          <w:rFonts w:ascii="Garamond" w:hAnsi="Garamond"/>
          <w:sz w:val="28"/>
          <w:szCs w:val="28"/>
          <w:vertAlign w:val="superscript"/>
        </w:rPr>
        <w:t>nd</w:t>
      </w:r>
      <w:r w:rsidRPr="00022208">
        <w:rPr>
          <w:rFonts w:ascii="Garamond" w:hAnsi="Garamond"/>
          <w:sz w:val="28"/>
          <w:szCs w:val="28"/>
        </w:rPr>
        <w:t xml:space="preserve"> quarter data will begin to come out in the next few weeks.  A couple of things to watch:  the impact of recently imposed tariffs is uncertain (at least in the short term); and the effect of the Federal Reserve rate increases.  In June, the Fed announced the 7</w:t>
      </w:r>
      <w:r w:rsidRPr="00022208">
        <w:rPr>
          <w:rFonts w:ascii="Garamond" w:hAnsi="Garamond"/>
          <w:sz w:val="28"/>
          <w:szCs w:val="28"/>
          <w:vertAlign w:val="superscript"/>
        </w:rPr>
        <w:t>th</w:t>
      </w:r>
      <w:r w:rsidRPr="00022208">
        <w:rPr>
          <w:rFonts w:ascii="Garamond" w:hAnsi="Garamond"/>
          <w:sz w:val="28"/>
          <w:szCs w:val="28"/>
        </w:rPr>
        <w:t xml:space="preserve"> interest rate increase since 2015 and signaled that two more rate hikes are likely this year.  The concern is inflation and its control.  </w:t>
      </w:r>
    </w:p>
    <w:p w14:paraId="75615986" w14:textId="32B45EB8" w:rsidR="00337855" w:rsidRPr="00022208" w:rsidRDefault="00337855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4CA28831" w14:textId="61087658" w:rsidR="00337855" w:rsidRPr="00022208" w:rsidRDefault="00337855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hAnsi="Garamond"/>
          <w:sz w:val="28"/>
          <w:szCs w:val="28"/>
        </w:rPr>
        <w:t>International markets did not</w:t>
      </w:r>
      <w:r w:rsidR="002D17BE" w:rsidRPr="00022208">
        <w:rPr>
          <w:rFonts w:ascii="Garamond" w:hAnsi="Garamond"/>
          <w:sz w:val="28"/>
          <w:szCs w:val="28"/>
        </w:rPr>
        <w:t xml:space="preserve"> </w:t>
      </w:r>
      <w:r w:rsidRPr="00022208">
        <w:rPr>
          <w:rFonts w:ascii="Garamond" w:hAnsi="Garamond"/>
          <w:sz w:val="28"/>
          <w:szCs w:val="28"/>
        </w:rPr>
        <w:t>have a good quarter.  All the major averages were down.  Lat</w:t>
      </w:r>
      <w:r w:rsidR="006520A4" w:rsidRPr="00022208">
        <w:rPr>
          <w:rFonts w:ascii="Garamond" w:hAnsi="Garamond"/>
          <w:sz w:val="28"/>
          <w:szCs w:val="28"/>
        </w:rPr>
        <w:t>in America led the way down -22.4</w:t>
      </w:r>
      <w:r w:rsidRPr="00022208">
        <w:rPr>
          <w:rFonts w:ascii="Garamond" w:hAnsi="Garamond"/>
          <w:sz w:val="28"/>
          <w:szCs w:val="28"/>
        </w:rPr>
        <w:t>%, China was down -5.5%.  The escalating trade war is putting pressure on market</w:t>
      </w:r>
      <w:r w:rsidR="006520A4" w:rsidRPr="00022208">
        <w:rPr>
          <w:rFonts w:ascii="Garamond" w:hAnsi="Garamond"/>
          <w:sz w:val="28"/>
          <w:szCs w:val="28"/>
        </w:rPr>
        <w:t>s</w:t>
      </w:r>
      <w:r w:rsidRPr="00022208">
        <w:rPr>
          <w:rFonts w:ascii="Garamond" w:hAnsi="Garamond"/>
          <w:sz w:val="28"/>
          <w:szCs w:val="28"/>
        </w:rPr>
        <w:t xml:space="preserve"> globally, however, the impact has not yet </w:t>
      </w:r>
      <w:r w:rsidR="002D17BE" w:rsidRPr="00022208">
        <w:rPr>
          <w:rFonts w:ascii="Garamond" w:hAnsi="Garamond"/>
          <w:sz w:val="28"/>
          <w:szCs w:val="28"/>
        </w:rPr>
        <w:t xml:space="preserve">fully </w:t>
      </w:r>
      <w:r w:rsidRPr="00022208">
        <w:rPr>
          <w:rFonts w:ascii="Garamond" w:hAnsi="Garamond"/>
          <w:sz w:val="28"/>
          <w:szCs w:val="28"/>
        </w:rPr>
        <w:t xml:space="preserve">appeared in financial data.  The North Korea </w:t>
      </w:r>
      <w:r w:rsidR="002D17BE" w:rsidRPr="00022208">
        <w:rPr>
          <w:rFonts w:ascii="Garamond" w:hAnsi="Garamond"/>
          <w:sz w:val="28"/>
          <w:szCs w:val="28"/>
        </w:rPr>
        <w:t>denuclearization</w:t>
      </w:r>
      <w:r w:rsidR="006520A4" w:rsidRPr="00022208">
        <w:rPr>
          <w:rFonts w:ascii="Garamond" w:hAnsi="Garamond"/>
          <w:sz w:val="28"/>
          <w:szCs w:val="28"/>
        </w:rPr>
        <w:t xml:space="preserve"> talks are continuing.  There</w:t>
      </w:r>
      <w:r w:rsidRPr="00022208">
        <w:rPr>
          <w:rFonts w:ascii="Garamond" w:hAnsi="Garamond"/>
          <w:sz w:val="28"/>
          <w:szCs w:val="28"/>
        </w:rPr>
        <w:t xml:space="preserve"> will be a summit meeting in July between President Trump and Russia’s Putin – at least they are talking.  Venezuela has failed, Iran is facing increasing unrest, Mexico has a new president who could be a problem for the U.S. and finally the </w:t>
      </w:r>
      <w:r w:rsidR="002D17BE" w:rsidRPr="00022208">
        <w:rPr>
          <w:rFonts w:ascii="Garamond" w:hAnsi="Garamond"/>
          <w:sz w:val="28"/>
          <w:szCs w:val="28"/>
        </w:rPr>
        <w:t>Mid-East</w:t>
      </w:r>
      <w:r w:rsidR="006520A4" w:rsidRPr="00022208">
        <w:rPr>
          <w:rFonts w:ascii="Garamond" w:hAnsi="Garamond"/>
          <w:sz w:val="28"/>
          <w:szCs w:val="28"/>
        </w:rPr>
        <w:t xml:space="preserve"> remains a hot spot</w:t>
      </w:r>
      <w:r w:rsidRPr="00022208">
        <w:rPr>
          <w:rFonts w:ascii="Garamond" w:hAnsi="Garamond"/>
          <w:sz w:val="28"/>
          <w:szCs w:val="28"/>
        </w:rPr>
        <w:t>!  Unfortunately, oil prices are rising, not good in the summer.</w:t>
      </w:r>
    </w:p>
    <w:p w14:paraId="230B19AC" w14:textId="77777777" w:rsidR="00022208" w:rsidRDefault="00022208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33733533" w14:textId="3A607F94" w:rsidR="00396214" w:rsidRPr="00022208" w:rsidRDefault="00396214" w:rsidP="00DF38EC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hAnsi="Garamond"/>
          <w:sz w:val="28"/>
          <w:szCs w:val="28"/>
        </w:rPr>
        <w:t>Market results are detailed below.</w:t>
      </w:r>
    </w:p>
    <w:p w14:paraId="49A9532E" w14:textId="77777777" w:rsidR="007F618C" w:rsidRPr="0034680B" w:rsidRDefault="007F618C" w:rsidP="00DF38EC">
      <w:pPr>
        <w:spacing w:after="280" w:line="240" w:lineRule="auto"/>
        <w:contextualSpacing/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5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1530"/>
        <w:gridCol w:w="1685"/>
        <w:gridCol w:w="1890"/>
        <w:gridCol w:w="1800"/>
      </w:tblGrid>
      <w:tr w:rsidR="0052480B" w:rsidRPr="0034680B" w14:paraId="59B22E04" w14:textId="77777777" w:rsidTr="00E6169B">
        <w:tc>
          <w:tcPr>
            <w:tcW w:w="2635" w:type="dxa"/>
          </w:tcPr>
          <w:p w14:paraId="7FE8F30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C08C9E" w14:textId="11EF26E9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/201</w:t>
            </w:r>
            <w:r w:rsidR="009005AD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14:paraId="43DF560D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69F50397" w14:textId="189459F6" w:rsidR="0052480B" w:rsidRPr="0034680B" w:rsidRDefault="00B47B0C" w:rsidP="006F40FD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/201</w:t>
            </w:r>
            <w:r w:rsidR="009005AD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7797B402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THREE YEARS Ending</w:t>
            </w:r>
          </w:p>
          <w:p w14:paraId="11E1B01C" w14:textId="4F61662F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337855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/201</w:t>
            </w:r>
            <w:r w:rsidR="009005AD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14:paraId="1A2DCD8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3A0F1" w14:textId="264BE820" w:rsidR="0052480B" w:rsidRPr="0034680B" w:rsidRDefault="00337855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/201</w:t>
            </w:r>
            <w:r w:rsidR="009005AD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8</w:t>
            </w:r>
          </w:p>
        </w:tc>
      </w:tr>
      <w:tr w:rsidR="0052480B" w:rsidRPr="0034680B" w14:paraId="2AA73FA9" w14:textId="77777777" w:rsidTr="00E6169B">
        <w:tc>
          <w:tcPr>
            <w:tcW w:w="2635" w:type="dxa"/>
          </w:tcPr>
          <w:p w14:paraId="239C41F2" w14:textId="77777777" w:rsidR="0052480B" w:rsidRPr="0034680B" w:rsidRDefault="001B21E4">
            <w:pPr>
              <w:pStyle w:val="Heading2"/>
              <w:outlineLvl w:val="1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530" w:type="dxa"/>
          </w:tcPr>
          <w:p w14:paraId="3C9AA95F" w14:textId="69E9D3DA" w:rsidR="0052480B" w:rsidRPr="0034680B" w:rsidRDefault="002D17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1.3</w:t>
            </w:r>
            <w:r w:rsidR="009005AD" w:rsidRPr="0034680B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14606DCB" w14:textId="095E4659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6.</w:t>
            </w:r>
            <w:r w:rsidR="000B1B9E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5260B4C6" w14:textId="5A8D86C5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4.1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6303FA53" w14:textId="53A6F4F1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13.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0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6DBABDC6" w14:textId="77777777" w:rsidTr="00E6169B">
        <w:tc>
          <w:tcPr>
            <w:tcW w:w="2635" w:type="dxa"/>
          </w:tcPr>
          <w:p w14:paraId="6D41F362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530" w:type="dxa"/>
          </w:tcPr>
          <w:p w14:paraId="1622F143" w14:textId="52F1131D" w:rsidR="0052480B" w:rsidRPr="0034680B" w:rsidRDefault="002D17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558E5827" w14:textId="4700DEE5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14.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50D8AE94" w14:textId="50693BC3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1.9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23AE3883" w14:textId="12CDA4EB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13.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4334F8B8" w14:textId="77777777" w:rsidTr="00E6169B">
        <w:tc>
          <w:tcPr>
            <w:tcW w:w="2635" w:type="dxa"/>
          </w:tcPr>
          <w:p w14:paraId="300F3A02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530" w:type="dxa"/>
          </w:tcPr>
          <w:p w14:paraId="533139EA" w14:textId="6939F7AC" w:rsidR="0052480B" w:rsidRPr="0034680B" w:rsidRDefault="002D17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2287A206" w14:textId="33BF7DA6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3.6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485F75C1" w14:textId="1D94FBA4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6.0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11354216" w14:textId="7F9C2407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18.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339636C" w14:textId="77777777" w:rsidTr="00E6169B">
        <w:tc>
          <w:tcPr>
            <w:tcW w:w="2635" w:type="dxa"/>
          </w:tcPr>
          <w:p w14:paraId="6236838F" w14:textId="37ECD930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Barclay </w:t>
            </w:r>
            <w:proofErr w:type="spellStart"/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Agg</w:t>
            </w:r>
            <w:proofErr w:type="spellEnd"/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530" w:type="dxa"/>
          </w:tcPr>
          <w:p w14:paraId="6061E12F" w14:textId="483761E6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0.2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685" w:type="dxa"/>
          </w:tcPr>
          <w:p w14:paraId="2608B8EB" w14:textId="75652CE0" w:rsidR="0052480B" w:rsidRPr="0034680B" w:rsidRDefault="002D17BE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-0.4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37AAD7FA" w14:textId="1323BF1C" w:rsidR="0052480B" w:rsidRPr="0034680B" w:rsidRDefault="001A43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sz w:val="24"/>
                <w:szCs w:val="24"/>
              </w:rPr>
              <w:t>1.</w:t>
            </w:r>
            <w:r w:rsidR="002D17BE">
              <w:rPr>
                <w:rFonts w:ascii="Garamond" w:eastAsia="Garamond" w:hAnsi="Garamond" w:cs="Garamond"/>
                <w:sz w:val="24"/>
                <w:szCs w:val="24"/>
              </w:rPr>
              <w:t>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302C6C09" w14:textId="44207E8A" w:rsidR="0052480B" w:rsidRPr="0034680B" w:rsidRDefault="002D17BE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34680B" w:rsidRPr="0034680B" w14:paraId="2B8BD4C6" w14:textId="77777777" w:rsidTr="00E6169B">
        <w:tc>
          <w:tcPr>
            <w:tcW w:w="2635" w:type="dxa"/>
          </w:tcPr>
          <w:p w14:paraId="7D4E4E13" w14:textId="77777777" w:rsidR="0034680B" w:rsidRPr="0034680B" w:rsidRDefault="0034680B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16345A" w14:textId="77777777" w:rsidR="0034680B" w:rsidRPr="0034680B" w:rsidRDefault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EE32781" w14:textId="77777777" w:rsidR="0034680B" w:rsidRPr="0034680B" w:rsidRDefault="0034680B" w:rsidP="009005AD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6F4C4A" w14:textId="77777777" w:rsidR="0034680B" w:rsidRPr="0034680B" w:rsidRDefault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CE9736" w14:textId="77777777" w:rsidR="0034680B" w:rsidRPr="0034680B" w:rsidRDefault="0034680B" w:rsidP="009005AD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34680B" w:rsidRPr="0034680B" w14:paraId="2CC2F549" w14:textId="77777777" w:rsidTr="00E6169B">
        <w:tc>
          <w:tcPr>
            <w:tcW w:w="2635" w:type="dxa"/>
          </w:tcPr>
          <w:p w14:paraId="04275EC9" w14:textId="13A88260" w:rsidR="0034680B" w:rsidRPr="0034680B" w:rsidRDefault="0034680B" w:rsidP="0034680B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530" w:type="dxa"/>
          </w:tcPr>
          <w:p w14:paraId="756BE5C3" w14:textId="77777777" w:rsidR="0034680B" w:rsidRPr="0034680B" w:rsidRDefault="0034680B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75A5224" w14:textId="77777777" w:rsidR="0034680B" w:rsidRPr="0034680B" w:rsidRDefault="0034680B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0E02EC" w14:textId="77777777" w:rsidR="0034680B" w:rsidRPr="0034680B" w:rsidRDefault="0034680B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92FB65" w14:textId="77777777" w:rsidR="0034680B" w:rsidRPr="0034680B" w:rsidRDefault="0034680B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60979" w:rsidRPr="0034680B" w14:paraId="7980C179" w14:textId="77777777" w:rsidTr="00E6169B">
        <w:tc>
          <w:tcPr>
            <w:tcW w:w="2635" w:type="dxa"/>
          </w:tcPr>
          <w:p w14:paraId="556160D1" w14:textId="72BE1925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>Domestic</w:t>
            </w:r>
          </w:p>
        </w:tc>
        <w:tc>
          <w:tcPr>
            <w:tcW w:w="1530" w:type="dxa"/>
          </w:tcPr>
          <w:p w14:paraId="13CC0879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56DB591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DB4A94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C8CD81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60979" w:rsidRPr="0034680B" w14:paraId="62077F96" w14:textId="77777777" w:rsidTr="00E6169B">
        <w:tc>
          <w:tcPr>
            <w:tcW w:w="2635" w:type="dxa"/>
          </w:tcPr>
          <w:p w14:paraId="3C8BD79F" w14:textId="01D79E40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530" w:type="dxa"/>
          </w:tcPr>
          <w:p w14:paraId="5BDBBBA3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7BA43FE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CF30B4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8C4388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60979" w:rsidRPr="0034680B" w14:paraId="3D128D91" w14:textId="77777777" w:rsidTr="00E6169B">
        <w:tc>
          <w:tcPr>
            <w:tcW w:w="2635" w:type="dxa"/>
          </w:tcPr>
          <w:p w14:paraId="298BC780" w14:textId="47DEAFD4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530" w:type="dxa"/>
          </w:tcPr>
          <w:p w14:paraId="727134B1" w14:textId="2CD55193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</w:rPr>
              <w:t>5.1</w:t>
            </w:r>
            <w:r w:rsidR="00760979" w:rsidRPr="0034680B">
              <w:rPr>
                <w:rFonts w:ascii="Garamond" w:hAnsi="Garamond"/>
              </w:rPr>
              <w:t>%</w:t>
            </w:r>
          </w:p>
        </w:tc>
        <w:tc>
          <w:tcPr>
            <w:tcW w:w="1685" w:type="dxa"/>
          </w:tcPr>
          <w:p w14:paraId="7BFF572B" w14:textId="430FB698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hAnsi="Garamond"/>
              </w:rPr>
              <w:t>20.</w:t>
            </w:r>
            <w:r w:rsidR="002D17BE">
              <w:rPr>
                <w:rFonts w:ascii="Garamond" w:hAnsi="Garamond"/>
              </w:rPr>
              <w:t>6</w:t>
            </w:r>
            <w:r w:rsidRPr="0034680B">
              <w:rPr>
                <w:rFonts w:ascii="Garamond" w:hAnsi="Garamond"/>
              </w:rPr>
              <w:t>%</w:t>
            </w:r>
          </w:p>
        </w:tc>
        <w:tc>
          <w:tcPr>
            <w:tcW w:w="1890" w:type="dxa"/>
          </w:tcPr>
          <w:p w14:paraId="0DC009FB" w14:textId="43B9C31B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hAnsi="Garamond"/>
              </w:rPr>
              <w:t>1</w:t>
            </w:r>
            <w:r w:rsidR="002D17BE">
              <w:rPr>
                <w:rFonts w:ascii="Garamond" w:hAnsi="Garamond"/>
              </w:rPr>
              <w:t>2.2</w:t>
            </w:r>
            <w:r w:rsidRPr="0034680B">
              <w:rPr>
                <w:rFonts w:ascii="Garamond" w:hAnsi="Garamond"/>
              </w:rPr>
              <w:t>%</w:t>
            </w:r>
          </w:p>
        </w:tc>
        <w:tc>
          <w:tcPr>
            <w:tcW w:w="1800" w:type="dxa"/>
          </w:tcPr>
          <w:p w14:paraId="1B4B9151" w14:textId="44CD2B24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hAnsi="Garamond"/>
              </w:rPr>
              <w:t>1</w:t>
            </w:r>
            <w:r w:rsidR="002D17BE">
              <w:rPr>
                <w:rFonts w:ascii="Garamond" w:hAnsi="Garamond"/>
              </w:rPr>
              <w:t>4.4</w:t>
            </w:r>
            <w:r w:rsidRPr="0034680B">
              <w:rPr>
                <w:rFonts w:ascii="Garamond" w:hAnsi="Garamond"/>
              </w:rPr>
              <w:t>%</w:t>
            </w:r>
          </w:p>
        </w:tc>
      </w:tr>
      <w:tr w:rsidR="00760979" w:rsidRPr="0034680B" w14:paraId="48988FFC" w14:textId="77777777" w:rsidTr="00E6169B">
        <w:tc>
          <w:tcPr>
            <w:tcW w:w="2635" w:type="dxa"/>
          </w:tcPr>
          <w:p w14:paraId="1C64F886" w14:textId="58761484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530" w:type="dxa"/>
          </w:tcPr>
          <w:p w14:paraId="689EE014" w14:textId="6FB9B12B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1.6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32075055" w14:textId="5E36EDF5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>9.1%</w:t>
            </w:r>
          </w:p>
        </w:tc>
        <w:tc>
          <w:tcPr>
            <w:tcW w:w="1890" w:type="dxa"/>
          </w:tcPr>
          <w:p w14:paraId="5DA1AA63" w14:textId="7E80CA8E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8.4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1E128C2E" w14:textId="1AE7825C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9.9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760979" w:rsidRPr="0034680B" w14:paraId="7DB9C8AE" w14:textId="77777777" w:rsidTr="00E6169B">
        <w:tc>
          <w:tcPr>
            <w:tcW w:w="2635" w:type="dxa"/>
          </w:tcPr>
          <w:p w14:paraId="4B38E3B3" w14:textId="41A4C01F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530" w:type="dxa"/>
          </w:tcPr>
          <w:p w14:paraId="608425D0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8AB89F5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D85D55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818435" w14:textId="7777777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760979" w:rsidRPr="0034680B" w14:paraId="08A7D5C0" w14:textId="77777777" w:rsidTr="00E6169B">
        <w:tc>
          <w:tcPr>
            <w:tcW w:w="2635" w:type="dxa"/>
          </w:tcPr>
          <w:p w14:paraId="350C98F3" w14:textId="686B3F53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530" w:type="dxa"/>
          </w:tcPr>
          <w:p w14:paraId="3F547A2B" w14:textId="7636F0F8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8.</w:t>
            </w:r>
            <w:r w:rsidR="00905AB4">
              <w:rPr>
                <w:rFonts w:ascii="Garamond" w:eastAsia="Garamond" w:hAnsi="Garamond" w:cs="Garamond"/>
              </w:rPr>
              <w:t>5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26DF9FEF" w14:textId="3398D9AA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22.6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C076545" w14:textId="278AE38D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11.0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72C4F2E9" w14:textId="73E2ADE7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>1</w:t>
            </w:r>
            <w:r w:rsidR="002D17BE">
              <w:rPr>
                <w:rFonts w:ascii="Garamond" w:eastAsia="Garamond" w:hAnsi="Garamond" w:cs="Garamond"/>
              </w:rPr>
              <w:t>2.7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760979" w:rsidRPr="0034680B" w14:paraId="30FF9ACE" w14:textId="77777777" w:rsidTr="00E6169B">
        <w:tc>
          <w:tcPr>
            <w:tcW w:w="2635" w:type="dxa"/>
          </w:tcPr>
          <w:p w14:paraId="6F436632" w14:textId="21DB40F2" w:rsidR="00760979" w:rsidRPr="0034680B" w:rsidRDefault="00760979" w:rsidP="00760979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530" w:type="dxa"/>
          </w:tcPr>
          <w:p w14:paraId="07B47571" w14:textId="0EE6D899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6.6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85" w:type="dxa"/>
          </w:tcPr>
          <w:p w14:paraId="310A2B78" w14:textId="0CBD292B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12.4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E327601" w14:textId="1E61098A" w:rsidR="00760979" w:rsidRPr="0034680B" w:rsidRDefault="002D17BE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9.1</w:t>
            </w:r>
            <w:r w:rsidR="00760979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20E5F548" w14:textId="2228C1B2" w:rsidR="00760979" w:rsidRPr="0034680B" w:rsidRDefault="00760979" w:rsidP="00760979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>9.</w:t>
            </w:r>
            <w:r w:rsidR="002D17BE">
              <w:rPr>
                <w:rFonts w:ascii="Garamond" w:eastAsia="Garamond" w:hAnsi="Garamond" w:cs="Garamond"/>
              </w:rPr>
              <w:t>8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a1"/>
        <w:tblW w:w="9515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560"/>
        <w:gridCol w:w="1655"/>
        <w:gridCol w:w="1890"/>
        <w:gridCol w:w="1800"/>
      </w:tblGrid>
      <w:tr w:rsidR="0034680B" w:rsidRPr="0034680B" w14:paraId="2B292E55" w14:textId="77777777" w:rsidTr="008C0B69">
        <w:trPr>
          <w:trHeight w:val="810"/>
        </w:trPr>
        <w:tc>
          <w:tcPr>
            <w:tcW w:w="2610" w:type="dxa"/>
            <w:tcBorders>
              <w:top w:val="single" w:sz="4" w:space="0" w:color="auto"/>
            </w:tcBorders>
          </w:tcPr>
          <w:p w14:paraId="156E9644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877A28" w14:textId="1D143273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  <w:b/>
              </w:rPr>
              <w:t xml:space="preserve">QUARTER Ending </w:t>
            </w:r>
            <w:r w:rsidR="00337855">
              <w:rPr>
                <w:rFonts w:ascii="Garamond" w:eastAsia="Garamond" w:hAnsi="Garamond" w:cs="Garamond"/>
                <w:b/>
              </w:rPr>
              <w:t>6</w:t>
            </w:r>
            <w:r w:rsidRPr="0034680B">
              <w:rPr>
                <w:rFonts w:ascii="Garamond" w:eastAsia="Garamond" w:hAnsi="Garamond" w:cs="Garamond"/>
                <w:b/>
              </w:rPr>
              <w:t>/3</w:t>
            </w:r>
            <w:r w:rsidR="00337855">
              <w:rPr>
                <w:rFonts w:ascii="Garamond" w:eastAsia="Garamond" w:hAnsi="Garamond" w:cs="Garamond"/>
                <w:b/>
              </w:rPr>
              <w:t>0</w:t>
            </w:r>
            <w:r w:rsidRPr="0034680B">
              <w:rPr>
                <w:rFonts w:ascii="Garamond" w:eastAsia="Garamond" w:hAnsi="Garamond" w:cs="Garamond"/>
                <w:b/>
              </w:rPr>
              <w:t>/2018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5B36CEA0" w14:textId="77777777" w:rsidR="00760979" w:rsidRPr="00760979" w:rsidRDefault="0034680B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4680B">
              <w:rPr>
                <w:rFonts w:ascii="Garamond" w:eastAsia="Garamond" w:hAnsi="Garamond" w:cs="Garamond"/>
                <w:b/>
              </w:rPr>
              <w:t>12 MONTHS Ending</w:t>
            </w:r>
          </w:p>
          <w:p w14:paraId="3E662700" w14:textId="7B4027EE" w:rsidR="0034680B" w:rsidRPr="00760979" w:rsidRDefault="00337855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6</w:t>
            </w:r>
            <w:r w:rsidR="0034680B" w:rsidRPr="0034680B">
              <w:rPr>
                <w:rFonts w:ascii="Garamond" w:eastAsia="Garamond" w:hAnsi="Garamond" w:cs="Garamond"/>
                <w:b/>
              </w:rPr>
              <w:t>/3</w:t>
            </w:r>
            <w:r>
              <w:rPr>
                <w:rFonts w:ascii="Garamond" w:eastAsia="Garamond" w:hAnsi="Garamond" w:cs="Garamond"/>
                <w:b/>
              </w:rPr>
              <w:t>0</w:t>
            </w:r>
            <w:r w:rsidR="0034680B" w:rsidRPr="0034680B">
              <w:rPr>
                <w:rFonts w:ascii="Garamond" w:eastAsia="Garamond" w:hAnsi="Garamond" w:cs="Garamond"/>
                <w:b/>
              </w:rPr>
              <w:t>/2018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4207FFB" w14:textId="77777777" w:rsidR="0034680B" w:rsidRPr="00760979" w:rsidRDefault="0034680B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4680B">
              <w:rPr>
                <w:rFonts w:ascii="Garamond" w:eastAsia="Garamond" w:hAnsi="Garamond" w:cs="Garamond"/>
                <w:b/>
              </w:rPr>
              <w:t>THREE YEARS Ending</w:t>
            </w:r>
          </w:p>
          <w:p w14:paraId="6FF2F600" w14:textId="232FEFC0" w:rsidR="0034680B" w:rsidRPr="00760979" w:rsidRDefault="0034680B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4680B">
              <w:rPr>
                <w:rFonts w:ascii="Garamond" w:eastAsia="Garamond" w:hAnsi="Garamond" w:cs="Garamond"/>
                <w:b/>
              </w:rPr>
              <w:t xml:space="preserve"> </w:t>
            </w:r>
            <w:r w:rsidR="00337855">
              <w:rPr>
                <w:rFonts w:ascii="Garamond" w:eastAsia="Garamond" w:hAnsi="Garamond" w:cs="Garamond"/>
                <w:b/>
              </w:rPr>
              <w:t>6</w:t>
            </w:r>
            <w:r w:rsidRPr="0034680B">
              <w:rPr>
                <w:rFonts w:ascii="Garamond" w:eastAsia="Garamond" w:hAnsi="Garamond" w:cs="Garamond"/>
                <w:b/>
              </w:rPr>
              <w:t>/3</w:t>
            </w:r>
            <w:r w:rsidR="00337855">
              <w:rPr>
                <w:rFonts w:ascii="Garamond" w:eastAsia="Garamond" w:hAnsi="Garamond" w:cs="Garamond"/>
                <w:b/>
              </w:rPr>
              <w:t>0</w:t>
            </w:r>
            <w:r w:rsidRPr="0034680B">
              <w:rPr>
                <w:rFonts w:ascii="Garamond" w:eastAsia="Garamond" w:hAnsi="Garamond" w:cs="Garamond"/>
                <w:b/>
              </w:rPr>
              <w:t>/2018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7399F82" w14:textId="77777777" w:rsidR="0034680B" w:rsidRPr="00760979" w:rsidRDefault="0034680B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34680B">
              <w:rPr>
                <w:rFonts w:ascii="Garamond" w:eastAsia="Garamond" w:hAnsi="Garamond" w:cs="Garamond"/>
                <w:b/>
              </w:rPr>
              <w:t xml:space="preserve">FIVE YEARS Ending </w:t>
            </w:r>
          </w:p>
          <w:p w14:paraId="56D45762" w14:textId="5459938D" w:rsidR="0034680B" w:rsidRPr="00760979" w:rsidRDefault="00337855" w:rsidP="00760979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6</w:t>
            </w:r>
            <w:r w:rsidR="0034680B" w:rsidRPr="0034680B">
              <w:rPr>
                <w:rFonts w:ascii="Garamond" w:eastAsia="Garamond" w:hAnsi="Garamond" w:cs="Garamond"/>
                <w:b/>
              </w:rPr>
              <w:t>/3</w:t>
            </w:r>
            <w:r>
              <w:rPr>
                <w:rFonts w:ascii="Garamond" w:eastAsia="Garamond" w:hAnsi="Garamond" w:cs="Garamond"/>
                <w:b/>
              </w:rPr>
              <w:t>0</w:t>
            </w:r>
            <w:r w:rsidR="0034680B" w:rsidRPr="0034680B">
              <w:rPr>
                <w:rFonts w:ascii="Garamond" w:eastAsia="Garamond" w:hAnsi="Garamond" w:cs="Garamond"/>
                <w:b/>
              </w:rPr>
              <w:t>/2018</w:t>
            </w:r>
          </w:p>
        </w:tc>
      </w:tr>
      <w:tr w:rsidR="0034680B" w:rsidRPr="0034680B" w14:paraId="140FFAD7" w14:textId="77777777" w:rsidTr="008B2F1F">
        <w:tc>
          <w:tcPr>
            <w:tcW w:w="2610" w:type="dxa"/>
          </w:tcPr>
          <w:p w14:paraId="629BD08B" w14:textId="57A1FE9F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International</w:t>
            </w:r>
          </w:p>
        </w:tc>
        <w:tc>
          <w:tcPr>
            <w:tcW w:w="1560" w:type="dxa"/>
          </w:tcPr>
          <w:p w14:paraId="0E9C547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55" w:type="dxa"/>
          </w:tcPr>
          <w:p w14:paraId="1E6034C4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6BD50224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65C00F18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6B3F7EF9" w14:textId="77777777" w:rsidTr="008B2F1F">
        <w:tc>
          <w:tcPr>
            <w:tcW w:w="2610" w:type="dxa"/>
          </w:tcPr>
          <w:p w14:paraId="12360AE9" w14:textId="785DD929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Europe</w:t>
            </w:r>
          </w:p>
        </w:tc>
        <w:tc>
          <w:tcPr>
            <w:tcW w:w="1560" w:type="dxa"/>
          </w:tcPr>
          <w:p w14:paraId="3E4D49DD" w14:textId="3B279CB4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-1.</w:t>
            </w:r>
            <w:r w:rsidR="002D17BE">
              <w:rPr>
                <w:rFonts w:ascii="Garamond" w:eastAsia="Garamond" w:hAnsi="Garamond" w:cs="Garamond"/>
              </w:rPr>
              <w:t>0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3617661F" w14:textId="433342D9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5.0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3AB58E00" w14:textId="10690655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5.</w:t>
            </w:r>
            <w:r w:rsidR="002D17BE">
              <w:rPr>
                <w:rFonts w:ascii="Garamond" w:eastAsia="Garamond" w:hAnsi="Garamond" w:cs="Garamond"/>
              </w:rPr>
              <w:t>1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62156E90" w14:textId="3473DDAC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64FD474B" w14:textId="77777777" w:rsidTr="008B2F1F">
        <w:tc>
          <w:tcPr>
            <w:tcW w:w="2610" w:type="dxa"/>
          </w:tcPr>
          <w:p w14:paraId="7DF70F8A" w14:textId="30928EF4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Latin America</w:t>
            </w:r>
          </w:p>
        </w:tc>
        <w:tc>
          <w:tcPr>
            <w:tcW w:w="1560" w:type="dxa"/>
          </w:tcPr>
          <w:p w14:paraId="0A1C0F5B" w14:textId="5DCDFA98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-22.4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7185D106" w14:textId="03ED7290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35B0D182" w14:textId="171BA866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B624BA8" w14:textId="308B85DD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-</w:t>
            </w:r>
            <w:r w:rsidR="002D17BE">
              <w:rPr>
                <w:rFonts w:ascii="Garamond" w:eastAsia="Garamond" w:hAnsi="Garamond" w:cs="Garamond"/>
              </w:rPr>
              <w:t>3.7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4BF0DB2" w14:textId="77777777" w:rsidTr="008B2F1F">
        <w:tc>
          <w:tcPr>
            <w:tcW w:w="2610" w:type="dxa"/>
          </w:tcPr>
          <w:p w14:paraId="63A4EB39" w14:textId="209E1B53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Japan</w:t>
            </w:r>
          </w:p>
        </w:tc>
        <w:tc>
          <w:tcPr>
            <w:tcW w:w="1560" w:type="dxa"/>
          </w:tcPr>
          <w:p w14:paraId="48E0E7E3" w14:textId="2F539C63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-</w:t>
            </w:r>
            <w:r w:rsidR="002D17BE">
              <w:rPr>
                <w:rFonts w:ascii="Garamond" w:eastAsia="Garamond" w:hAnsi="Garamond" w:cs="Garamond"/>
              </w:rPr>
              <w:t>1.8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772CC4CE" w14:textId="783D7AC5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1</w:t>
            </w:r>
            <w:r w:rsidR="002D17BE">
              <w:rPr>
                <w:rFonts w:ascii="Garamond" w:eastAsia="Garamond" w:hAnsi="Garamond" w:cs="Garamond"/>
              </w:rPr>
              <w:t>0.6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0B870EC5" w14:textId="65A4760A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7.5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74E5FD3" w14:textId="51DEE01B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1</w:t>
            </w:r>
            <w:r w:rsidR="002D17BE">
              <w:rPr>
                <w:rFonts w:ascii="Garamond" w:eastAsia="Garamond" w:hAnsi="Garamond" w:cs="Garamond"/>
              </w:rPr>
              <w:t>0.4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A99349B" w14:textId="77777777" w:rsidTr="008B2F1F">
        <w:tc>
          <w:tcPr>
            <w:tcW w:w="2610" w:type="dxa"/>
          </w:tcPr>
          <w:p w14:paraId="607D6304" w14:textId="24426769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Pacific ex Japan</w:t>
            </w:r>
          </w:p>
        </w:tc>
        <w:tc>
          <w:tcPr>
            <w:tcW w:w="1560" w:type="dxa"/>
          </w:tcPr>
          <w:p w14:paraId="454C8C4F" w14:textId="24E297B2" w:rsidR="0034680B" w:rsidRPr="0034680B" w:rsidRDefault="002D17B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-4.8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24AF9635" w14:textId="1589CEE4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9.0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7F222B1E" w14:textId="7F93B0BB" w:rsidR="0034680B" w:rsidRPr="0034680B" w:rsidRDefault="002D17BE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CDD231F" w14:textId="796FF261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7.4%</w:t>
            </w:r>
          </w:p>
        </w:tc>
      </w:tr>
      <w:tr w:rsidR="0034680B" w:rsidRPr="0034680B" w14:paraId="33AF8BBF" w14:textId="77777777" w:rsidTr="008B2F1F">
        <w:tc>
          <w:tcPr>
            <w:tcW w:w="2610" w:type="dxa"/>
          </w:tcPr>
          <w:p w14:paraId="50E7DBEB" w14:textId="5DDAD3AF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China Region</w:t>
            </w:r>
          </w:p>
        </w:tc>
        <w:tc>
          <w:tcPr>
            <w:tcW w:w="1560" w:type="dxa"/>
          </w:tcPr>
          <w:p w14:paraId="69ECA23B" w14:textId="7CEA6A33" w:rsidR="0034680B" w:rsidRPr="0034680B" w:rsidRDefault="002D17B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-5.5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3618A5CC" w14:textId="73AF2F70" w:rsidR="0034680B" w:rsidRPr="0034680B" w:rsidRDefault="002D17B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A9D6051" w14:textId="5021B4F3" w:rsidR="0034680B" w:rsidRPr="0034680B" w:rsidRDefault="002D17B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32850221" w14:textId="35907B6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10.4%</w:t>
            </w:r>
          </w:p>
        </w:tc>
      </w:tr>
      <w:tr w:rsidR="0034680B" w:rsidRPr="0034680B" w14:paraId="473EA627" w14:textId="77777777" w:rsidTr="008B2F1F">
        <w:tc>
          <w:tcPr>
            <w:tcW w:w="2610" w:type="dxa"/>
          </w:tcPr>
          <w:p w14:paraId="7090FD7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0558D1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55" w:type="dxa"/>
          </w:tcPr>
          <w:p w14:paraId="3B7138C3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019B52EE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3EC92FE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5561FA7F" w14:textId="77777777" w:rsidTr="008B2F1F">
        <w:tc>
          <w:tcPr>
            <w:tcW w:w="2610" w:type="dxa"/>
          </w:tcPr>
          <w:p w14:paraId="4978FC2F" w14:textId="72A045D6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Corporate Bond</w:t>
            </w:r>
          </w:p>
        </w:tc>
        <w:tc>
          <w:tcPr>
            <w:tcW w:w="1560" w:type="dxa"/>
          </w:tcPr>
          <w:p w14:paraId="416F84FF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655" w:type="dxa"/>
          </w:tcPr>
          <w:p w14:paraId="6E4DF005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3EFDD14C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2A533697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21479376" w14:textId="77777777" w:rsidTr="008B2F1F">
        <w:tc>
          <w:tcPr>
            <w:tcW w:w="2610" w:type="dxa"/>
          </w:tcPr>
          <w:p w14:paraId="2AD3CA75" w14:textId="36027E5E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560" w:type="dxa"/>
          </w:tcPr>
          <w:p w14:paraId="1A0AA8B2" w14:textId="752FE742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-</w:t>
            </w:r>
            <w:r w:rsidR="00705F1C">
              <w:rPr>
                <w:rFonts w:ascii="Garamond" w:eastAsia="Garamond" w:hAnsi="Garamond" w:cs="Garamond"/>
              </w:rPr>
              <w:t>1.3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25F6855D" w14:textId="68313586" w:rsidR="0034680B" w:rsidRPr="0034680B" w:rsidRDefault="00705F1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7D670C4F" w14:textId="4FA2A998" w:rsidR="0034680B" w:rsidRPr="0034680B" w:rsidRDefault="00705F1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7550367F" w14:textId="4E53B355" w:rsidR="0034680B" w:rsidRPr="0034680B" w:rsidRDefault="00705F1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022512BB" w14:textId="77777777" w:rsidTr="008B2F1F">
        <w:tc>
          <w:tcPr>
            <w:tcW w:w="2610" w:type="dxa"/>
          </w:tcPr>
          <w:p w14:paraId="51F0C9F1" w14:textId="5E4B9FC6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60" w:type="dxa"/>
          </w:tcPr>
          <w:p w14:paraId="1D80059C" w14:textId="50DE4D03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-</w:t>
            </w:r>
            <w:r w:rsidR="00705F1C">
              <w:rPr>
                <w:rFonts w:ascii="Garamond" w:eastAsia="Garamond" w:hAnsi="Garamond" w:cs="Garamond"/>
              </w:rPr>
              <w:t>0.2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5363EA18" w14:textId="00BD7DCE" w:rsidR="0034680B" w:rsidRPr="0034680B" w:rsidRDefault="000B1B9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05F1C"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3B186BF1" w14:textId="0EE1E078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1.</w:t>
            </w:r>
            <w:r w:rsidR="00705F1C">
              <w:rPr>
                <w:rFonts w:ascii="Garamond" w:eastAsia="Garamond" w:hAnsi="Garamond" w:cs="Garamond"/>
              </w:rPr>
              <w:t>7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32F1D27F" w14:textId="754C9564" w:rsidR="0034680B" w:rsidRPr="0034680B" w:rsidRDefault="00705F1C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0D181A3" w14:textId="77777777" w:rsidTr="008B2F1F">
        <w:tc>
          <w:tcPr>
            <w:tcW w:w="2610" w:type="dxa"/>
          </w:tcPr>
          <w:p w14:paraId="634C3313" w14:textId="208A077A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60" w:type="dxa"/>
          </w:tcPr>
          <w:p w14:paraId="7D504102" w14:textId="160C0C00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0.3%</w:t>
            </w:r>
          </w:p>
        </w:tc>
        <w:tc>
          <w:tcPr>
            <w:tcW w:w="1655" w:type="dxa"/>
          </w:tcPr>
          <w:p w14:paraId="0ADAEA28" w14:textId="7B433A1B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5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0B55C0E6" w14:textId="296196AA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1.</w:t>
            </w:r>
            <w:r w:rsidR="00705F1C">
              <w:rPr>
                <w:rFonts w:ascii="Garamond" w:eastAsia="Garamond" w:hAnsi="Garamond" w:cs="Garamond"/>
              </w:rPr>
              <w:t>2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73D5EC27" w14:textId="185D732F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>1.</w:t>
            </w:r>
            <w:r w:rsidR="00705F1C">
              <w:rPr>
                <w:rFonts w:ascii="Garamond" w:eastAsia="Garamond" w:hAnsi="Garamond" w:cs="Garamond"/>
              </w:rPr>
              <w:t>3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06A44D92" w14:textId="77777777" w:rsidTr="008B2F1F">
        <w:tc>
          <w:tcPr>
            <w:tcW w:w="2610" w:type="dxa"/>
          </w:tcPr>
          <w:p w14:paraId="5283D7B4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>Government Bond</w:t>
            </w:r>
          </w:p>
        </w:tc>
        <w:tc>
          <w:tcPr>
            <w:tcW w:w="1560" w:type="dxa"/>
          </w:tcPr>
          <w:p w14:paraId="26F6F37A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55" w:type="dxa"/>
          </w:tcPr>
          <w:p w14:paraId="6AE7560D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47DD1C8B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089CE90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F2F0563" w14:textId="77777777" w:rsidTr="008B2F1F">
        <w:tc>
          <w:tcPr>
            <w:tcW w:w="2610" w:type="dxa"/>
          </w:tcPr>
          <w:p w14:paraId="68408AF7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560" w:type="dxa"/>
          </w:tcPr>
          <w:p w14:paraId="0F201706" w14:textId="4FA4C643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5D200D3B" w14:textId="3E869FF3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31A87849" w14:textId="1FDF1772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271B58EB" w14:textId="2007B02D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AD286A3" w14:textId="77777777" w:rsidTr="008B2F1F">
        <w:tc>
          <w:tcPr>
            <w:tcW w:w="2610" w:type="dxa"/>
          </w:tcPr>
          <w:p w14:paraId="29EE94E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60" w:type="dxa"/>
          </w:tcPr>
          <w:p w14:paraId="40D28DD9" w14:textId="1A1C99A4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68989F50" w14:textId="44BAD4B0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-0.</w:t>
            </w:r>
            <w:r w:rsidR="00705F1C">
              <w:rPr>
                <w:rFonts w:ascii="Garamond" w:eastAsia="Garamond" w:hAnsi="Garamond" w:cs="Garamond"/>
              </w:rPr>
              <w:t>8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4224A5F7" w14:textId="5DA17B1E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7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12FFCFC5" w14:textId="784EDF1D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9323B9" w14:textId="77777777" w:rsidTr="008B2F1F">
        <w:tc>
          <w:tcPr>
            <w:tcW w:w="2610" w:type="dxa"/>
          </w:tcPr>
          <w:p w14:paraId="798425C1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60" w:type="dxa"/>
          </w:tcPr>
          <w:p w14:paraId="5DA957C5" w14:textId="447DE778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449907BE" w14:textId="13568A1E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0.0%</w:t>
            </w:r>
          </w:p>
        </w:tc>
        <w:tc>
          <w:tcPr>
            <w:tcW w:w="1890" w:type="dxa"/>
          </w:tcPr>
          <w:p w14:paraId="3DCAE26F" w14:textId="1C37754B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3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2B5D9112" w14:textId="64C293BD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5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8CA8615" w14:textId="77777777" w:rsidTr="008B2F1F">
        <w:tc>
          <w:tcPr>
            <w:tcW w:w="2610" w:type="dxa"/>
          </w:tcPr>
          <w:p w14:paraId="0ACE554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>Municipal Bond</w:t>
            </w:r>
          </w:p>
        </w:tc>
        <w:tc>
          <w:tcPr>
            <w:tcW w:w="1560" w:type="dxa"/>
          </w:tcPr>
          <w:p w14:paraId="28AAACA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655" w:type="dxa"/>
          </w:tcPr>
          <w:p w14:paraId="36AD97E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14:paraId="3CA90C40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C47C7D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2EED7115" w14:textId="77777777" w:rsidTr="008B2F1F">
        <w:tc>
          <w:tcPr>
            <w:tcW w:w="2610" w:type="dxa"/>
          </w:tcPr>
          <w:p w14:paraId="7C869A9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560" w:type="dxa"/>
          </w:tcPr>
          <w:p w14:paraId="52E546DB" w14:textId="49AF1B4D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40DC1BCC" w14:textId="7224DBF2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7232B96" w14:textId="28697030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7B4C0875" w14:textId="797B5E74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E06DAB2" w14:textId="77777777" w:rsidTr="008B2F1F">
        <w:tc>
          <w:tcPr>
            <w:tcW w:w="2610" w:type="dxa"/>
          </w:tcPr>
          <w:p w14:paraId="661800C7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560" w:type="dxa"/>
          </w:tcPr>
          <w:p w14:paraId="41E2BD71" w14:textId="77B22C80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328A6826" w14:textId="134FACB2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.1%</w:t>
            </w:r>
          </w:p>
        </w:tc>
        <w:tc>
          <w:tcPr>
            <w:tcW w:w="1890" w:type="dxa"/>
          </w:tcPr>
          <w:p w14:paraId="02CA5A51" w14:textId="0B9B794C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27F7871B" w14:textId="30685346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2.</w:t>
            </w:r>
            <w:r w:rsidR="00705F1C">
              <w:rPr>
                <w:rFonts w:ascii="Garamond" w:eastAsia="Garamond" w:hAnsi="Garamond" w:cs="Garamond"/>
              </w:rPr>
              <w:t>9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4027B77A" w14:textId="77777777" w:rsidTr="008B2F1F">
        <w:tc>
          <w:tcPr>
            <w:tcW w:w="2610" w:type="dxa"/>
          </w:tcPr>
          <w:p w14:paraId="4800BED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560" w:type="dxa"/>
          </w:tcPr>
          <w:p w14:paraId="5FA7538A" w14:textId="3CF88DE6" w:rsidR="0034680B" w:rsidRPr="0034680B" w:rsidRDefault="0034680B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5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655" w:type="dxa"/>
          </w:tcPr>
          <w:p w14:paraId="313CCFDE" w14:textId="10C93670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6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04FF3F5C" w14:textId="5DA82549" w:rsidR="0034680B" w:rsidRPr="0034680B" w:rsidRDefault="0034680B" w:rsidP="0034680B">
            <w:pPr>
              <w:spacing w:after="0" w:line="240" w:lineRule="auto"/>
              <w:jc w:val="center"/>
            </w:pPr>
            <w:r w:rsidRPr="0034680B">
              <w:rPr>
                <w:rFonts w:ascii="Garamond" w:eastAsia="Garamond" w:hAnsi="Garamond" w:cs="Garamond"/>
              </w:rPr>
              <w:t>0.</w:t>
            </w:r>
            <w:r w:rsidR="00705F1C">
              <w:rPr>
                <w:rFonts w:ascii="Garamond" w:eastAsia="Garamond" w:hAnsi="Garamond" w:cs="Garamond"/>
              </w:rPr>
              <w:t>9</w:t>
            </w:r>
            <w:r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4F2E5961" w14:textId="7F7EE117" w:rsidR="0034680B" w:rsidRPr="0034680B" w:rsidRDefault="00705F1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2F8F135E" w14:textId="77777777" w:rsidR="00760979" w:rsidRDefault="00760979" w:rsidP="00307775">
      <w:pPr>
        <w:spacing w:before="100" w:after="280" w:line="240" w:lineRule="auto"/>
        <w:rPr>
          <w:rFonts w:ascii="Garamond" w:eastAsia="Garamond" w:hAnsi="Garamond" w:cs="Garamond"/>
          <w:b/>
          <w:u w:val="single"/>
        </w:rPr>
      </w:pPr>
    </w:p>
    <w:p w14:paraId="50A38973" w14:textId="72A7FF03" w:rsidR="009D638B" w:rsidRPr="00022208" w:rsidRDefault="003915C5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</w:p>
    <w:p w14:paraId="51FC42FD" w14:textId="7971F468" w:rsidR="002D17BE" w:rsidRPr="00022208" w:rsidRDefault="00337855" w:rsidP="00307775">
      <w:pPr>
        <w:spacing w:before="100" w:after="280" w:line="240" w:lineRule="auto"/>
        <w:rPr>
          <w:rFonts w:ascii="Garamond" w:eastAsia="Garamond" w:hAnsi="Garamond" w:cs="Garamond"/>
          <w:sz w:val="28"/>
          <w:szCs w:val="28"/>
        </w:rPr>
      </w:pPr>
      <w:r w:rsidRPr="00022208">
        <w:rPr>
          <w:rFonts w:ascii="Garamond" w:eastAsia="Garamond" w:hAnsi="Garamond" w:cs="Garamond"/>
          <w:sz w:val="28"/>
          <w:szCs w:val="28"/>
        </w:rPr>
        <w:t xml:space="preserve">Volatility will continue.  As mentioned </w:t>
      </w:r>
      <w:bookmarkStart w:id="0" w:name="_GoBack"/>
      <w:bookmarkEnd w:id="0"/>
      <w:r w:rsidR="006520A4" w:rsidRPr="00022208">
        <w:rPr>
          <w:rFonts w:ascii="Garamond" w:eastAsia="Garamond" w:hAnsi="Garamond" w:cs="Garamond"/>
          <w:sz w:val="28"/>
          <w:szCs w:val="28"/>
        </w:rPr>
        <w:t xml:space="preserve">during the </w:t>
      </w:r>
      <w:r w:rsidR="002D17BE" w:rsidRPr="00022208">
        <w:rPr>
          <w:rFonts w:ascii="Garamond" w:eastAsia="Garamond" w:hAnsi="Garamond" w:cs="Garamond"/>
          <w:sz w:val="28"/>
          <w:szCs w:val="28"/>
        </w:rPr>
        <w:t>first</w:t>
      </w:r>
      <w:r w:rsidRPr="00022208">
        <w:rPr>
          <w:rFonts w:ascii="Garamond" w:eastAsia="Garamond" w:hAnsi="Garamond" w:cs="Garamond"/>
          <w:sz w:val="28"/>
          <w:szCs w:val="28"/>
        </w:rPr>
        <w:t xml:space="preserve"> quarter, a trade war over tariffs with China and some of our trading partners is possible.   </w:t>
      </w:r>
      <w:r w:rsidR="006520A4" w:rsidRPr="00022208">
        <w:rPr>
          <w:rFonts w:ascii="Garamond" w:eastAsia="Garamond" w:hAnsi="Garamond" w:cs="Garamond"/>
          <w:sz w:val="28"/>
          <w:szCs w:val="28"/>
        </w:rPr>
        <w:t xml:space="preserve">The longer that the uncertainty regarding the trade situation persists the greater the risk for the economy and the markets. Domestic and International political concerns are ongoing and may precipitate a crisis at any time. </w:t>
      </w:r>
      <w:r w:rsidR="004A05C2" w:rsidRPr="00022208">
        <w:rPr>
          <w:rFonts w:ascii="Garamond" w:eastAsia="Garamond" w:hAnsi="Garamond" w:cs="Garamond"/>
          <w:sz w:val="28"/>
          <w:szCs w:val="28"/>
        </w:rPr>
        <w:t>H</w:t>
      </w:r>
      <w:r w:rsidRPr="00022208">
        <w:rPr>
          <w:rFonts w:ascii="Garamond" w:eastAsia="Garamond" w:hAnsi="Garamond" w:cs="Garamond"/>
          <w:sz w:val="28"/>
          <w:szCs w:val="28"/>
        </w:rPr>
        <w:t xml:space="preserve">opefully, they will continue to muddle along.  But our economy appears in good shape and we </w:t>
      </w:r>
      <w:r w:rsidR="002D17BE" w:rsidRPr="00022208">
        <w:rPr>
          <w:rFonts w:ascii="Garamond" w:eastAsia="Garamond" w:hAnsi="Garamond" w:cs="Garamond"/>
          <w:sz w:val="28"/>
          <w:szCs w:val="28"/>
        </w:rPr>
        <w:t>will keep our eye on second quarter corporate earnings.</w:t>
      </w:r>
    </w:p>
    <w:p w14:paraId="62E582E3" w14:textId="23BA2BAD" w:rsidR="002D17BE" w:rsidRPr="00022208" w:rsidRDefault="002D17BE" w:rsidP="00307775">
      <w:pPr>
        <w:spacing w:before="100" w:after="280" w:line="240" w:lineRule="auto"/>
        <w:rPr>
          <w:rFonts w:ascii="Garamond" w:eastAsia="Garamond" w:hAnsi="Garamond" w:cs="Garamond"/>
          <w:sz w:val="28"/>
          <w:szCs w:val="28"/>
        </w:rPr>
      </w:pPr>
      <w:r w:rsidRPr="00022208">
        <w:rPr>
          <w:rFonts w:ascii="Garamond" w:eastAsia="Garamond" w:hAnsi="Garamond" w:cs="Garamond"/>
          <w:sz w:val="28"/>
          <w:szCs w:val="28"/>
        </w:rPr>
        <w:t>We continue to recommend target stock allocation</w:t>
      </w:r>
      <w:r w:rsidR="004A05C2" w:rsidRPr="00022208">
        <w:rPr>
          <w:rFonts w:ascii="Garamond" w:eastAsia="Garamond" w:hAnsi="Garamond" w:cs="Garamond"/>
          <w:sz w:val="28"/>
          <w:szCs w:val="28"/>
        </w:rPr>
        <w:t>s</w:t>
      </w:r>
      <w:r w:rsidRPr="00022208">
        <w:rPr>
          <w:rFonts w:ascii="Garamond" w:eastAsia="Garamond" w:hAnsi="Garamond" w:cs="Garamond"/>
          <w:sz w:val="28"/>
          <w:szCs w:val="28"/>
        </w:rPr>
        <w:t xml:space="preserve"> be maintained.  If you are in any way uncomfortable with your allocation, please let us know.</w:t>
      </w:r>
    </w:p>
    <w:p w14:paraId="5E5EFA8C" w14:textId="77777777" w:rsidR="00337855" w:rsidRPr="00022208" w:rsidRDefault="00337855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6F0240F6" w14:textId="77777777" w:rsidR="009D638B" w:rsidRPr="00022208" w:rsidRDefault="001B21E4" w:rsidP="009D638B">
      <w:pPr>
        <w:spacing w:after="0" w:line="240" w:lineRule="auto"/>
        <w:jc w:val="right"/>
        <w:rPr>
          <w:b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</w:rPr>
        <w:t>MSM FINANCIAL STRATEGIES</w:t>
      </w:r>
    </w:p>
    <w:p w14:paraId="44830BA9" w14:textId="7E3F7FAF" w:rsidR="0090706C" w:rsidRPr="008C0B69" w:rsidRDefault="009D638B" w:rsidP="0090706C">
      <w:pPr>
        <w:spacing w:after="0" w:line="240" w:lineRule="auto"/>
        <w:ind w:left="2880" w:firstLine="7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022208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3915C5" w:rsidRPr="00022208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337855" w:rsidRPr="00022208">
        <w:rPr>
          <w:rFonts w:ascii="Garamond" w:eastAsia="Garamond" w:hAnsi="Garamond" w:cs="Garamond"/>
          <w:b/>
          <w:sz w:val="28"/>
          <w:szCs w:val="28"/>
        </w:rPr>
        <w:t>7</w:t>
      </w:r>
      <w:r w:rsidR="007301DF" w:rsidRPr="00022208">
        <w:rPr>
          <w:rFonts w:ascii="Garamond" w:eastAsia="Garamond" w:hAnsi="Garamond" w:cs="Garamond"/>
          <w:b/>
          <w:sz w:val="28"/>
          <w:szCs w:val="28"/>
        </w:rPr>
        <w:t>/</w:t>
      </w:r>
      <w:r w:rsidR="00337855" w:rsidRPr="00022208">
        <w:rPr>
          <w:rFonts w:ascii="Garamond" w:eastAsia="Garamond" w:hAnsi="Garamond" w:cs="Garamond"/>
          <w:b/>
          <w:sz w:val="28"/>
          <w:szCs w:val="28"/>
        </w:rPr>
        <w:t>6</w:t>
      </w:r>
      <w:r w:rsidR="003915C5" w:rsidRPr="00022208">
        <w:rPr>
          <w:rFonts w:ascii="Garamond" w:eastAsia="Garamond" w:hAnsi="Garamond" w:cs="Garamond"/>
          <w:b/>
          <w:sz w:val="28"/>
          <w:szCs w:val="28"/>
        </w:rPr>
        <w:t>/201</w:t>
      </w:r>
      <w:r w:rsidR="00307775" w:rsidRPr="00022208">
        <w:rPr>
          <w:rFonts w:ascii="Garamond" w:eastAsia="Garamond" w:hAnsi="Garamond" w:cs="Garamond"/>
          <w:b/>
          <w:sz w:val="28"/>
          <w:szCs w:val="28"/>
        </w:rPr>
        <w:t>8</w:t>
      </w:r>
    </w:p>
    <w:p w14:paraId="72633A9E" w14:textId="77777777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201</w:t>
      </w:r>
      <w:r w:rsidR="00307775" w:rsidRPr="0092215C">
        <w:rPr>
          <w:rFonts w:ascii="Garamond" w:eastAsia="Garamond" w:hAnsi="Garamond" w:cs="Garamond"/>
          <w:i/>
          <w:sz w:val="16"/>
          <w:szCs w:val="16"/>
        </w:rPr>
        <w:t>8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022208">
      <w:headerReference w:type="default" r:id="rId7"/>
      <w:pgSz w:w="12240" w:h="15840"/>
      <w:pgMar w:top="1440" w:right="1440" w:bottom="1152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5B953" w14:textId="77777777" w:rsidR="003A3961" w:rsidRDefault="003A3961">
      <w:pPr>
        <w:spacing w:after="0" w:line="240" w:lineRule="auto"/>
      </w:pPr>
      <w:r>
        <w:separator/>
      </w:r>
    </w:p>
  </w:endnote>
  <w:endnote w:type="continuationSeparator" w:id="0">
    <w:p w14:paraId="6FD33E3E" w14:textId="77777777" w:rsidR="003A3961" w:rsidRDefault="003A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C6EB" w14:textId="77777777" w:rsidR="003A3961" w:rsidRDefault="003A3961">
      <w:pPr>
        <w:spacing w:after="0" w:line="240" w:lineRule="auto"/>
      </w:pPr>
      <w:r>
        <w:separator/>
      </w:r>
    </w:p>
  </w:footnote>
  <w:footnote w:type="continuationSeparator" w:id="0">
    <w:p w14:paraId="4F071E95" w14:textId="77777777" w:rsidR="003A3961" w:rsidRDefault="003A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2E01" w14:textId="012BD926" w:rsidR="00E43A93" w:rsidRPr="00E43A93" w:rsidRDefault="00337855" w:rsidP="00022208">
    <w:pPr>
      <w:pStyle w:val="Title"/>
    </w:pPr>
    <w:r w:rsidRPr="00022208">
      <w:rPr>
        <w:rFonts w:ascii="Garamond" w:eastAsia="Garamond" w:hAnsi="Garamond" w:cs="Garamond"/>
        <w:sz w:val="32"/>
        <w:szCs w:val="32"/>
      </w:rPr>
      <w:t>Second Quarter 2018</w:t>
    </w:r>
    <w:r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Pr="00022208">
      <w:rPr>
        <w:rFonts w:ascii="Garamond" w:eastAsia="Garamond" w:hAnsi="Garamond" w:cs="Garamond"/>
        <w:sz w:val="32"/>
        <w:szCs w:val="32"/>
      </w:rPr>
      <w:t>Review</w:t>
    </w:r>
    <w:r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Pr="00022208">
      <w:rPr>
        <w:rFonts w:ascii="Garamond" w:eastAsia="Garamond" w:hAnsi="Garamond" w:cs="Garamond"/>
        <w:sz w:val="32"/>
        <w:szCs w:val="32"/>
      </w:rPr>
      <w:t>and Outlook</w:t>
    </w:r>
  </w:p>
  <w:p w14:paraId="29BD9430" w14:textId="77777777" w:rsidR="00337855" w:rsidRDefault="00337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0B"/>
    <w:rsid w:val="000048A3"/>
    <w:rsid w:val="00022208"/>
    <w:rsid w:val="00031490"/>
    <w:rsid w:val="000435EB"/>
    <w:rsid w:val="00056AC9"/>
    <w:rsid w:val="00087BFD"/>
    <w:rsid w:val="000934DF"/>
    <w:rsid w:val="000A0E2F"/>
    <w:rsid w:val="000A60AA"/>
    <w:rsid w:val="000B1B9E"/>
    <w:rsid w:val="000D6EA0"/>
    <w:rsid w:val="000E3A53"/>
    <w:rsid w:val="001078CD"/>
    <w:rsid w:val="00124D05"/>
    <w:rsid w:val="00125B51"/>
    <w:rsid w:val="00125DDB"/>
    <w:rsid w:val="00125ED4"/>
    <w:rsid w:val="00163097"/>
    <w:rsid w:val="00184231"/>
    <w:rsid w:val="00190358"/>
    <w:rsid w:val="001A4366"/>
    <w:rsid w:val="001A7647"/>
    <w:rsid w:val="001B21E4"/>
    <w:rsid w:val="00204950"/>
    <w:rsid w:val="00205F8B"/>
    <w:rsid w:val="00207C56"/>
    <w:rsid w:val="00213E7E"/>
    <w:rsid w:val="002147B4"/>
    <w:rsid w:val="00223190"/>
    <w:rsid w:val="0024236A"/>
    <w:rsid w:val="0028603C"/>
    <w:rsid w:val="0029501D"/>
    <w:rsid w:val="002B4B28"/>
    <w:rsid w:val="002D17BE"/>
    <w:rsid w:val="00305FAC"/>
    <w:rsid w:val="003073E9"/>
    <w:rsid w:val="00307775"/>
    <w:rsid w:val="003169D0"/>
    <w:rsid w:val="00335EFA"/>
    <w:rsid w:val="00337855"/>
    <w:rsid w:val="00337DAB"/>
    <w:rsid w:val="0034680B"/>
    <w:rsid w:val="00360E9A"/>
    <w:rsid w:val="00365C8C"/>
    <w:rsid w:val="003915C5"/>
    <w:rsid w:val="00394833"/>
    <w:rsid w:val="00396214"/>
    <w:rsid w:val="003A3961"/>
    <w:rsid w:val="003C4434"/>
    <w:rsid w:val="00411DBA"/>
    <w:rsid w:val="00426D93"/>
    <w:rsid w:val="0043563C"/>
    <w:rsid w:val="00456356"/>
    <w:rsid w:val="004A05C2"/>
    <w:rsid w:val="004B7629"/>
    <w:rsid w:val="004C3C5D"/>
    <w:rsid w:val="004C6A13"/>
    <w:rsid w:val="004E5C89"/>
    <w:rsid w:val="005012EB"/>
    <w:rsid w:val="00510673"/>
    <w:rsid w:val="0052480B"/>
    <w:rsid w:val="00526E83"/>
    <w:rsid w:val="005528E7"/>
    <w:rsid w:val="00555DAC"/>
    <w:rsid w:val="00584234"/>
    <w:rsid w:val="005858EB"/>
    <w:rsid w:val="00587813"/>
    <w:rsid w:val="005976F3"/>
    <w:rsid w:val="005A233D"/>
    <w:rsid w:val="005A6A4E"/>
    <w:rsid w:val="005B7B08"/>
    <w:rsid w:val="005C7C6E"/>
    <w:rsid w:val="005E4D4E"/>
    <w:rsid w:val="005F3A37"/>
    <w:rsid w:val="0062340C"/>
    <w:rsid w:val="00635F56"/>
    <w:rsid w:val="006456FC"/>
    <w:rsid w:val="006520A4"/>
    <w:rsid w:val="006678DB"/>
    <w:rsid w:val="006818A5"/>
    <w:rsid w:val="00684450"/>
    <w:rsid w:val="006855D1"/>
    <w:rsid w:val="006916E2"/>
    <w:rsid w:val="006930B9"/>
    <w:rsid w:val="0069314F"/>
    <w:rsid w:val="006A3621"/>
    <w:rsid w:val="006E0932"/>
    <w:rsid w:val="006F40FD"/>
    <w:rsid w:val="006F599B"/>
    <w:rsid w:val="00705CA2"/>
    <w:rsid w:val="00705F1C"/>
    <w:rsid w:val="00726E57"/>
    <w:rsid w:val="007301DF"/>
    <w:rsid w:val="007307F7"/>
    <w:rsid w:val="00732359"/>
    <w:rsid w:val="00733781"/>
    <w:rsid w:val="007509A5"/>
    <w:rsid w:val="00760979"/>
    <w:rsid w:val="0078160C"/>
    <w:rsid w:val="00783F4D"/>
    <w:rsid w:val="00787D1B"/>
    <w:rsid w:val="00790230"/>
    <w:rsid w:val="007C7717"/>
    <w:rsid w:val="007D30E1"/>
    <w:rsid w:val="007E2418"/>
    <w:rsid w:val="007F1FE4"/>
    <w:rsid w:val="007F296E"/>
    <w:rsid w:val="007F4EA4"/>
    <w:rsid w:val="007F618C"/>
    <w:rsid w:val="008041B1"/>
    <w:rsid w:val="00824635"/>
    <w:rsid w:val="008253CE"/>
    <w:rsid w:val="00834257"/>
    <w:rsid w:val="008757E1"/>
    <w:rsid w:val="008807F4"/>
    <w:rsid w:val="00895EC7"/>
    <w:rsid w:val="008A0AFA"/>
    <w:rsid w:val="008A2A8A"/>
    <w:rsid w:val="008A3771"/>
    <w:rsid w:val="008A7912"/>
    <w:rsid w:val="008B2F1F"/>
    <w:rsid w:val="008C0B69"/>
    <w:rsid w:val="009005AD"/>
    <w:rsid w:val="0090338A"/>
    <w:rsid w:val="00905AB4"/>
    <w:rsid w:val="0090706C"/>
    <w:rsid w:val="00920E58"/>
    <w:rsid w:val="0092215C"/>
    <w:rsid w:val="0094767E"/>
    <w:rsid w:val="009760B8"/>
    <w:rsid w:val="009A40F3"/>
    <w:rsid w:val="009A7687"/>
    <w:rsid w:val="009D638B"/>
    <w:rsid w:val="009E4C3E"/>
    <w:rsid w:val="009F09B9"/>
    <w:rsid w:val="00A13790"/>
    <w:rsid w:val="00A3046C"/>
    <w:rsid w:val="00A5543B"/>
    <w:rsid w:val="00A82601"/>
    <w:rsid w:val="00AA3C5B"/>
    <w:rsid w:val="00AC18CB"/>
    <w:rsid w:val="00AF2BA1"/>
    <w:rsid w:val="00B10912"/>
    <w:rsid w:val="00B11695"/>
    <w:rsid w:val="00B46837"/>
    <w:rsid w:val="00B47B0C"/>
    <w:rsid w:val="00B83202"/>
    <w:rsid w:val="00B95174"/>
    <w:rsid w:val="00B97100"/>
    <w:rsid w:val="00BA73FE"/>
    <w:rsid w:val="00BB7992"/>
    <w:rsid w:val="00BD6C21"/>
    <w:rsid w:val="00BD6E20"/>
    <w:rsid w:val="00BE4A31"/>
    <w:rsid w:val="00BE5779"/>
    <w:rsid w:val="00BF5544"/>
    <w:rsid w:val="00BF5E08"/>
    <w:rsid w:val="00C01476"/>
    <w:rsid w:val="00C05872"/>
    <w:rsid w:val="00C230DE"/>
    <w:rsid w:val="00C4507A"/>
    <w:rsid w:val="00C713B9"/>
    <w:rsid w:val="00C76F92"/>
    <w:rsid w:val="00C85CD5"/>
    <w:rsid w:val="00C90BC0"/>
    <w:rsid w:val="00C90F0B"/>
    <w:rsid w:val="00C92C43"/>
    <w:rsid w:val="00CB494D"/>
    <w:rsid w:val="00CE123B"/>
    <w:rsid w:val="00CE1DD1"/>
    <w:rsid w:val="00CF5877"/>
    <w:rsid w:val="00D1280D"/>
    <w:rsid w:val="00D90B3B"/>
    <w:rsid w:val="00DA096B"/>
    <w:rsid w:val="00DA4D9C"/>
    <w:rsid w:val="00DA54E3"/>
    <w:rsid w:val="00DA586D"/>
    <w:rsid w:val="00DB6DA2"/>
    <w:rsid w:val="00DE1C19"/>
    <w:rsid w:val="00DF38EC"/>
    <w:rsid w:val="00E05E66"/>
    <w:rsid w:val="00E113CD"/>
    <w:rsid w:val="00E11B93"/>
    <w:rsid w:val="00E43A93"/>
    <w:rsid w:val="00E545CB"/>
    <w:rsid w:val="00E568BE"/>
    <w:rsid w:val="00E6169B"/>
    <w:rsid w:val="00E7406E"/>
    <w:rsid w:val="00E76DAF"/>
    <w:rsid w:val="00E80E2D"/>
    <w:rsid w:val="00E959BC"/>
    <w:rsid w:val="00EB5D88"/>
    <w:rsid w:val="00EF2943"/>
    <w:rsid w:val="00F100D1"/>
    <w:rsid w:val="00F172F1"/>
    <w:rsid w:val="00F254C0"/>
    <w:rsid w:val="00F56058"/>
    <w:rsid w:val="00F85FE7"/>
    <w:rsid w:val="00F95A61"/>
    <w:rsid w:val="00F96B33"/>
    <w:rsid w:val="00F97DF8"/>
    <w:rsid w:val="00FA05EB"/>
    <w:rsid w:val="00FA7011"/>
    <w:rsid w:val="00FB0866"/>
    <w:rsid w:val="00FD1AE7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B398"/>
  <w15:docId w15:val="{319DC7D0-8EBA-41FE-A9B9-4B2B1644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D6E20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A757-A0ED-45D1-B437-D8371EB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Scott</dc:creator>
  <cp:lastModifiedBy>Patricia Scott</cp:lastModifiedBy>
  <cp:revision>2</cp:revision>
  <cp:lastPrinted>2018-07-07T11:23:00Z</cp:lastPrinted>
  <dcterms:created xsi:type="dcterms:W3CDTF">2018-07-07T11:24:00Z</dcterms:created>
  <dcterms:modified xsi:type="dcterms:W3CDTF">2018-07-07T11:24:00Z</dcterms:modified>
</cp:coreProperties>
</file>