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4F74D" w14:textId="5A8EC32F"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Lawrence M. Meadows                                                      </w:t>
      </w:r>
      <w:r w:rsidR="00062E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4D3E2C">
        <w:rPr>
          <w:rFonts w:ascii="Times New Roman" w:hAnsi="Times New Roman" w:cs="Times New Roman"/>
          <w:color w:val="000000"/>
          <w:sz w:val="24"/>
          <w:szCs w:val="24"/>
        </w:rPr>
        <w:t>March 29</w:t>
      </w:r>
      <w:r>
        <w:rPr>
          <w:rFonts w:ascii="Times New Roman" w:hAnsi="Times New Roman" w:cs="Times New Roman"/>
          <w:color w:val="000000"/>
          <w:sz w:val="24"/>
          <w:szCs w:val="24"/>
        </w:rPr>
        <w:t>, 201</w:t>
      </w:r>
      <w:r w:rsidR="00A65E25">
        <w:rPr>
          <w:rFonts w:ascii="Times New Roman" w:hAnsi="Times New Roman" w:cs="Times New Roman"/>
          <w:color w:val="000000"/>
          <w:sz w:val="24"/>
          <w:szCs w:val="24"/>
        </w:rPr>
        <w:t>7</w:t>
      </w:r>
    </w:p>
    <w:p w14:paraId="0D903093"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MIA/FO/777/MDSB</w:t>
      </w:r>
    </w:p>
    <w:p w14:paraId="6FA42495"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AA# 332713</w:t>
      </w:r>
    </w:p>
    <w:p w14:paraId="071C5647"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 Box 4344</w:t>
      </w:r>
    </w:p>
    <w:p w14:paraId="652695DE"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Park City, UT 84060</w:t>
      </w:r>
    </w:p>
    <w:p w14:paraId="145048B5"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p>
    <w:p w14:paraId="6702002C" w14:textId="77777777" w:rsidR="00643C9A" w:rsidRDefault="00643C9A" w:rsidP="00643C9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Sent via email and certified mail:</w:t>
      </w:r>
    </w:p>
    <w:p w14:paraId="52CD8F92"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p>
    <w:p w14:paraId="3309A9FC" w14:textId="30F7CFAB" w:rsidR="00643C9A" w:rsidRDefault="00A65E25"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Charles Hepp</w:t>
      </w:r>
      <w:r w:rsidR="00643C9A">
        <w:rPr>
          <w:rFonts w:ascii="Times New Roman" w:hAnsi="Times New Roman" w:cs="Times New Roman"/>
          <w:color w:val="000000"/>
          <w:sz w:val="24"/>
          <w:szCs w:val="24"/>
        </w:rPr>
        <w:t xml:space="preserve">, </w:t>
      </w:r>
      <w:r w:rsidR="00FD4562">
        <w:rPr>
          <w:rFonts w:ascii="Times New Roman" w:hAnsi="Times New Roman" w:cs="Times New Roman"/>
          <w:color w:val="000000"/>
          <w:sz w:val="24"/>
          <w:szCs w:val="24"/>
        </w:rPr>
        <w:t xml:space="preserve">former </w:t>
      </w:r>
      <w:r w:rsidR="00643C9A">
        <w:rPr>
          <w:rFonts w:ascii="Times New Roman" w:hAnsi="Times New Roman" w:cs="Times New Roman"/>
          <w:color w:val="000000"/>
          <w:sz w:val="24"/>
          <w:szCs w:val="24"/>
        </w:rPr>
        <w:t>Appeal Board</w:t>
      </w:r>
      <w:r w:rsidR="00FD4562">
        <w:rPr>
          <w:rFonts w:ascii="Times New Roman" w:hAnsi="Times New Roman" w:cs="Times New Roman"/>
          <w:color w:val="000000"/>
          <w:sz w:val="24"/>
          <w:szCs w:val="24"/>
        </w:rPr>
        <w:t xml:space="preserve"> (“AB”)</w:t>
      </w:r>
      <w:r w:rsidR="00643C9A">
        <w:rPr>
          <w:rFonts w:ascii="Times New Roman" w:hAnsi="Times New Roman" w:cs="Times New Roman"/>
          <w:color w:val="000000"/>
          <w:sz w:val="24"/>
          <w:szCs w:val="24"/>
        </w:rPr>
        <w:t xml:space="preserve"> Chairman</w:t>
      </w:r>
    </w:p>
    <w:p w14:paraId="14CAE923"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Allied Pilots Association                                                                                    </w:t>
      </w:r>
    </w:p>
    <w:p w14:paraId="475EAD38"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O'Connell Building - Suite 500</w:t>
      </w:r>
    </w:p>
    <w:p w14:paraId="16281E74"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14600 Trinity Boulevard</w:t>
      </w:r>
    </w:p>
    <w:p w14:paraId="1C250B34" w14:textId="0FBA2BDF"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Fort Worth, TX 76155</w:t>
      </w:r>
    </w:p>
    <w:p w14:paraId="7431C0C8" w14:textId="125A1FB5" w:rsidR="00F3504C" w:rsidRDefault="00F3504C" w:rsidP="00643C9A">
      <w:pPr>
        <w:autoSpaceDE w:val="0"/>
        <w:autoSpaceDN w:val="0"/>
        <w:adjustRightInd w:val="0"/>
        <w:spacing w:after="0" w:line="240" w:lineRule="auto"/>
        <w:rPr>
          <w:rFonts w:ascii="Times New Roman" w:hAnsi="Times New Roman" w:cs="Times New Roman"/>
          <w:color w:val="000000"/>
          <w:sz w:val="24"/>
          <w:szCs w:val="24"/>
        </w:rPr>
      </w:pPr>
    </w:p>
    <w:p w14:paraId="267F24C5" w14:textId="2C6CD35A" w:rsidR="00F3504C" w:rsidRDefault="00F3504C"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 CA Pam Torell, APA Secretary-Treasurer</w:t>
      </w:r>
    </w:p>
    <w:p w14:paraId="7B3C9A66" w14:textId="77777777" w:rsidR="00F3504C" w:rsidRDefault="00F3504C" w:rsidP="00F350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Allied Pilots Association                                                                                    </w:t>
      </w:r>
    </w:p>
    <w:p w14:paraId="5EFC2B68" w14:textId="77777777" w:rsidR="00F3504C" w:rsidRDefault="00F3504C" w:rsidP="00F350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O'Connell Building - Suite 500</w:t>
      </w:r>
    </w:p>
    <w:p w14:paraId="0B1A300B" w14:textId="77777777" w:rsidR="00F3504C" w:rsidRDefault="00F3504C" w:rsidP="00F350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14600 Trinity Boulevard</w:t>
      </w:r>
    </w:p>
    <w:p w14:paraId="06B1C1C2" w14:textId="77777777" w:rsidR="00F3504C" w:rsidRDefault="00F3504C" w:rsidP="00F350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Fort Worth, TX 76155</w:t>
      </w:r>
    </w:p>
    <w:p w14:paraId="542B932B" w14:textId="77777777" w:rsidR="00643C9A" w:rsidRDefault="00643C9A" w:rsidP="00643C9A">
      <w:pPr>
        <w:autoSpaceDE w:val="0"/>
        <w:autoSpaceDN w:val="0"/>
        <w:adjustRightInd w:val="0"/>
        <w:spacing w:after="0" w:line="240" w:lineRule="auto"/>
        <w:rPr>
          <w:rFonts w:ascii="Times New Roman" w:hAnsi="Times New Roman" w:cs="Times New Roman"/>
          <w:b/>
          <w:bCs/>
          <w:color w:val="000000"/>
          <w:sz w:val="24"/>
          <w:szCs w:val="24"/>
        </w:rPr>
      </w:pPr>
    </w:p>
    <w:p w14:paraId="46649319" w14:textId="09828D24" w:rsidR="0097786C" w:rsidRDefault="00643C9A" w:rsidP="0097786C">
      <w:pPr>
        <w:autoSpaceDE w:val="0"/>
        <w:autoSpaceDN w:val="0"/>
        <w:adjustRightInd w:val="0"/>
        <w:spacing w:after="0" w:line="240" w:lineRule="auto"/>
        <w:ind w:right="-432"/>
        <w:rPr>
          <w:rFonts w:ascii="Times New Roman" w:hAnsi="Times New Roman" w:cs="Times New Roman"/>
          <w:b/>
          <w:bCs/>
          <w:color w:val="000000"/>
          <w:sz w:val="24"/>
          <w:szCs w:val="24"/>
          <w:u w:val="single"/>
        </w:rPr>
      </w:pPr>
      <w:r w:rsidRPr="0097786C">
        <w:rPr>
          <w:rFonts w:ascii="Times New Roman" w:hAnsi="Times New Roman" w:cs="Times New Roman"/>
          <w:b/>
          <w:bCs/>
          <w:color w:val="000000"/>
          <w:sz w:val="24"/>
          <w:szCs w:val="24"/>
          <w:u w:val="single"/>
        </w:rPr>
        <w:t xml:space="preserve">Re: </w:t>
      </w:r>
      <w:r w:rsidR="0074514E" w:rsidRPr="0097786C">
        <w:rPr>
          <w:rFonts w:ascii="Times New Roman" w:hAnsi="Times New Roman" w:cs="Times New Roman"/>
          <w:b/>
          <w:bCs/>
          <w:color w:val="000000"/>
          <w:sz w:val="24"/>
          <w:szCs w:val="24"/>
          <w:u w:val="single"/>
        </w:rPr>
        <w:t xml:space="preserve">Motion to Strike Accused’s Exhibits </w:t>
      </w:r>
      <w:r w:rsidR="0097786C">
        <w:rPr>
          <w:rFonts w:ascii="Times New Roman" w:hAnsi="Times New Roman" w:cs="Times New Roman"/>
          <w:b/>
          <w:bCs/>
          <w:color w:val="000000"/>
          <w:sz w:val="24"/>
          <w:szCs w:val="24"/>
          <w:u w:val="single"/>
        </w:rPr>
        <w:t xml:space="preserve">in Their Entirety, </w:t>
      </w:r>
      <w:r w:rsidR="0074514E" w:rsidRPr="0097786C">
        <w:rPr>
          <w:rFonts w:ascii="Times New Roman" w:hAnsi="Times New Roman" w:cs="Times New Roman"/>
          <w:b/>
          <w:bCs/>
          <w:color w:val="000000"/>
          <w:sz w:val="24"/>
          <w:szCs w:val="24"/>
          <w:u w:val="single"/>
        </w:rPr>
        <w:t>and</w:t>
      </w:r>
    </w:p>
    <w:p w14:paraId="7AAC2490" w14:textId="5CF3EB07" w:rsidR="0074514E" w:rsidRPr="0097786C" w:rsidRDefault="0074514E" w:rsidP="0097786C">
      <w:pPr>
        <w:autoSpaceDE w:val="0"/>
        <w:autoSpaceDN w:val="0"/>
        <w:adjustRightInd w:val="0"/>
        <w:spacing w:after="0" w:line="240" w:lineRule="auto"/>
        <w:ind w:right="-432"/>
        <w:rPr>
          <w:rFonts w:ascii="Times New Roman" w:hAnsi="Times New Roman" w:cs="Times New Roman"/>
          <w:b/>
          <w:bCs/>
          <w:color w:val="000000"/>
          <w:sz w:val="24"/>
          <w:szCs w:val="24"/>
          <w:u w:val="single"/>
        </w:rPr>
      </w:pPr>
      <w:r w:rsidRPr="0097786C">
        <w:rPr>
          <w:rFonts w:ascii="Times New Roman" w:hAnsi="Times New Roman" w:cs="Times New Roman"/>
          <w:b/>
          <w:bCs/>
          <w:color w:val="000000"/>
          <w:sz w:val="24"/>
          <w:szCs w:val="24"/>
          <w:u w:val="single"/>
        </w:rPr>
        <w:t xml:space="preserve">Motion </w:t>
      </w:r>
      <w:r w:rsidR="00262FBD" w:rsidRPr="0097786C">
        <w:rPr>
          <w:rFonts w:ascii="Times New Roman" w:hAnsi="Times New Roman" w:cs="Times New Roman"/>
          <w:b/>
          <w:bCs/>
          <w:color w:val="000000"/>
          <w:sz w:val="24"/>
          <w:szCs w:val="24"/>
          <w:u w:val="single"/>
        </w:rPr>
        <w:t>for</w:t>
      </w:r>
      <w:r w:rsidRPr="0097786C">
        <w:rPr>
          <w:rFonts w:ascii="Times New Roman" w:hAnsi="Times New Roman" w:cs="Times New Roman"/>
          <w:b/>
          <w:bCs/>
          <w:color w:val="000000"/>
          <w:sz w:val="24"/>
          <w:szCs w:val="24"/>
          <w:u w:val="single"/>
        </w:rPr>
        <w:t xml:space="preserve"> Default Judgement</w:t>
      </w:r>
    </w:p>
    <w:p w14:paraId="7EA96D31" w14:textId="77777777" w:rsidR="0074514E" w:rsidRDefault="0074514E" w:rsidP="00643C9A">
      <w:pPr>
        <w:autoSpaceDE w:val="0"/>
        <w:autoSpaceDN w:val="0"/>
        <w:adjustRightInd w:val="0"/>
        <w:spacing w:after="0" w:line="240" w:lineRule="auto"/>
        <w:rPr>
          <w:rFonts w:ascii="Times New Roman" w:hAnsi="Times New Roman" w:cs="Times New Roman"/>
          <w:b/>
          <w:bCs/>
          <w:color w:val="000000"/>
          <w:sz w:val="24"/>
          <w:szCs w:val="24"/>
        </w:rPr>
      </w:pPr>
    </w:p>
    <w:p w14:paraId="71314970"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p>
    <w:p w14:paraId="3279989D" w14:textId="2BA28DB0" w:rsidR="00F3504C" w:rsidRDefault="00F3504C"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Dear Captain </w:t>
      </w:r>
      <w:r w:rsidR="00A65E25">
        <w:rPr>
          <w:rFonts w:ascii="Times New Roman" w:hAnsi="Times New Roman" w:cs="Times New Roman"/>
          <w:color w:val="000000"/>
          <w:sz w:val="24"/>
          <w:szCs w:val="24"/>
        </w:rPr>
        <w:t>Hepp</w:t>
      </w:r>
      <w:r w:rsidR="00643C9A">
        <w:rPr>
          <w:rFonts w:ascii="Times New Roman" w:hAnsi="Times New Roman" w:cs="Times New Roman"/>
          <w:color w:val="000000"/>
          <w:sz w:val="24"/>
          <w:szCs w:val="24"/>
        </w:rPr>
        <w:t>,</w:t>
      </w:r>
    </w:p>
    <w:p w14:paraId="5B4C2869" w14:textId="77777777" w:rsidR="00B33B90" w:rsidRDefault="00B33B90" w:rsidP="00643C9A">
      <w:pPr>
        <w:autoSpaceDE w:val="0"/>
        <w:autoSpaceDN w:val="0"/>
        <w:adjustRightInd w:val="0"/>
        <w:spacing w:after="0" w:line="240" w:lineRule="auto"/>
        <w:rPr>
          <w:rFonts w:ascii="Times New Roman" w:hAnsi="Times New Roman" w:cs="Times New Roman"/>
          <w:color w:val="000000"/>
          <w:sz w:val="24"/>
          <w:szCs w:val="24"/>
        </w:rPr>
      </w:pPr>
    </w:p>
    <w:p w14:paraId="2FFCC15E" w14:textId="7EE575EA" w:rsidR="0074514E" w:rsidRDefault="00B25F5D" w:rsidP="00A65E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74514E">
        <w:rPr>
          <w:rFonts w:ascii="Times New Roman" w:hAnsi="Times New Roman" w:cs="Times New Roman"/>
          <w:color w:val="000000"/>
          <w:sz w:val="24"/>
          <w:szCs w:val="24"/>
        </w:rPr>
        <w:t>The purpose of this Motion Letter is two</w:t>
      </w:r>
      <w:r w:rsidR="00CA6476">
        <w:rPr>
          <w:rFonts w:ascii="Times New Roman" w:hAnsi="Times New Roman" w:cs="Times New Roman"/>
          <w:color w:val="000000"/>
          <w:sz w:val="24"/>
          <w:szCs w:val="24"/>
        </w:rPr>
        <w:t>-</w:t>
      </w:r>
      <w:r w:rsidR="00A55822">
        <w:rPr>
          <w:rFonts w:ascii="Times New Roman" w:hAnsi="Times New Roman" w:cs="Times New Roman"/>
          <w:color w:val="000000"/>
          <w:sz w:val="24"/>
          <w:szCs w:val="24"/>
        </w:rPr>
        <w:t>fold, to serve</w:t>
      </w:r>
      <w:r w:rsidR="00AB4CED">
        <w:rPr>
          <w:rFonts w:ascii="Times New Roman" w:hAnsi="Times New Roman" w:cs="Times New Roman"/>
          <w:color w:val="000000"/>
          <w:sz w:val="24"/>
          <w:szCs w:val="24"/>
        </w:rPr>
        <w:t xml:space="preserve"> the Appeal Board (“AB”) notice of Meadows’ </w:t>
      </w:r>
      <w:r w:rsidR="00A55822">
        <w:rPr>
          <w:rFonts w:ascii="Times New Roman" w:hAnsi="Times New Roman" w:cs="Times New Roman"/>
          <w:color w:val="000000"/>
          <w:sz w:val="24"/>
          <w:szCs w:val="24"/>
        </w:rPr>
        <w:t xml:space="preserve">Motion to Strike </w:t>
      </w:r>
      <w:r w:rsidR="00C22FFC">
        <w:rPr>
          <w:rFonts w:ascii="Times New Roman" w:hAnsi="Times New Roman" w:cs="Times New Roman"/>
          <w:color w:val="000000"/>
          <w:sz w:val="24"/>
          <w:szCs w:val="24"/>
        </w:rPr>
        <w:t>Accused’s</w:t>
      </w:r>
      <w:r w:rsidR="00A55822">
        <w:rPr>
          <w:rFonts w:ascii="Times New Roman" w:hAnsi="Times New Roman" w:cs="Times New Roman"/>
          <w:color w:val="000000"/>
          <w:sz w:val="24"/>
          <w:szCs w:val="24"/>
        </w:rPr>
        <w:t xml:space="preserve"> </w:t>
      </w:r>
      <w:r w:rsidR="00C22FFC">
        <w:rPr>
          <w:rFonts w:ascii="Times New Roman" w:hAnsi="Times New Roman" w:cs="Times New Roman"/>
          <w:color w:val="000000"/>
          <w:sz w:val="24"/>
          <w:szCs w:val="24"/>
        </w:rPr>
        <w:t>E</w:t>
      </w:r>
      <w:r w:rsidR="00A55822">
        <w:rPr>
          <w:rFonts w:ascii="Times New Roman" w:hAnsi="Times New Roman" w:cs="Times New Roman"/>
          <w:color w:val="000000"/>
          <w:sz w:val="24"/>
          <w:szCs w:val="24"/>
        </w:rPr>
        <w:t xml:space="preserve">xhibits, and also </w:t>
      </w:r>
      <w:r w:rsidR="00A800B2">
        <w:rPr>
          <w:rFonts w:ascii="Times New Roman" w:hAnsi="Times New Roman" w:cs="Times New Roman"/>
          <w:color w:val="000000"/>
          <w:sz w:val="24"/>
          <w:szCs w:val="24"/>
        </w:rPr>
        <w:t>his</w:t>
      </w:r>
      <w:r w:rsidR="00A55822">
        <w:rPr>
          <w:rFonts w:ascii="Times New Roman" w:hAnsi="Times New Roman" w:cs="Times New Roman"/>
          <w:color w:val="000000"/>
          <w:sz w:val="24"/>
          <w:szCs w:val="24"/>
        </w:rPr>
        <w:t xml:space="preserve"> Motion for Default Judgement.</w:t>
      </w:r>
    </w:p>
    <w:p w14:paraId="336FCA99" w14:textId="77777777" w:rsidR="0074514E" w:rsidRDefault="0074514E" w:rsidP="00A65E25">
      <w:pPr>
        <w:autoSpaceDE w:val="0"/>
        <w:autoSpaceDN w:val="0"/>
        <w:adjustRightInd w:val="0"/>
        <w:spacing w:after="0" w:line="240" w:lineRule="auto"/>
        <w:rPr>
          <w:rFonts w:ascii="Times New Roman" w:hAnsi="Times New Roman" w:cs="Times New Roman"/>
          <w:color w:val="000000"/>
          <w:sz w:val="24"/>
          <w:szCs w:val="24"/>
        </w:rPr>
      </w:pPr>
    </w:p>
    <w:p w14:paraId="3940E831" w14:textId="6F64CD5C" w:rsidR="00AB4CED" w:rsidRDefault="0074514E" w:rsidP="0074514E">
      <w:pPr>
        <w:autoSpaceDE w:val="0"/>
        <w:autoSpaceDN w:val="0"/>
        <w:adjustRightInd w:val="0"/>
        <w:spacing w:after="0" w:line="240" w:lineRule="auto"/>
        <w:ind w:firstLine="720"/>
        <w:rPr>
          <w:rFonts w:ascii="Times New Roman" w:hAnsi="Times New Roman" w:cs="Times New Roman"/>
          <w:color w:val="000000"/>
          <w:sz w:val="24"/>
          <w:szCs w:val="24"/>
        </w:rPr>
      </w:pPr>
      <w:r w:rsidRPr="00AB4CED">
        <w:rPr>
          <w:rFonts w:ascii="Times New Roman" w:hAnsi="Times New Roman" w:cs="Times New Roman"/>
          <w:b/>
          <w:color w:val="000000"/>
          <w:sz w:val="24"/>
          <w:szCs w:val="24"/>
        </w:rPr>
        <w:t xml:space="preserve"> First</w:t>
      </w:r>
      <w:r w:rsidR="006C66DA" w:rsidRPr="00AB4CED">
        <w:rPr>
          <w:rFonts w:ascii="Times New Roman" w:hAnsi="Times New Roman" w:cs="Times New Roman"/>
          <w:b/>
          <w:color w:val="000000"/>
          <w:sz w:val="24"/>
          <w:szCs w:val="24"/>
        </w:rPr>
        <w:t>, I respectfully M</w:t>
      </w:r>
      <w:r w:rsidRPr="00AB4CED">
        <w:rPr>
          <w:rFonts w:ascii="Times New Roman" w:hAnsi="Times New Roman" w:cs="Times New Roman"/>
          <w:b/>
          <w:color w:val="000000"/>
          <w:sz w:val="24"/>
          <w:szCs w:val="24"/>
        </w:rPr>
        <w:t xml:space="preserve">ove </w:t>
      </w:r>
      <w:r w:rsidR="006C66DA" w:rsidRPr="00AB4CED">
        <w:rPr>
          <w:rFonts w:ascii="Times New Roman" w:hAnsi="Times New Roman" w:cs="Times New Roman"/>
          <w:b/>
          <w:color w:val="000000"/>
          <w:sz w:val="24"/>
          <w:szCs w:val="24"/>
        </w:rPr>
        <w:t>to Strike</w:t>
      </w:r>
      <w:r w:rsidR="00AB4CED">
        <w:rPr>
          <w:rFonts w:ascii="Times New Roman" w:hAnsi="Times New Roman" w:cs="Times New Roman"/>
          <w:b/>
          <w:color w:val="000000"/>
          <w:sz w:val="24"/>
          <w:szCs w:val="24"/>
        </w:rPr>
        <w:t xml:space="preserve"> the Accused’s E</w:t>
      </w:r>
      <w:r w:rsidR="006C66DA" w:rsidRPr="00AB4CED">
        <w:rPr>
          <w:rFonts w:ascii="Times New Roman" w:hAnsi="Times New Roman" w:cs="Times New Roman"/>
          <w:b/>
          <w:color w:val="000000"/>
          <w:sz w:val="24"/>
          <w:szCs w:val="24"/>
        </w:rPr>
        <w:t>xhibits</w:t>
      </w:r>
      <w:r w:rsidR="00AB4CED">
        <w:rPr>
          <w:rFonts w:ascii="Times New Roman" w:hAnsi="Times New Roman" w:cs="Times New Roman"/>
          <w:b/>
          <w:color w:val="000000"/>
          <w:sz w:val="24"/>
          <w:szCs w:val="24"/>
        </w:rPr>
        <w:t xml:space="preserve"> in their entirety</w:t>
      </w:r>
      <w:r w:rsidR="006C66DA" w:rsidRPr="00AB4CED">
        <w:rPr>
          <w:rFonts w:ascii="Times New Roman" w:hAnsi="Times New Roman" w:cs="Times New Roman"/>
          <w:b/>
          <w:color w:val="000000"/>
          <w:sz w:val="24"/>
          <w:szCs w:val="24"/>
        </w:rPr>
        <w:t>,</w:t>
      </w:r>
      <w:r w:rsidR="00AB4CED">
        <w:rPr>
          <w:rFonts w:ascii="Times New Roman" w:hAnsi="Times New Roman" w:cs="Times New Roman"/>
          <w:color w:val="000000"/>
          <w:sz w:val="24"/>
          <w:szCs w:val="24"/>
        </w:rPr>
        <w:t xml:space="preserve"> as</w:t>
      </w:r>
      <w:r w:rsidR="006C66DA">
        <w:rPr>
          <w:rFonts w:ascii="Times New Roman" w:hAnsi="Times New Roman" w:cs="Times New Roman"/>
          <w:color w:val="000000"/>
          <w:sz w:val="24"/>
          <w:szCs w:val="24"/>
        </w:rPr>
        <w:t xml:space="preserve"> she should</w:t>
      </w:r>
      <w:r>
        <w:rPr>
          <w:rFonts w:ascii="Times New Roman" w:hAnsi="Times New Roman" w:cs="Times New Roman"/>
          <w:color w:val="000000"/>
          <w:sz w:val="24"/>
          <w:szCs w:val="24"/>
        </w:rPr>
        <w:t xml:space="preserve"> not be allowed to submit ANY exhibits in her defense, as she never properly</w:t>
      </w:r>
      <w:r w:rsidR="00A55822">
        <w:rPr>
          <w:rFonts w:ascii="Times New Roman" w:hAnsi="Times New Roman" w:cs="Times New Roman"/>
          <w:color w:val="000000"/>
          <w:sz w:val="24"/>
          <w:szCs w:val="24"/>
        </w:rPr>
        <w:t xml:space="preserve"> introduce</w:t>
      </w:r>
      <w:r w:rsidR="00AB4CED">
        <w:rPr>
          <w:rFonts w:ascii="Times New Roman" w:hAnsi="Times New Roman" w:cs="Times New Roman"/>
          <w:color w:val="000000"/>
          <w:sz w:val="24"/>
          <w:szCs w:val="24"/>
        </w:rPr>
        <w:t>d</w:t>
      </w:r>
      <w:r w:rsidR="00A55822">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w:r w:rsidR="00A55822">
        <w:rPr>
          <w:rFonts w:ascii="Times New Roman" w:hAnsi="Times New Roman" w:cs="Times New Roman"/>
          <w:color w:val="000000"/>
          <w:sz w:val="24"/>
          <w:szCs w:val="24"/>
        </w:rPr>
        <w:t>entered them into the record</w:t>
      </w:r>
      <w:r w:rsidR="00AB4CED">
        <w:rPr>
          <w:rFonts w:ascii="Times New Roman" w:hAnsi="Times New Roman" w:cs="Times New Roman"/>
          <w:color w:val="000000"/>
          <w:sz w:val="24"/>
          <w:szCs w:val="24"/>
        </w:rPr>
        <w:t>, either</w:t>
      </w:r>
      <w:r w:rsidR="00A558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through testimony</w:t>
      </w:r>
      <w:r w:rsidR="006C66DA">
        <w:rPr>
          <w:rFonts w:ascii="Times New Roman" w:hAnsi="Times New Roman" w:cs="Times New Roman"/>
          <w:color w:val="000000"/>
          <w:sz w:val="24"/>
          <w:szCs w:val="24"/>
        </w:rPr>
        <w:t xml:space="preserve"> of herself or other witnesses. </w:t>
      </w:r>
      <w:r w:rsidR="00390692">
        <w:rPr>
          <w:rFonts w:ascii="Times New Roman" w:hAnsi="Times New Roman" w:cs="Times New Roman"/>
          <w:color w:val="000000"/>
          <w:sz w:val="24"/>
          <w:szCs w:val="24"/>
        </w:rPr>
        <w:t xml:space="preserve">Thus, her exhibits were not properly authenticated. </w:t>
      </w:r>
      <w:r w:rsidR="006C66DA">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hereby, depriving me of my right to perform any cross-examination of her </w:t>
      </w:r>
      <w:r w:rsidR="00A55822">
        <w:rPr>
          <w:rFonts w:ascii="Times New Roman" w:hAnsi="Times New Roman" w:cs="Times New Roman"/>
          <w:color w:val="000000"/>
          <w:sz w:val="24"/>
          <w:szCs w:val="24"/>
        </w:rPr>
        <w:t>exhibits</w:t>
      </w:r>
      <w:r>
        <w:rPr>
          <w:rFonts w:ascii="Times New Roman" w:hAnsi="Times New Roman" w:cs="Times New Roman"/>
          <w:color w:val="000000"/>
          <w:sz w:val="24"/>
          <w:szCs w:val="24"/>
        </w:rPr>
        <w:t xml:space="preserve">. </w:t>
      </w:r>
      <w:r w:rsidR="00CA6476">
        <w:rPr>
          <w:rFonts w:ascii="Times New Roman" w:hAnsi="Times New Roman" w:cs="Times New Roman"/>
          <w:color w:val="000000"/>
          <w:sz w:val="24"/>
          <w:szCs w:val="24"/>
        </w:rPr>
        <w:t xml:space="preserve">Under these circumstances, such submission is </w:t>
      </w:r>
      <w:r w:rsidR="00A55822">
        <w:rPr>
          <w:rFonts w:ascii="Times New Roman" w:hAnsi="Times New Roman" w:cs="Times New Roman"/>
          <w:color w:val="000000"/>
          <w:sz w:val="24"/>
          <w:szCs w:val="24"/>
        </w:rPr>
        <w:t xml:space="preserve">entirely improper and must </w:t>
      </w:r>
      <w:r w:rsidR="00CA6476">
        <w:rPr>
          <w:rFonts w:ascii="Times New Roman" w:hAnsi="Times New Roman" w:cs="Times New Roman"/>
          <w:color w:val="000000"/>
          <w:sz w:val="24"/>
          <w:szCs w:val="24"/>
        </w:rPr>
        <w:t xml:space="preserve">not </w:t>
      </w:r>
      <w:r w:rsidR="00A55822">
        <w:rPr>
          <w:rFonts w:ascii="Times New Roman" w:hAnsi="Times New Roman" w:cs="Times New Roman"/>
          <w:color w:val="000000"/>
          <w:sz w:val="24"/>
          <w:szCs w:val="24"/>
        </w:rPr>
        <w:t xml:space="preserve">be </w:t>
      </w:r>
      <w:r w:rsidR="00CA6476">
        <w:rPr>
          <w:rFonts w:ascii="Times New Roman" w:hAnsi="Times New Roman" w:cs="Times New Roman"/>
          <w:color w:val="000000"/>
          <w:sz w:val="24"/>
          <w:szCs w:val="24"/>
        </w:rPr>
        <w:t>allowed,</w:t>
      </w:r>
      <w:r w:rsidR="00FD4562">
        <w:rPr>
          <w:rFonts w:ascii="Times New Roman" w:hAnsi="Times New Roman" w:cs="Times New Roman"/>
          <w:color w:val="000000"/>
          <w:sz w:val="24"/>
          <w:szCs w:val="24"/>
        </w:rPr>
        <w:t xml:space="preserve"> </w:t>
      </w:r>
      <w:r w:rsidR="00CA6476">
        <w:rPr>
          <w:rFonts w:ascii="Times New Roman" w:hAnsi="Times New Roman" w:cs="Times New Roman"/>
          <w:color w:val="000000"/>
          <w:sz w:val="24"/>
          <w:szCs w:val="24"/>
        </w:rPr>
        <w:t>not to mention in violation of the</w:t>
      </w:r>
      <w:r w:rsidR="00FD4562">
        <w:rPr>
          <w:rFonts w:ascii="Times New Roman" w:hAnsi="Times New Roman" w:cs="Times New Roman"/>
          <w:color w:val="000000"/>
          <w:sz w:val="24"/>
          <w:szCs w:val="24"/>
        </w:rPr>
        <w:t xml:space="preserve"> standard protocols and </w:t>
      </w:r>
      <w:r w:rsidR="00CA6476">
        <w:rPr>
          <w:rFonts w:ascii="Times New Roman" w:hAnsi="Times New Roman" w:cs="Times New Roman"/>
          <w:color w:val="000000"/>
          <w:sz w:val="24"/>
          <w:szCs w:val="24"/>
        </w:rPr>
        <w:t>the rules of evidence</w:t>
      </w:r>
      <w:r w:rsidR="00FD4562">
        <w:rPr>
          <w:rFonts w:ascii="Times New Roman" w:hAnsi="Times New Roman" w:cs="Times New Roman"/>
          <w:color w:val="000000"/>
          <w:sz w:val="24"/>
          <w:szCs w:val="24"/>
        </w:rPr>
        <w:t xml:space="preserve"> used by administrative tribunals. </w:t>
      </w:r>
      <w:r w:rsidR="00CA6476">
        <w:rPr>
          <w:rFonts w:ascii="Times New Roman" w:hAnsi="Times New Roman" w:cs="Times New Roman"/>
          <w:color w:val="000000"/>
          <w:sz w:val="24"/>
          <w:szCs w:val="24"/>
        </w:rPr>
        <w:t xml:space="preserve">Thus, </w:t>
      </w:r>
      <w:r>
        <w:rPr>
          <w:rFonts w:ascii="Times New Roman" w:hAnsi="Times New Roman" w:cs="Times New Roman"/>
          <w:color w:val="000000"/>
          <w:sz w:val="24"/>
          <w:szCs w:val="24"/>
        </w:rPr>
        <w:t xml:space="preserve">it </w:t>
      </w:r>
      <w:r w:rsidR="00FD4562">
        <w:rPr>
          <w:rFonts w:ascii="Times New Roman" w:hAnsi="Times New Roman" w:cs="Times New Roman"/>
          <w:color w:val="000000"/>
          <w:sz w:val="24"/>
          <w:szCs w:val="24"/>
        </w:rPr>
        <w:t>would be</w:t>
      </w:r>
      <w:r>
        <w:rPr>
          <w:rFonts w:ascii="Times New Roman" w:hAnsi="Times New Roman" w:cs="Times New Roman"/>
          <w:color w:val="000000"/>
          <w:sz w:val="24"/>
          <w:szCs w:val="24"/>
        </w:rPr>
        <w:t xml:space="preserve"> </w:t>
      </w:r>
      <w:r w:rsidR="00CA6476">
        <w:rPr>
          <w:rFonts w:ascii="Times New Roman" w:hAnsi="Times New Roman" w:cs="Times New Roman"/>
          <w:color w:val="000000"/>
          <w:sz w:val="24"/>
          <w:szCs w:val="24"/>
        </w:rPr>
        <w:t xml:space="preserve">grossly </w:t>
      </w:r>
      <w:r>
        <w:rPr>
          <w:rFonts w:ascii="Times New Roman" w:hAnsi="Times New Roman" w:cs="Times New Roman"/>
          <w:color w:val="000000"/>
          <w:sz w:val="24"/>
          <w:szCs w:val="24"/>
        </w:rPr>
        <w:t xml:space="preserve">unfair and prejudicial to allow her </w:t>
      </w:r>
      <w:r w:rsidR="006C66DA">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use her exhibits in support on any argument she</w:t>
      </w:r>
      <w:r w:rsidR="00FD4562">
        <w:rPr>
          <w:rFonts w:ascii="Times New Roman" w:hAnsi="Times New Roman" w:cs="Times New Roman"/>
          <w:color w:val="000000"/>
          <w:sz w:val="24"/>
          <w:szCs w:val="24"/>
        </w:rPr>
        <w:t xml:space="preserve"> </w:t>
      </w:r>
      <w:r w:rsidR="006C66DA">
        <w:rPr>
          <w:rFonts w:ascii="Times New Roman" w:hAnsi="Times New Roman" w:cs="Times New Roman"/>
          <w:color w:val="000000"/>
          <w:sz w:val="24"/>
          <w:szCs w:val="24"/>
        </w:rPr>
        <w:t xml:space="preserve">attempts to make </w:t>
      </w:r>
      <w:r w:rsidR="00FD4562">
        <w:rPr>
          <w:rFonts w:ascii="Times New Roman" w:hAnsi="Times New Roman" w:cs="Times New Roman"/>
          <w:color w:val="000000"/>
          <w:sz w:val="24"/>
          <w:szCs w:val="24"/>
        </w:rPr>
        <w:t>in her brief; because she r</w:t>
      </w:r>
      <w:r>
        <w:rPr>
          <w:rFonts w:ascii="Times New Roman" w:hAnsi="Times New Roman" w:cs="Times New Roman"/>
          <w:color w:val="000000"/>
          <w:sz w:val="24"/>
          <w:szCs w:val="24"/>
        </w:rPr>
        <w:t>ef</w:t>
      </w:r>
      <w:r w:rsidR="006C66DA">
        <w:rPr>
          <w:rFonts w:ascii="Times New Roman" w:hAnsi="Times New Roman" w:cs="Times New Roman"/>
          <w:color w:val="000000"/>
          <w:sz w:val="24"/>
          <w:szCs w:val="24"/>
        </w:rPr>
        <w:t>used</w:t>
      </w:r>
      <w:r w:rsidR="0001703B">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appear (despite no</w:t>
      </w:r>
      <w:r w:rsidR="006C66DA">
        <w:rPr>
          <w:rFonts w:ascii="Times New Roman" w:hAnsi="Times New Roman" w:cs="Times New Roman"/>
          <w:color w:val="000000"/>
          <w:sz w:val="24"/>
          <w:szCs w:val="24"/>
        </w:rPr>
        <w:t>t being</w:t>
      </w:r>
      <w:r>
        <w:rPr>
          <w:rFonts w:ascii="Times New Roman" w:hAnsi="Times New Roman" w:cs="Times New Roman"/>
          <w:color w:val="000000"/>
          <w:sz w:val="24"/>
          <w:szCs w:val="24"/>
        </w:rPr>
        <w:t xml:space="preserve"> released from her obligation to provide sworn testimony</w:t>
      </w:r>
      <w:r w:rsidR="0001703B">
        <w:rPr>
          <w:rFonts w:ascii="Times New Roman" w:hAnsi="Times New Roman" w:cs="Times New Roman"/>
          <w:color w:val="000000"/>
          <w:sz w:val="24"/>
          <w:szCs w:val="24"/>
        </w:rPr>
        <w:t xml:space="preserve"> by the AB Chairman</w:t>
      </w:r>
      <w:r w:rsidR="00CA6476">
        <w:rPr>
          <w:rFonts w:ascii="Times New Roman" w:hAnsi="Times New Roman" w:cs="Times New Roman"/>
          <w:color w:val="000000"/>
          <w:sz w:val="24"/>
          <w:szCs w:val="24"/>
        </w:rPr>
        <w:t>)</w:t>
      </w:r>
      <w:r w:rsidR="006C66DA">
        <w:rPr>
          <w:rFonts w:ascii="Times New Roman" w:hAnsi="Times New Roman" w:cs="Times New Roman"/>
          <w:color w:val="000000"/>
          <w:sz w:val="24"/>
          <w:szCs w:val="24"/>
        </w:rPr>
        <w:t>, making herself unavailable as the</w:t>
      </w:r>
      <w:r w:rsidR="0001703B">
        <w:rPr>
          <w:rFonts w:ascii="Times New Roman" w:hAnsi="Times New Roman" w:cs="Times New Roman"/>
          <w:color w:val="000000"/>
          <w:sz w:val="24"/>
          <w:szCs w:val="24"/>
        </w:rPr>
        <w:t xml:space="preserve"> necessary and</w:t>
      </w:r>
      <w:r w:rsidR="006C66DA">
        <w:rPr>
          <w:rFonts w:ascii="Times New Roman" w:hAnsi="Times New Roman" w:cs="Times New Roman"/>
          <w:color w:val="000000"/>
          <w:sz w:val="24"/>
          <w:szCs w:val="24"/>
        </w:rPr>
        <w:t xml:space="preserve"> prime witness </w:t>
      </w:r>
      <w:r w:rsidR="00FD4562">
        <w:rPr>
          <w:rFonts w:ascii="Times New Roman" w:hAnsi="Times New Roman" w:cs="Times New Roman"/>
          <w:color w:val="000000"/>
          <w:sz w:val="24"/>
          <w:szCs w:val="24"/>
        </w:rPr>
        <w:t>to complete her testimony and presentation of her case</w:t>
      </w:r>
      <w:r w:rsidR="00CA6476">
        <w:rPr>
          <w:rFonts w:ascii="Times New Roman" w:hAnsi="Times New Roman" w:cs="Times New Roman"/>
          <w:color w:val="000000"/>
          <w:sz w:val="24"/>
          <w:szCs w:val="24"/>
        </w:rPr>
        <w:t xml:space="preserve">. </w:t>
      </w:r>
    </w:p>
    <w:p w14:paraId="43819AEB" w14:textId="77777777" w:rsidR="00AB4CED" w:rsidRDefault="00AB4CED" w:rsidP="0074514E">
      <w:pPr>
        <w:autoSpaceDE w:val="0"/>
        <w:autoSpaceDN w:val="0"/>
        <w:adjustRightInd w:val="0"/>
        <w:spacing w:after="0" w:line="240" w:lineRule="auto"/>
        <w:ind w:firstLine="720"/>
        <w:rPr>
          <w:rFonts w:ascii="Times New Roman" w:hAnsi="Times New Roman" w:cs="Times New Roman"/>
          <w:color w:val="000000"/>
          <w:sz w:val="24"/>
          <w:szCs w:val="24"/>
        </w:rPr>
      </w:pPr>
    </w:p>
    <w:p w14:paraId="42B1DAE6" w14:textId="0C53AE79" w:rsidR="0074514E" w:rsidRDefault="00CA6476" w:rsidP="0074514E">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Indeed</w:t>
      </w:r>
      <w:r w:rsidR="00FD4562">
        <w:rPr>
          <w:rFonts w:ascii="Times New Roman" w:hAnsi="Times New Roman" w:cs="Times New Roman"/>
          <w:color w:val="000000"/>
          <w:sz w:val="24"/>
          <w:szCs w:val="24"/>
        </w:rPr>
        <w:t>,</w:t>
      </w:r>
      <w:r w:rsidR="006C66DA">
        <w:rPr>
          <w:rFonts w:ascii="Times New Roman" w:hAnsi="Times New Roman" w:cs="Times New Roman"/>
          <w:color w:val="000000"/>
          <w:sz w:val="24"/>
          <w:szCs w:val="24"/>
        </w:rPr>
        <w:t xml:space="preserve"> in response to her refusal to testify</w:t>
      </w:r>
      <w:r w:rsidR="0001703B">
        <w:rPr>
          <w:rFonts w:ascii="Times New Roman" w:hAnsi="Times New Roman" w:cs="Times New Roman"/>
          <w:color w:val="000000"/>
          <w:sz w:val="24"/>
          <w:szCs w:val="24"/>
        </w:rPr>
        <w:t>,</w:t>
      </w:r>
      <w:r w:rsidR="006C66DA">
        <w:rPr>
          <w:rFonts w:ascii="Times New Roman" w:hAnsi="Times New Roman" w:cs="Times New Roman"/>
          <w:color w:val="000000"/>
          <w:sz w:val="24"/>
          <w:szCs w:val="24"/>
        </w:rPr>
        <w:t xml:space="preserve"> t</w:t>
      </w:r>
      <w:r>
        <w:rPr>
          <w:rFonts w:ascii="Times New Roman" w:hAnsi="Times New Roman" w:cs="Times New Roman"/>
          <w:color w:val="000000"/>
          <w:sz w:val="24"/>
          <w:szCs w:val="24"/>
        </w:rPr>
        <w:t>he AB Chai</w:t>
      </w:r>
      <w:r w:rsidR="00FD4562">
        <w:rPr>
          <w:rFonts w:ascii="Times New Roman" w:hAnsi="Times New Roman" w:cs="Times New Roman"/>
          <w:color w:val="000000"/>
          <w:sz w:val="24"/>
          <w:szCs w:val="24"/>
        </w:rPr>
        <w:t>r</w:t>
      </w:r>
      <w:r>
        <w:rPr>
          <w:rFonts w:ascii="Times New Roman" w:hAnsi="Times New Roman" w:cs="Times New Roman"/>
          <w:color w:val="000000"/>
          <w:sz w:val="24"/>
          <w:szCs w:val="24"/>
        </w:rPr>
        <w:t>man</w:t>
      </w:r>
      <w:r w:rsidR="006C66DA">
        <w:rPr>
          <w:rFonts w:ascii="Times New Roman" w:hAnsi="Times New Roman" w:cs="Times New Roman"/>
          <w:color w:val="000000"/>
          <w:sz w:val="24"/>
          <w:szCs w:val="24"/>
        </w:rPr>
        <w:t xml:space="preserve"> </w:t>
      </w:r>
      <w:r w:rsidR="00FD4562">
        <w:rPr>
          <w:rFonts w:ascii="Times New Roman" w:hAnsi="Times New Roman" w:cs="Times New Roman"/>
          <w:color w:val="000000"/>
          <w:sz w:val="24"/>
          <w:szCs w:val="24"/>
        </w:rPr>
        <w:t>ad</w:t>
      </w:r>
      <w:r>
        <w:rPr>
          <w:rFonts w:ascii="Times New Roman" w:hAnsi="Times New Roman" w:cs="Times New Roman"/>
          <w:color w:val="000000"/>
          <w:sz w:val="24"/>
          <w:szCs w:val="24"/>
        </w:rPr>
        <w:t>monished</w:t>
      </w:r>
      <w:r w:rsidR="00FD4562">
        <w:rPr>
          <w:rFonts w:ascii="Times New Roman" w:hAnsi="Times New Roman" w:cs="Times New Roman"/>
          <w:color w:val="000000"/>
          <w:sz w:val="24"/>
          <w:szCs w:val="24"/>
        </w:rPr>
        <w:t xml:space="preserve"> CA Torell</w:t>
      </w:r>
      <w:r w:rsidR="006C66DA">
        <w:rPr>
          <w:rFonts w:ascii="Times New Roman" w:hAnsi="Times New Roman" w:cs="Times New Roman"/>
          <w:color w:val="000000"/>
          <w:sz w:val="24"/>
          <w:szCs w:val="24"/>
        </w:rPr>
        <w:t>,</w:t>
      </w:r>
      <w:r w:rsidR="00FD4562">
        <w:rPr>
          <w:rFonts w:ascii="Times New Roman" w:hAnsi="Times New Roman" w:cs="Times New Roman"/>
          <w:color w:val="000000"/>
          <w:sz w:val="24"/>
          <w:szCs w:val="24"/>
        </w:rPr>
        <w:t xml:space="preserve"> stating that her attendance was mandatory and by refusing to appear she usurped the authority of the AB</w:t>
      </w:r>
      <w:r w:rsidR="006C66DA">
        <w:rPr>
          <w:rStyle w:val="FootnoteReference"/>
          <w:rFonts w:ascii="Times New Roman" w:hAnsi="Times New Roman" w:cs="Times New Roman"/>
          <w:color w:val="000000"/>
          <w:sz w:val="24"/>
          <w:szCs w:val="24"/>
        </w:rPr>
        <w:footnoteReference w:id="1"/>
      </w:r>
      <w:r w:rsidR="0001703B">
        <w:rPr>
          <w:rFonts w:ascii="Times New Roman" w:hAnsi="Times New Roman" w:cs="Times New Roman"/>
          <w:color w:val="000000"/>
          <w:sz w:val="24"/>
          <w:szCs w:val="24"/>
        </w:rPr>
        <w:t>. Such m</w:t>
      </w:r>
      <w:r w:rsidR="00FD4562">
        <w:rPr>
          <w:rFonts w:ascii="Times New Roman" w:hAnsi="Times New Roman" w:cs="Times New Roman"/>
          <w:color w:val="000000"/>
          <w:sz w:val="24"/>
          <w:szCs w:val="24"/>
        </w:rPr>
        <w:t>alfeasance should not be rewarded</w:t>
      </w:r>
      <w:r w:rsidR="009E7F31">
        <w:rPr>
          <w:rFonts w:ascii="Times New Roman" w:hAnsi="Times New Roman" w:cs="Times New Roman"/>
          <w:color w:val="000000"/>
          <w:sz w:val="24"/>
          <w:szCs w:val="24"/>
        </w:rPr>
        <w:t xml:space="preserve">, as she has usurped the authority of the AB, </w:t>
      </w:r>
      <w:r w:rsidR="009E7F31">
        <w:rPr>
          <w:rFonts w:ascii="Times New Roman" w:hAnsi="Times New Roman" w:cs="Times New Roman"/>
          <w:color w:val="000000"/>
          <w:sz w:val="24"/>
          <w:szCs w:val="24"/>
        </w:rPr>
        <w:lastRenderedPageBreak/>
        <w:t xml:space="preserve">and created an adverse precedent that the </w:t>
      </w:r>
      <w:r w:rsidR="00A55822">
        <w:rPr>
          <w:rFonts w:ascii="Times New Roman" w:hAnsi="Times New Roman" w:cs="Times New Roman"/>
          <w:color w:val="000000"/>
          <w:sz w:val="24"/>
          <w:szCs w:val="24"/>
        </w:rPr>
        <w:t xml:space="preserve">future </w:t>
      </w:r>
      <w:r w:rsidR="00AB4CED">
        <w:rPr>
          <w:rFonts w:ascii="Times New Roman" w:hAnsi="Times New Roman" w:cs="Times New Roman"/>
          <w:color w:val="000000"/>
          <w:sz w:val="24"/>
          <w:szCs w:val="24"/>
        </w:rPr>
        <w:t xml:space="preserve">accused members </w:t>
      </w:r>
      <w:r w:rsidR="006C66DA">
        <w:rPr>
          <w:rFonts w:ascii="Times New Roman" w:hAnsi="Times New Roman" w:cs="Times New Roman"/>
          <w:color w:val="000000"/>
          <w:sz w:val="24"/>
          <w:szCs w:val="24"/>
        </w:rPr>
        <w:t>do no</w:t>
      </w:r>
      <w:r w:rsidR="009E7F31">
        <w:rPr>
          <w:rFonts w:ascii="Times New Roman" w:hAnsi="Times New Roman" w:cs="Times New Roman"/>
          <w:color w:val="000000"/>
          <w:sz w:val="24"/>
          <w:szCs w:val="24"/>
        </w:rPr>
        <w:t>t have to appear</w:t>
      </w:r>
      <w:r w:rsidR="00AB4CED">
        <w:rPr>
          <w:rFonts w:ascii="Times New Roman" w:hAnsi="Times New Roman" w:cs="Times New Roman"/>
          <w:color w:val="000000"/>
          <w:sz w:val="24"/>
          <w:szCs w:val="24"/>
        </w:rPr>
        <w:t xml:space="preserve"> to face their charges</w:t>
      </w:r>
      <w:r w:rsidR="00A55822">
        <w:rPr>
          <w:rFonts w:ascii="Times New Roman" w:hAnsi="Times New Roman" w:cs="Times New Roman"/>
          <w:color w:val="000000"/>
          <w:sz w:val="24"/>
          <w:szCs w:val="24"/>
        </w:rPr>
        <w:t>; rendering the Article VII machinery an ineffective</w:t>
      </w:r>
      <w:r w:rsidR="0001703B">
        <w:rPr>
          <w:rFonts w:ascii="Times New Roman" w:hAnsi="Times New Roman" w:cs="Times New Roman"/>
          <w:color w:val="000000"/>
          <w:sz w:val="24"/>
          <w:szCs w:val="24"/>
        </w:rPr>
        <w:t xml:space="preserve"> toothless-</w:t>
      </w:r>
      <w:r w:rsidR="00262FBD">
        <w:rPr>
          <w:rFonts w:ascii="Times New Roman" w:hAnsi="Times New Roman" w:cs="Times New Roman"/>
          <w:color w:val="000000"/>
          <w:sz w:val="24"/>
          <w:szCs w:val="24"/>
        </w:rPr>
        <w:t>tiger -</w:t>
      </w:r>
      <w:r w:rsidR="00AB4CED">
        <w:rPr>
          <w:rFonts w:ascii="Times New Roman" w:hAnsi="Times New Roman" w:cs="Times New Roman"/>
          <w:color w:val="000000"/>
          <w:sz w:val="24"/>
          <w:szCs w:val="24"/>
        </w:rPr>
        <w:t xml:space="preserve"> </w:t>
      </w:r>
      <w:r w:rsidR="00A55822">
        <w:rPr>
          <w:rFonts w:ascii="Times New Roman" w:hAnsi="Times New Roman" w:cs="Times New Roman"/>
          <w:color w:val="000000"/>
          <w:sz w:val="24"/>
          <w:szCs w:val="24"/>
        </w:rPr>
        <w:t>to the associations detriment</w:t>
      </w:r>
      <w:r w:rsidR="00FD4562">
        <w:rPr>
          <w:rFonts w:ascii="Times New Roman" w:hAnsi="Times New Roman" w:cs="Times New Roman"/>
          <w:color w:val="000000"/>
          <w:sz w:val="24"/>
          <w:szCs w:val="24"/>
        </w:rPr>
        <w:t>.</w:t>
      </w:r>
      <w:r w:rsidR="009E7F31">
        <w:rPr>
          <w:rFonts w:ascii="Times New Roman" w:hAnsi="Times New Roman" w:cs="Times New Roman"/>
          <w:color w:val="000000"/>
          <w:sz w:val="24"/>
          <w:szCs w:val="24"/>
        </w:rPr>
        <w:t xml:space="preserve"> </w:t>
      </w:r>
      <w:r w:rsidR="0001703B">
        <w:rPr>
          <w:rFonts w:ascii="Times New Roman" w:hAnsi="Times New Roman" w:cs="Times New Roman"/>
          <w:color w:val="000000"/>
          <w:sz w:val="24"/>
          <w:szCs w:val="24"/>
        </w:rPr>
        <w:t xml:space="preserve">Giving rise to yet another round Article VII charges. </w:t>
      </w:r>
      <w:r w:rsidR="009E7F31">
        <w:rPr>
          <w:rFonts w:ascii="Times New Roman" w:hAnsi="Times New Roman" w:cs="Times New Roman"/>
          <w:color w:val="000000"/>
          <w:sz w:val="24"/>
          <w:szCs w:val="24"/>
        </w:rPr>
        <w:t xml:space="preserve">Accordingly, during the hearing, I had </w:t>
      </w:r>
      <w:r w:rsidR="00FD4562">
        <w:rPr>
          <w:rFonts w:ascii="Times New Roman" w:hAnsi="Times New Roman" w:cs="Times New Roman"/>
          <w:color w:val="000000"/>
          <w:sz w:val="24"/>
          <w:szCs w:val="24"/>
        </w:rPr>
        <w:t xml:space="preserve">objected on the basis of being </w:t>
      </w:r>
      <w:r w:rsidR="009E7F31">
        <w:rPr>
          <w:rFonts w:ascii="Times New Roman" w:hAnsi="Times New Roman" w:cs="Times New Roman"/>
          <w:color w:val="000000"/>
          <w:sz w:val="24"/>
          <w:szCs w:val="24"/>
        </w:rPr>
        <w:t>prejudiced</w:t>
      </w:r>
      <w:r w:rsidR="00FD4562">
        <w:rPr>
          <w:rFonts w:ascii="Times New Roman" w:hAnsi="Times New Roman" w:cs="Times New Roman"/>
          <w:color w:val="000000"/>
          <w:sz w:val="24"/>
          <w:szCs w:val="24"/>
        </w:rPr>
        <w:t xml:space="preserve"> by </w:t>
      </w:r>
      <w:r w:rsidR="006C66DA">
        <w:rPr>
          <w:rFonts w:ascii="Times New Roman" w:hAnsi="Times New Roman" w:cs="Times New Roman"/>
          <w:color w:val="000000"/>
          <w:sz w:val="24"/>
          <w:szCs w:val="24"/>
        </w:rPr>
        <w:t xml:space="preserve">the lack of </w:t>
      </w:r>
      <w:r w:rsidR="00FD4562">
        <w:rPr>
          <w:rFonts w:ascii="Times New Roman" w:hAnsi="Times New Roman" w:cs="Times New Roman"/>
          <w:color w:val="000000"/>
          <w:sz w:val="24"/>
          <w:szCs w:val="24"/>
        </w:rPr>
        <w:t>her testimony and submission of evidence as being incomplete.</w:t>
      </w:r>
      <w:r w:rsidR="00FD4562">
        <w:rPr>
          <w:rStyle w:val="FootnoteReference"/>
          <w:rFonts w:ascii="Times New Roman" w:hAnsi="Times New Roman" w:cs="Times New Roman"/>
          <w:color w:val="000000"/>
          <w:sz w:val="24"/>
          <w:szCs w:val="24"/>
        </w:rPr>
        <w:footnoteReference w:id="2"/>
      </w:r>
    </w:p>
    <w:p w14:paraId="48DD928C" w14:textId="77777777" w:rsidR="0074514E" w:rsidRDefault="0074514E" w:rsidP="00A65E25">
      <w:pPr>
        <w:autoSpaceDE w:val="0"/>
        <w:autoSpaceDN w:val="0"/>
        <w:adjustRightInd w:val="0"/>
        <w:spacing w:after="0" w:line="240" w:lineRule="auto"/>
        <w:rPr>
          <w:rFonts w:ascii="Times New Roman" w:hAnsi="Times New Roman" w:cs="Times New Roman"/>
          <w:color w:val="000000"/>
          <w:sz w:val="24"/>
          <w:szCs w:val="24"/>
        </w:rPr>
      </w:pPr>
    </w:p>
    <w:p w14:paraId="3A7A8495" w14:textId="230D7F9B" w:rsidR="00AB4CED" w:rsidRDefault="004D3E2C"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431F1C" w:rsidRPr="00AB4CED">
        <w:rPr>
          <w:rFonts w:ascii="Times New Roman" w:hAnsi="Times New Roman" w:cs="Times New Roman"/>
          <w:b/>
          <w:color w:val="000000"/>
          <w:sz w:val="24"/>
          <w:szCs w:val="24"/>
        </w:rPr>
        <w:t>Second, I also Move for Default Judgement</w:t>
      </w:r>
      <w:r w:rsidR="00431F1C">
        <w:rPr>
          <w:rFonts w:ascii="Times New Roman" w:hAnsi="Times New Roman" w:cs="Times New Roman"/>
          <w:color w:val="000000"/>
          <w:sz w:val="24"/>
          <w:szCs w:val="24"/>
        </w:rPr>
        <w:t xml:space="preserve">, based on the </w:t>
      </w:r>
      <w:r>
        <w:rPr>
          <w:rFonts w:ascii="Times New Roman" w:hAnsi="Times New Roman" w:cs="Times New Roman"/>
          <w:color w:val="000000"/>
          <w:sz w:val="24"/>
          <w:szCs w:val="24"/>
        </w:rPr>
        <w:t>Accused’s</w:t>
      </w:r>
      <w:r w:rsidR="00431F1C">
        <w:rPr>
          <w:rFonts w:ascii="Times New Roman" w:hAnsi="Times New Roman" w:cs="Times New Roman"/>
          <w:color w:val="000000"/>
          <w:sz w:val="24"/>
          <w:szCs w:val="24"/>
        </w:rPr>
        <w:t xml:space="preserve"> usurping the authority of the AB and BOD,</w:t>
      </w:r>
      <w:r>
        <w:rPr>
          <w:rFonts w:ascii="Times New Roman" w:hAnsi="Times New Roman" w:cs="Times New Roman"/>
          <w:color w:val="000000"/>
          <w:sz w:val="24"/>
          <w:szCs w:val="24"/>
        </w:rPr>
        <w:t xml:space="preserve"> and </w:t>
      </w:r>
      <w:r w:rsidR="00431F1C">
        <w:rPr>
          <w:rFonts w:ascii="Times New Roman" w:hAnsi="Times New Roman" w:cs="Times New Roman"/>
          <w:color w:val="000000"/>
          <w:sz w:val="24"/>
          <w:szCs w:val="24"/>
        </w:rPr>
        <w:t xml:space="preserve">by refusing to appear as </w:t>
      </w:r>
      <w:r>
        <w:rPr>
          <w:rFonts w:ascii="Times New Roman" w:hAnsi="Times New Roman" w:cs="Times New Roman"/>
          <w:color w:val="000000"/>
          <w:sz w:val="24"/>
          <w:szCs w:val="24"/>
        </w:rPr>
        <w:t>both the A</w:t>
      </w:r>
      <w:r w:rsidR="00431F1C">
        <w:rPr>
          <w:rFonts w:ascii="Times New Roman" w:hAnsi="Times New Roman" w:cs="Times New Roman"/>
          <w:color w:val="000000"/>
          <w:sz w:val="24"/>
          <w:szCs w:val="24"/>
        </w:rPr>
        <w:t xml:space="preserve">ccused and as the </w:t>
      </w:r>
      <w:r w:rsidR="0001703B">
        <w:rPr>
          <w:rFonts w:ascii="Times New Roman" w:hAnsi="Times New Roman" w:cs="Times New Roman"/>
          <w:color w:val="000000"/>
          <w:sz w:val="24"/>
          <w:szCs w:val="24"/>
        </w:rPr>
        <w:t>Accuser’s</w:t>
      </w:r>
      <w:r w:rsidR="00431F1C">
        <w:rPr>
          <w:rFonts w:ascii="Times New Roman" w:hAnsi="Times New Roman" w:cs="Times New Roman"/>
          <w:color w:val="000000"/>
          <w:sz w:val="24"/>
          <w:szCs w:val="24"/>
        </w:rPr>
        <w:t xml:space="preserve"> primary witness, failing to present her arguments or introduce her evidentiary evidence on the record</w:t>
      </w:r>
      <w:r>
        <w:rPr>
          <w:rFonts w:ascii="Times New Roman" w:hAnsi="Times New Roman" w:cs="Times New Roman"/>
          <w:color w:val="000000"/>
          <w:sz w:val="24"/>
          <w:szCs w:val="24"/>
        </w:rPr>
        <w:t>. T</w:t>
      </w:r>
      <w:r w:rsidR="00431F1C">
        <w:rPr>
          <w:rFonts w:ascii="Times New Roman" w:hAnsi="Times New Roman" w:cs="Times New Roman"/>
          <w:color w:val="000000"/>
          <w:sz w:val="24"/>
          <w:szCs w:val="24"/>
        </w:rPr>
        <w:t xml:space="preserve">hereby failing to mount any </w:t>
      </w:r>
      <w:r>
        <w:rPr>
          <w:rFonts w:ascii="Times New Roman" w:hAnsi="Times New Roman" w:cs="Times New Roman"/>
          <w:color w:val="000000"/>
          <w:sz w:val="24"/>
          <w:szCs w:val="24"/>
        </w:rPr>
        <w:t xml:space="preserve">defense whatsoever, nor any </w:t>
      </w:r>
      <w:r w:rsidR="00431F1C">
        <w:rPr>
          <w:rFonts w:ascii="Times New Roman" w:hAnsi="Times New Roman" w:cs="Times New Roman"/>
          <w:color w:val="000000"/>
          <w:sz w:val="24"/>
          <w:szCs w:val="24"/>
        </w:rPr>
        <w:t xml:space="preserve">dispute </w:t>
      </w:r>
      <w:r>
        <w:rPr>
          <w:rFonts w:ascii="Times New Roman" w:hAnsi="Times New Roman" w:cs="Times New Roman"/>
          <w:color w:val="000000"/>
          <w:sz w:val="24"/>
          <w:szCs w:val="24"/>
        </w:rPr>
        <w:t xml:space="preserve">to </w:t>
      </w:r>
      <w:r w:rsidR="00431F1C">
        <w:rPr>
          <w:rFonts w:ascii="Times New Roman" w:hAnsi="Times New Roman" w:cs="Times New Roman"/>
          <w:color w:val="000000"/>
          <w:sz w:val="24"/>
          <w:szCs w:val="24"/>
        </w:rPr>
        <w:t>Accuser’s charges</w:t>
      </w:r>
      <w:r w:rsidR="000170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whilst </w:t>
      </w:r>
      <w:r w:rsidR="00431F1C">
        <w:rPr>
          <w:rFonts w:ascii="Times New Roman" w:hAnsi="Times New Roman" w:cs="Times New Roman"/>
          <w:color w:val="000000"/>
          <w:sz w:val="24"/>
          <w:szCs w:val="24"/>
        </w:rPr>
        <w:t>depriving the Accuser of his right to a full and fair hearing</w:t>
      </w:r>
      <w:r>
        <w:rPr>
          <w:rFonts w:ascii="Times New Roman" w:hAnsi="Times New Roman" w:cs="Times New Roman"/>
          <w:color w:val="000000"/>
          <w:sz w:val="24"/>
          <w:szCs w:val="24"/>
        </w:rPr>
        <w:t xml:space="preserve"> (to include direct and cross-examination of Accused and her exhibits)</w:t>
      </w:r>
      <w:r w:rsidR="00431F1C">
        <w:rPr>
          <w:rFonts w:ascii="Times New Roman" w:hAnsi="Times New Roman" w:cs="Times New Roman"/>
          <w:color w:val="000000"/>
          <w:sz w:val="24"/>
          <w:szCs w:val="24"/>
        </w:rPr>
        <w:t xml:space="preserve"> to prosecute his meritorious charges</w:t>
      </w:r>
      <w:r>
        <w:rPr>
          <w:rFonts w:ascii="Times New Roman" w:hAnsi="Times New Roman" w:cs="Times New Roman"/>
          <w:color w:val="000000"/>
          <w:sz w:val="24"/>
          <w:szCs w:val="24"/>
        </w:rPr>
        <w:t>. Additionally, the AB</w:t>
      </w:r>
      <w:r w:rsidR="00431F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has already sanctioned the Accused, and ruled that </w:t>
      </w:r>
      <w:r w:rsidR="0001703B">
        <w:rPr>
          <w:rFonts w:ascii="Times New Roman" w:hAnsi="Times New Roman" w:cs="Times New Roman"/>
          <w:color w:val="000000"/>
          <w:sz w:val="24"/>
          <w:szCs w:val="24"/>
        </w:rPr>
        <w:t>Meadows’</w:t>
      </w:r>
      <w:r>
        <w:rPr>
          <w:rFonts w:ascii="Times New Roman" w:hAnsi="Times New Roman" w:cs="Times New Roman"/>
          <w:color w:val="000000"/>
          <w:sz w:val="24"/>
          <w:szCs w:val="24"/>
        </w:rPr>
        <w:t xml:space="preserve"> argument and exhibits introduce</w:t>
      </w:r>
      <w:r w:rsidR="0001703B">
        <w:rPr>
          <w:rFonts w:ascii="Times New Roman" w:hAnsi="Times New Roman" w:cs="Times New Roman"/>
          <w:color w:val="000000"/>
          <w:sz w:val="24"/>
          <w:szCs w:val="24"/>
        </w:rPr>
        <w:t>d</w:t>
      </w:r>
      <w:r>
        <w:rPr>
          <w:rFonts w:ascii="Times New Roman" w:hAnsi="Times New Roman" w:cs="Times New Roman"/>
          <w:color w:val="000000"/>
          <w:sz w:val="24"/>
          <w:szCs w:val="24"/>
        </w:rPr>
        <w:t xml:space="preserve"> into the record shall be subject to his inferences and given deference by the AB</w:t>
      </w:r>
      <w:r w:rsidR="00F84CB3">
        <w:rPr>
          <w:rStyle w:val="FootnoteReference"/>
          <w:rFonts w:ascii="Times New Roman" w:hAnsi="Times New Roman" w:cs="Times New Roman"/>
          <w:color w:val="000000"/>
          <w:sz w:val="24"/>
          <w:szCs w:val="24"/>
        </w:rPr>
        <w:footnoteReference w:id="3"/>
      </w:r>
      <w:r>
        <w:rPr>
          <w:rFonts w:ascii="Times New Roman" w:hAnsi="Times New Roman" w:cs="Times New Roman"/>
          <w:color w:val="000000"/>
          <w:sz w:val="24"/>
          <w:szCs w:val="24"/>
        </w:rPr>
        <w:t xml:space="preserve">. </w:t>
      </w:r>
      <w:r w:rsidR="00F35E9F">
        <w:rPr>
          <w:rFonts w:ascii="Times New Roman" w:hAnsi="Times New Roman" w:cs="Times New Roman"/>
          <w:color w:val="000000"/>
          <w:sz w:val="24"/>
          <w:szCs w:val="24"/>
        </w:rPr>
        <w:t xml:space="preserve"> </w:t>
      </w:r>
    </w:p>
    <w:p w14:paraId="0B81E17D" w14:textId="77777777" w:rsidR="00AB4CED" w:rsidRDefault="00AB4CED" w:rsidP="00643C9A">
      <w:pPr>
        <w:autoSpaceDE w:val="0"/>
        <w:autoSpaceDN w:val="0"/>
        <w:adjustRightInd w:val="0"/>
        <w:spacing w:after="0" w:line="240" w:lineRule="auto"/>
        <w:rPr>
          <w:rFonts w:ascii="Times New Roman" w:hAnsi="Times New Roman" w:cs="Times New Roman"/>
          <w:color w:val="000000"/>
          <w:sz w:val="24"/>
          <w:szCs w:val="24"/>
        </w:rPr>
      </w:pPr>
    </w:p>
    <w:p w14:paraId="6CFFC4BA" w14:textId="55AC19C5" w:rsidR="001E6D3F" w:rsidRDefault="00AB4CED"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F35E9F">
        <w:rPr>
          <w:rFonts w:ascii="Times New Roman" w:hAnsi="Times New Roman" w:cs="Times New Roman"/>
          <w:color w:val="000000"/>
          <w:sz w:val="24"/>
          <w:szCs w:val="24"/>
        </w:rPr>
        <w:t>In particular, the Accused absolutely failed to present any argument or evidence, to support h</w:t>
      </w:r>
      <w:r w:rsidR="0001703B">
        <w:rPr>
          <w:rFonts w:ascii="Times New Roman" w:hAnsi="Times New Roman" w:cs="Times New Roman"/>
          <w:color w:val="000000"/>
          <w:sz w:val="24"/>
          <w:szCs w:val="24"/>
        </w:rPr>
        <w:t>er representative’s</w:t>
      </w:r>
      <w:r w:rsidR="004D3E2C">
        <w:rPr>
          <w:rFonts w:ascii="Times New Roman" w:hAnsi="Times New Roman" w:cs="Times New Roman"/>
          <w:color w:val="000000"/>
          <w:sz w:val="24"/>
          <w:szCs w:val="24"/>
        </w:rPr>
        <w:t xml:space="preserve"> </w:t>
      </w:r>
      <w:r w:rsidR="00F35E9F">
        <w:rPr>
          <w:rFonts w:ascii="Times New Roman" w:hAnsi="Times New Roman" w:cs="Times New Roman"/>
          <w:color w:val="000000"/>
          <w:sz w:val="24"/>
          <w:szCs w:val="24"/>
        </w:rPr>
        <w:t xml:space="preserve">baseless and conclusory opening argument </w:t>
      </w:r>
      <w:r w:rsidR="004D3E2C">
        <w:rPr>
          <w:rFonts w:ascii="Times New Roman" w:hAnsi="Times New Roman" w:cs="Times New Roman"/>
          <w:color w:val="000000"/>
          <w:sz w:val="24"/>
          <w:szCs w:val="24"/>
        </w:rPr>
        <w:t xml:space="preserve">assertions </w:t>
      </w:r>
      <w:r w:rsidR="00F35E9F">
        <w:rPr>
          <w:rFonts w:ascii="Times New Roman" w:hAnsi="Times New Roman" w:cs="Times New Roman"/>
          <w:color w:val="000000"/>
          <w:sz w:val="24"/>
          <w:szCs w:val="24"/>
        </w:rPr>
        <w:t xml:space="preserve">that </w:t>
      </w:r>
      <w:r w:rsidR="00A800B2">
        <w:rPr>
          <w:rFonts w:ascii="Times New Roman" w:hAnsi="Times New Roman" w:cs="Times New Roman"/>
          <w:color w:val="000000"/>
          <w:sz w:val="24"/>
          <w:szCs w:val="24"/>
        </w:rPr>
        <w:t>Meadows was</w:t>
      </w:r>
      <w:r w:rsidR="00F35E9F">
        <w:rPr>
          <w:rFonts w:ascii="Times New Roman" w:hAnsi="Times New Roman" w:cs="Times New Roman"/>
          <w:color w:val="000000"/>
          <w:sz w:val="24"/>
          <w:szCs w:val="24"/>
        </w:rPr>
        <w:t xml:space="preserve"> not a member good-standing and thus didn’t have standing to bring these Article VII charges, nor that his filing was untimely as to his 2</w:t>
      </w:r>
      <w:r w:rsidR="00F35E9F" w:rsidRPr="00F35E9F">
        <w:rPr>
          <w:rFonts w:ascii="Times New Roman" w:hAnsi="Times New Roman" w:cs="Times New Roman"/>
          <w:color w:val="000000"/>
          <w:sz w:val="24"/>
          <w:szCs w:val="24"/>
          <w:vertAlign w:val="superscript"/>
        </w:rPr>
        <w:t>nd</w:t>
      </w:r>
      <w:r w:rsidR="00F35E9F">
        <w:rPr>
          <w:rFonts w:ascii="Times New Roman" w:hAnsi="Times New Roman" w:cs="Times New Roman"/>
          <w:color w:val="000000"/>
          <w:sz w:val="24"/>
          <w:szCs w:val="24"/>
        </w:rPr>
        <w:t xml:space="preserve"> charge (relating to unil</w:t>
      </w:r>
      <w:r w:rsidR="0001703B">
        <w:rPr>
          <w:rFonts w:ascii="Times New Roman" w:hAnsi="Times New Roman" w:cs="Times New Roman"/>
          <w:color w:val="000000"/>
          <w:sz w:val="24"/>
          <w:szCs w:val="24"/>
        </w:rPr>
        <w:t>aterally excluding G-12-011 from</w:t>
      </w:r>
      <w:r w:rsidR="00F35E9F">
        <w:rPr>
          <w:rFonts w:ascii="Times New Roman" w:hAnsi="Times New Roman" w:cs="Times New Roman"/>
          <w:color w:val="000000"/>
          <w:sz w:val="24"/>
          <w:szCs w:val="24"/>
        </w:rPr>
        <w:t xml:space="preserve"> APA’s Proof of Claim. A</w:t>
      </w:r>
      <w:r w:rsidR="00F21786">
        <w:rPr>
          <w:rFonts w:ascii="Times New Roman" w:hAnsi="Times New Roman" w:cs="Times New Roman"/>
          <w:color w:val="000000"/>
          <w:sz w:val="24"/>
          <w:szCs w:val="24"/>
        </w:rPr>
        <w:t>ccording to the C&amp;B Art. VII.  It is undisputed and a matter of record fact and law that Meadows is indeed an APA member in good standing, as supported by, the LMRDA 29 U.S.C. §</w:t>
      </w:r>
      <w:r>
        <w:rPr>
          <w:rFonts w:ascii="Times New Roman" w:hAnsi="Times New Roman" w:cs="Times New Roman"/>
          <w:color w:val="000000"/>
          <w:sz w:val="24"/>
          <w:szCs w:val="24"/>
        </w:rPr>
        <w:t>402, ¶ (o). and Sec. 101(b)</w:t>
      </w:r>
      <w:r w:rsidR="00F21786">
        <w:rPr>
          <w:rFonts w:ascii="Times New Roman" w:hAnsi="Times New Roman" w:cs="Times New Roman"/>
          <w:color w:val="000000"/>
          <w:sz w:val="24"/>
          <w:szCs w:val="24"/>
        </w:rPr>
        <w:t xml:space="preserve">, prior Art. VII. AB decision in </w:t>
      </w:r>
      <w:r w:rsidR="00F21786" w:rsidRPr="00F21786">
        <w:rPr>
          <w:rFonts w:ascii="Times New Roman" w:hAnsi="Times New Roman" w:cs="Times New Roman"/>
          <w:i/>
          <w:color w:val="000000"/>
          <w:sz w:val="24"/>
          <w:szCs w:val="24"/>
        </w:rPr>
        <w:t>Sproc</w:t>
      </w:r>
      <w:r>
        <w:rPr>
          <w:rFonts w:ascii="Times New Roman" w:hAnsi="Times New Roman" w:cs="Times New Roman"/>
          <w:i/>
          <w:color w:val="000000"/>
          <w:sz w:val="24"/>
          <w:szCs w:val="24"/>
        </w:rPr>
        <w:t xml:space="preserve"> v. </w:t>
      </w:r>
      <w:r w:rsidR="00A800B2">
        <w:rPr>
          <w:rFonts w:ascii="Times New Roman" w:hAnsi="Times New Roman" w:cs="Times New Roman"/>
          <w:i/>
          <w:color w:val="000000"/>
          <w:sz w:val="24"/>
          <w:szCs w:val="24"/>
        </w:rPr>
        <w:t xml:space="preserve">APA, </w:t>
      </w:r>
      <w:r w:rsidR="00A800B2">
        <w:rPr>
          <w:rFonts w:ascii="Times New Roman" w:hAnsi="Times New Roman" w:cs="Times New Roman"/>
          <w:color w:val="000000"/>
          <w:sz w:val="24"/>
          <w:szCs w:val="24"/>
        </w:rPr>
        <w:t>prior</w:t>
      </w:r>
      <w:r w:rsidR="00F217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AAA Art. </w:t>
      </w:r>
      <w:r w:rsidR="00F21786">
        <w:rPr>
          <w:rFonts w:ascii="Times New Roman" w:hAnsi="Times New Roman" w:cs="Times New Roman"/>
          <w:color w:val="000000"/>
          <w:sz w:val="24"/>
          <w:szCs w:val="24"/>
        </w:rPr>
        <w:t xml:space="preserve">VII. </w:t>
      </w:r>
      <w:r w:rsidR="00F21786" w:rsidRPr="00F21786">
        <w:rPr>
          <w:rFonts w:ascii="Times New Roman" w:hAnsi="Times New Roman" w:cs="Times New Roman"/>
          <w:color w:val="000000"/>
          <w:sz w:val="24"/>
          <w:szCs w:val="24"/>
        </w:rPr>
        <w:t>arbitral precedent in</w:t>
      </w:r>
      <w:r>
        <w:rPr>
          <w:rFonts w:ascii="Times New Roman" w:hAnsi="Times New Roman" w:cs="Times New Roman"/>
          <w:color w:val="000000"/>
          <w:sz w:val="24"/>
          <w:szCs w:val="24"/>
        </w:rPr>
        <w:t xml:space="preserve"> </w:t>
      </w:r>
      <w:r w:rsidRPr="00AB4CED">
        <w:rPr>
          <w:rFonts w:ascii="Times New Roman" w:hAnsi="Times New Roman" w:cs="Times New Roman"/>
          <w:i/>
          <w:color w:val="000000"/>
          <w:sz w:val="24"/>
          <w:szCs w:val="24"/>
        </w:rPr>
        <w:t>Annable v. Wissing</w:t>
      </w:r>
      <w:r w:rsidRPr="00AB4CED">
        <w:rPr>
          <w:rFonts w:ascii="Times New Roman" w:hAnsi="Times New Roman" w:cs="Times New Roman"/>
          <w:color w:val="000000"/>
          <w:sz w:val="24"/>
          <w:szCs w:val="24"/>
        </w:rPr>
        <w:t>, and</w:t>
      </w:r>
      <w:r>
        <w:rPr>
          <w:rFonts w:ascii="Times New Roman" w:hAnsi="Times New Roman" w:cs="Times New Roman"/>
          <w:i/>
          <w:color w:val="000000"/>
          <w:sz w:val="24"/>
          <w:szCs w:val="24"/>
        </w:rPr>
        <w:t xml:space="preserve"> </w:t>
      </w:r>
      <w:r w:rsidR="00F21786">
        <w:rPr>
          <w:rFonts w:ascii="Times New Roman" w:hAnsi="Times New Roman" w:cs="Times New Roman"/>
          <w:color w:val="000000"/>
          <w:sz w:val="24"/>
          <w:szCs w:val="24"/>
        </w:rPr>
        <w:t xml:space="preserve">as admitted </w:t>
      </w:r>
      <w:r>
        <w:rPr>
          <w:rFonts w:ascii="Times New Roman" w:hAnsi="Times New Roman" w:cs="Times New Roman"/>
          <w:color w:val="000000"/>
          <w:sz w:val="24"/>
          <w:szCs w:val="24"/>
        </w:rPr>
        <w:t xml:space="preserve">by former APA president Keith Wilson in his </w:t>
      </w:r>
      <w:r w:rsidR="00F21786">
        <w:rPr>
          <w:rFonts w:ascii="Times New Roman" w:hAnsi="Times New Roman" w:cs="Times New Roman"/>
          <w:color w:val="000000"/>
          <w:sz w:val="24"/>
          <w:szCs w:val="24"/>
        </w:rPr>
        <w:t>recent AAA Art. VII. sworn testimony</w:t>
      </w:r>
      <w:r>
        <w:rPr>
          <w:rStyle w:val="FootnoteReference"/>
          <w:rFonts w:ascii="Times New Roman" w:hAnsi="Times New Roman" w:cs="Times New Roman"/>
          <w:color w:val="000000"/>
          <w:sz w:val="24"/>
          <w:szCs w:val="24"/>
        </w:rPr>
        <w:footnoteReference w:id="4"/>
      </w:r>
      <w:r>
        <w:rPr>
          <w:rFonts w:ascii="Times New Roman" w:hAnsi="Times New Roman" w:cs="Times New Roman"/>
          <w:color w:val="000000"/>
          <w:sz w:val="24"/>
          <w:szCs w:val="24"/>
        </w:rPr>
        <w:t>. Mor</w:t>
      </w:r>
      <w:r w:rsidR="00AC5D2E">
        <w:rPr>
          <w:rFonts w:ascii="Times New Roman" w:hAnsi="Times New Roman" w:cs="Times New Roman"/>
          <w:color w:val="000000"/>
          <w:sz w:val="24"/>
          <w:szCs w:val="24"/>
        </w:rPr>
        <w:t>eo</w:t>
      </w:r>
      <w:r>
        <w:rPr>
          <w:rFonts w:ascii="Times New Roman" w:hAnsi="Times New Roman" w:cs="Times New Roman"/>
          <w:color w:val="000000"/>
          <w:sz w:val="24"/>
          <w:szCs w:val="24"/>
        </w:rPr>
        <w:t>ver, t</w:t>
      </w:r>
      <w:r w:rsidR="00F35E9F">
        <w:rPr>
          <w:rFonts w:ascii="Times New Roman" w:hAnsi="Times New Roman" w:cs="Times New Roman"/>
          <w:color w:val="000000"/>
          <w:sz w:val="24"/>
          <w:szCs w:val="24"/>
        </w:rPr>
        <w:t xml:space="preserve">he AB, couldn’t </w:t>
      </w:r>
      <w:r>
        <w:rPr>
          <w:rFonts w:ascii="Times New Roman" w:hAnsi="Times New Roman" w:cs="Times New Roman"/>
          <w:color w:val="000000"/>
          <w:sz w:val="24"/>
          <w:szCs w:val="24"/>
        </w:rPr>
        <w:t>have moved</w:t>
      </w:r>
      <w:r w:rsidR="00F35E9F">
        <w:rPr>
          <w:rFonts w:ascii="Times New Roman" w:hAnsi="Times New Roman" w:cs="Times New Roman"/>
          <w:color w:val="000000"/>
          <w:sz w:val="24"/>
          <w:szCs w:val="24"/>
        </w:rPr>
        <w:t xml:space="preserve"> this matter to a hearing unless they deemed</w:t>
      </w:r>
      <w:r w:rsidR="00F21786">
        <w:rPr>
          <w:rFonts w:ascii="Times New Roman" w:hAnsi="Times New Roman" w:cs="Times New Roman"/>
          <w:color w:val="000000"/>
          <w:sz w:val="24"/>
          <w:szCs w:val="24"/>
        </w:rPr>
        <w:t xml:space="preserve"> </w:t>
      </w:r>
      <w:r w:rsidR="00F35E9F">
        <w:rPr>
          <w:rFonts w:ascii="Times New Roman" w:hAnsi="Times New Roman" w:cs="Times New Roman"/>
          <w:color w:val="000000"/>
          <w:sz w:val="24"/>
          <w:szCs w:val="24"/>
        </w:rPr>
        <w:t xml:space="preserve">his charges </w:t>
      </w:r>
      <w:r w:rsidR="00F21786">
        <w:rPr>
          <w:rFonts w:ascii="Times New Roman" w:hAnsi="Times New Roman" w:cs="Times New Roman"/>
          <w:i/>
          <w:color w:val="000000"/>
          <w:sz w:val="24"/>
          <w:szCs w:val="24"/>
        </w:rPr>
        <w:t>C</w:t>
      </w:r>
      <w:r w:rsidR="00F35E9F" w:rsidRPr="00F21786">
        <w:rPr>
          <w:rFonts w:ascii="Times New Roman" w:hAnsi="Times New Roman" w:cs="Times New Roman"/>
          <w:i/>
          <w:color w:val="000000"/>
          <w:sz w:val="24"/>
          <w:szCs w:val="24"/>
        </w:rPr>
        <w:t>ognizable</w:t>
      </w:r>
      <w:r w:rsidR="00F35E9F">
        <w:rPr>
          <w:rStyle w:val="FootnoteReference"/>
          <w:rFonts w:ascii="Times New Roman" w:hAnsi="Times New Roman" w:cs="Times New Roman"/>
          <w:color w:val="000000"/>
          <w:sz w:val="24"/>
          <w:szCs w:val="24"/>
        </w:rPr>
        <w:footnoteReference w:id="5"/>
      </w:r>
      <w:r>
        <w:rPr>
          <w:rFonts w:ascii="Times New Roman" w:hAnsi="Times New Roman" w:cs="Times New Roman"/>
          <w:i/>
          <w:color w:val="000000"/>
          <w:sz w:val="24"/>
          <w:szCs w:val="24"/>
        </w:rPr>
        <w:t xml:space="preserve">, </w:t>
      </w:r>
      <w:r w:rsidRPr="00AB4CED">
        <w:rPr>
          <w:rFonts w:ascii="Times New Roman" w:hAnsi="Times New Roman" w:cs="Times New Roman"/>
          <w:color w:val="000000"/>
          <w:sz w:val="24"/>
          <w:szCs w:val="24"/>
        </w:rPr>
        <w:t xml:space="preserve">which </w:t>
      </w:r>
      <w:r w:rsidRPr="00AB4CED">
        <w:rPr>
          <w:rFonts w:ascii="Times New Roman" w:hAnsi="Times New Roman" w:cs="Times New Roman"/>
          <w:color w:val="000000"/>
          <w:sz w:val="24"/>
          <w:szCs w:val="24"/>
        </w:rPr>
        <w:lastRenderedPageBreak/>
        <w:t>means</w:t>
      </w:r>
      <w:r w:rsidR="00AC5D2E">
        <w:rPr>
          <w:rFonts w:ascii="Times New Roman" w:hAnsi="Times New Roman" w:cs="Times New Roman"/>
          <w:color w:val="000000"/>
          <w:sz w:val="24"/>
          <w:szCs w:val="24"/>
        </w:rPr>
        <w:t xml:space="preserve"> Meadows met the jurisdictional and filing criteria of </w:t>
      </w:r>
      <w:r w:rsidR="00A800B2">
        <w:rPr>
          <w:rFonts w:ascii="Times New Roman" w:hAnsi="Times New Roman" w:cs="Times New Roman"/>
          <w:color w:val="000000"/>
          <w:sz w:val="24"/>
          <w:szCs w:val="24"/>
        </w:rPr>
        <w:t xml:space="preserve">APA’s </w:t>
      </w:r>
      <w:r w:rsidR="00AC5D2E">
        <w:rPr>
          <w:rFonts w:ascii="Times New Roman" w:hAnsi="Times New Roman" w:cs="Times New Roman"/>
          <w:color w:val="000000"/>
          <w:sz w:val="24"/>
          <w:szCs w:val="24"/>
        </w:rPr>
        <w:t xml:space="preserve">C&amp;B Art. VII. B.1, which provides that; </w:t>
      </w:r>
      <w:r w:rsidR="00AC5D2E" w:rsidRPr="00AC5D2E">
        <w:rPr>
          <w:rFonts w:ascii="Times New Roman" w:hAnsi="Times New Roman" w:cs="Times New Roman"/>
          <w:i/>
          <w:color w:val="000000"/>
          <w:sz w:val="24"/>
          <w:szCs w:val="24"/>
        </w:rPr>
        <w:t xml:space="preserve">“Charges may be brought under this Article </w:t>
      </w:r>
      <w:r w:rsidR="00AC5D2E" w:rsidRPr="00AC5D2E">
        <w:rPr>
          <w:rFonts w:ascii="Times New Roman" w:hAnsi="Times New Roman" w:cs="Times New Roman"/>
          <w:b/>
          <w:i/>
          <w:color w:val="000000"/>
          <w:sz w:val="24"/>
          <w:szCs w:val="24"/>
          <w:u w:val="single"/>
        </w:rPr>
        <w:t>by any member in good standing</w:t>
      </w:r>
      <w:r w:rsidR="00AC5D2E" w:rsidRPr="00AC5D2E">
        <w:rPr>
          <w:rFonts w:ascii="Times New Roman" w:hAnsi="Times New Roman" w:cs="Times New Roman"/>
          <w:i/>
          <w:color w:val="000000"/>
          <w:sz w:val="24"/>
          <w:szCs w:val="24"/>
        </w:rPr>
        <w:t xml:space="preserve"> against any other member.”</w:t>
      </w:r>
      <w:r w:rsidR="00AC5D2E" w:rsidRPr="00AC5D2E">
        <w:rPr>
          <w:rFonts w:ascii="Times New Roman" w:hAnsi="Times New Roman" w:cs="Times New Roman"/>
          <w:color w:val="000000"/>
          <w:sz w:val="24"/>
          <w:szCs w:val="24"/>
        </w:rPr>
        <w:t xml:space="preserve"> </w:t>
      </w:r>
      <w:r w:rsidRPr="00AB4CED">
        <w:rPr>
          <w:rFonts w:ascii="Times New Roman" w:hAnsi="Times New Roman" w:cs="Times New Roman"/>
          <w:color w:val="000000"/>
          <w:sz w:val="24"/>
          <w:szCs w:val="24"/>
        </w:rPr>
        <w:t xml:space="preserve"> </w:t>
      </w:r>
    </w:p>
    <w:p w14:paraId="2548B99F" w14:textId="77777777" w:rsidR="001E6D3F" w:rsidRDefault="001E6D3F" w:rsidP="00643C9A">
      <w:pPr>
        <w:autoSpaceDE w:val="0"/>
        <w:autoSpaceDN w:val="0"/>
        <w:adjustRightInd w:val="0"/>
        <w:spacing w:after="0" w:line="240" w:lineRule="auto"/>
        <w:rPr>
          <w:rFonts w:ascii="Times New Roman" w:hAnsi="Times New Roman" w:cs="Times New Roman"/>
          <w:color w:val="000000"/>
          <w:sz w:val="24"/>
          <w:szCs w:val="24"/>
        </w:rPr>
      </w:pPr>
    </w:p>
    <w:p w14:paraId="6FE18A95" w14:textId="2D3E6B5F" w:rsidR="00AC5D2E" w:rsidRDefault="001E6D3F"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F35E9F">
        <w:rPr>
          <w:rFonts w:ascii="Times New Roman" w:hAnsi="Times New Roman" w:cs="Times New Roman"/>
          <w:color w:val="000000"/>
          <w:sz w:val="24"/>
          <w:szCs w:val="24"/>
        </w:rPr>
        <w:t>Therefore, the AB</w:t>
      </w:r>
      <w:r w:rsidR="00390692">
        <w:rPr>
          <w:rFonts w:ascii="Times New Roman" w:hAnsi="Times New Roman" w:cs="Times New Roman"/>
          <w:color w:val="000000"/>
          <w:sz w:val="24"/>
          <w:szCs w:val="24"/>
        </w:rPr>
        <w:t xml:space="preserve"> by virtue of not deciding dismissing the charges as not cognizable and escalating them to a formal hearing,</w:t>
      </w:r>
      <w:r w:rsidR="00F35E9F">
        <w:rPr>
          <w:rFonts w:ascii="Times New Roman" w:hAnsi="Times New Roman" w:cs="Times New Roman"/>
          <w:color w:val="000000"/>
          <w:sz w:val="24"/>
          <w:szCs w:val="24"/>
        </w:rPr>
        <w:t xml:space="preserve"> </w:t>
      </w:r>
      <w:r w:rsidR="00AC5D2E">
        <w:rPr>
          <w:rFonts w:ascii="Times New Roman" w:hAnsi="Times New Roman" w:cs="Times New Roman"/>
          <w:color w:val="000000"/>
          <w:sz w:val="24"/>
          <w:szCs w:val="24"/>
        </w:rPr>
        <w:t xml:space="preserve">has </w:t>
      </w:r>
      <w:r w:rsidR="00A800B2">
        <w:rPr>
          <w:rFonts w:ascii="Times New Roman" w:hAnsi="Times New Roman" w:cs="Times New Roman"/>
          <w:color w:val="000000"/>
          <w:sz w:val="24"/>
          <w:szCs w:val="24"/>
        </w:rPr>
        <w:t xml:space="preserve">in fact </w:t>
      </w:r>
      <w:r w:rsidR="00AC5D2E">
        <w:rPr>
          <w:rFonts w:ascii="Times New Roman" w:hAnsi="Times New Roman" w:cs="Times New Roman"/>
          <w:color w:val="000000"/>
          <w:sz w:val="24"/>
          <w:szCs w:val="24"/>
        </w:rPr>
        <w:t>already decided that Meadows</w:t>
      </w:r>
      <w:r>
        <w:rPr>
          <w:rFonts w:ascii="Times New Roman" w:hAnsi="Times New Roman" w:cs="Times New Roman"/>
          <w:color w:val="000000"/>
          <w:sz w:val="24"/>
          <w:szCs w:val="24"/>
        </w:rPr>
        <w:t xml:space="preserve"> is indeed an APA </w:t>
      </w:r>
      <w:r w:rsidR="00AC5D2E">
        <w:rPr>
          <w:rFonts w:ascii="Times New Roman" w:hAnsi="Times New Roman" w:cs="Times New Roman"/>
          <w:color w:val="000000"/>
          <w:sz w:val="24"/>
          <w:szCs w:val="24"/>
        </w:rPr>
        <w:t xml:space="preserve">member in good-standing, and </w:t>
      </w:r>
      <w:r>
        <w:rPr>
          <w:rFonts w:ascii="Times New Roman" w:hAnsi="Times New Roman" w:cs="Times New Roman"/>
          <w:color w:val="000000"/>
          <w:sz w:val="24"/>
          <w:szCs w:val="24"/>
        </w:rPr>
        <w:t xml:space="preserve">also </w:t>
      </w:r>
      <w:r w:rsidR="00AC5D2E">
        <w:rPr>
          <w:rFonts w:ascii="Times New Roman" w:hAnsi="Times New Roman" w:cs="Times New Roman"/>
          <w:color w:val="000000"/>
          <w:sz w:val="24"/>
          <w:szCs w:val="24"/>
        </w:rPr>
        <w:t>already ruled that it would grant him inferences and give deference to his claims, argument, and exhibits. To be certain the Accused introduced no evidence whatsoever</w:t>
      </w:r>
      <w:r w:rsidR="00FA53DE">
        <w:rPr>
          <w:rFonts w:ascii="Times New Roman" w:hAnsi="Times New Roman" w:cs="Times New Roman"/>
          <w:color w:val="000000"/>
          <w:sz w:val="24"/>
          <w:szCs w:val="24"/>
        </w:rPr>
        <w:t xml:space="preserve">, showing that </w:t>
      </w:r>
      <w:r w:rsidR="00AC5D2E">
        <w:rPr>
          <w:rFonts w:ascii="Times New Roman" w:hAnsi="Times New Roman" w:cs="Times New Roman"/>
          <w:color w:val="000000"/>
          <w:sz w:val="24"/>
          <w:szCs w:val="24"/>
        </w:rPr>
        <w:t>Meadows is not a member in good standing</w:t>
      </w:r>
      <w:r w:rsidR="00FA53DE">
        <w:rPr>
          <w:rFonts w:ascii="Times New Roman" w:hAnsi="Times New Roman" w:cs="Times New Roman"/>
          <w:color w:val="000000"/>
          <w:sz w:val="24"/>
          <w:szCs w:val="24"/>
        </w:rPr>
        <w:t>,</w:t>
      </w:r>
      <w:r w:rsidR="00AC5D2E">
        <w:rPr>
          <w:rFonts w:ascii="Times New Roman" w:hAnsi="Times New Roman" w:cs="Times New Roman"/>
          <w:color w:val="000000"/>
          <w:sz w:val="24"/>
          <w:szCs w:val="24"/>
        </w:rPr>
        <w:t xml:space="preserve"> </w:t>
      </w:r>
      <w:r w:rsidR="00FA53DE">
        <w:rPr>
          <w:rFonts w:ascii="Times New Roman" w:hAnsi="Times New Roman" w:cs="Times New Roman"/>
          <w:color w:val="000000"/>
          <w:sz w:val="24"/>
          <w:szCs w:val="24"/>
        </w:rPr>
        <w:t>n</w:t>
      </w:r>
      <w:r w:rsidR="00AC5D2E">
        <w:rPr>
          <w:rFonts w:ascii="Times New Roman" w:hAnsi="Times New Roman" w:cs="Times New Roman"/>
          <w:color w:val="000000"/>
          <w:sz w:val="24"/>
          <w:szCs w:val="24"/>
        </w:rPr>
        <w:t>or that his charge(s) are un</w:t>
      </w:r>
      <w:r w:rsidR="00FA53DE">
        <w:rPr>
          <w:rFonts w:ascii="Times New Roman" w:hAnsi="Times New Roman" w:cs="Times New Roman"/>
          <w:color w:val="000000"/>
          <w:sz w:val="24"/>
          <w:szCs w:val="24"/>
        </w:rPr>
        <w:t xml:space="preserve">timely, must less introduce any </w:t>
      </w:r>
      <w:r w:rsidR="00AC5D2E">
        <w:rPr>
          <w:rFonts w:ascii="Times New Roman" w:hAnsi="Times New Roman" w:cs="Times New Roman"/>
          <w:color w:val="000000"/>
          <w:sz w:val="24"/>
          <w:szCs w:val="24"/>
        </w:rPr>
        <w:t>evidence to dispute his charges. Regardless, Meadows argument and evidence already establish that; 1) CA Torell admitted that MDD’s</w:t>
      </w:r>
      <w:r w:rsidR="006303B9">
        <w:rPr>
          <w:rFonts w:ascii="Times New Roman" w:hAnsi="Times New Roman" w:cs="Times New Roman"/>
          <w:color w:val="000000"/>
          <w:sz w:val="24"/>
          <w:szCs w:val="24"/>
        </w:rPr>
        <w:t>,</w:t>
      </w:r>
      <w:r w:rsidR="00AC5D2E">
        <w:rPr>
          <w:rFonts w:ascii="Times New Roman" w:hAnsi="Times New Roman" w:cs="Times New Roman"/>
          <w:color w:val="000000"/>
          <w:sz w:val="24"/>
          <w:szCs w:val="24"/>
        </w:rPr>
        <w:t xml:space="preserve"> like Meadows</w:t>
      </w:r>
      <w:r w:rsidR="006303B9">
        <w:rPr>
          <w:rFonts w:ascii="Times New Roman" w:hAnsi="Times New Roman" w:cs="Times New Roman"/>
          <w:color w:val="000000"/>
          <w:sz w:val="24"/>
          <w:szCs w:val="24"/>
        </w:rPr>
        <w:t>,</w:t>
      </w:r>
      <w:r w:rsidR="00AC5D2E">
        <w:rPr>
          <w:rFonts w:ascii="Times New Roman" w:hAnsi="Times New Roman" w:cs="Times New Roman"/>
          <w:color w:val="000000"/>
          <w:sz w:val="24"/>
          <w:szCs w:val="24"/>
        </w:rPr>
        <w:t xml:space="preserve"> were inactive members of APA since she took office in July 2013, </w:t>
      </w:r>
      <w:r>
        <w:rPr>
          <w:rFonts w:ascii="Times New Roman" w:hAnsi="Times New Roman" w:cs="Times New Roman"/>
          <w:color w:val="000000"/>
          <w:sz w:val="24"/>
          <w:szCs w:val="24"/>
        </w:rPr>
        <w:t xml:space="preserve">2) </w:t>
      </w:r>
      <w:r w:rsidR="00AC5D2E">
        <w:rPr>
          <w:rFonts w:ascii="Times New Roman" w:hAnsi="Times New Roman" w:cs="Times New Roman"/>
          <w:color w:val="000000"/>
          <w:sz w:val="24"/>
          <w:szCs w:val="24"/>
        </w:rPr>
        <w:t>that</w:t>
      </w:r>
      <w:r>
        <w:rPr>
          <w:rFonts w:ascii="Times New Roman" w:hAnsi="Times New Roman" w:cs="Times New Roman"/>
          <w:color w:val="000000"/>
          <w:sz w:val="24"/>
          <w:szCs w:val="24"/>
        </w:rPr>
        <w:t xml:space="preserve"> she was</w:t>
      </w:r>
      <w:r w:rsidR="00AC5D2E">
        <w:rPr>
          <w:rFonts w:ascii="Times New Roman" w:hAnsi="Times New Roman" w:cs="Times New Roman"/>
          <w:color w:val="000000"/>
          <w:sz w:val="24"/>
          <w:szCs w:val="24"/>
        </w:rPr>
        <w:t xml:space="preserve"> aware of her obligations as Secretary-Treasurer under</w:t>
      </w:r>
      <w:r>
        <w:rPr>
          <w:rFonts w:ascii="Times New Roman" w:hAnsi="Times New Roman" w:cs="Times New Roman"/>
          <w:color w:val="000000"/>
          <w:sz w:val="24"/>
          <w:szCs w:val="24"/>
        </w:rPr>
        <w:t xml:space="preserve"> the supreme law of APA’s C&amp;B</w:t>
      </w:r>
      <w:r w:rsidR="00AC5D2E">
        <w:rPr>
          <w:rFonts w:ascii="Times New Roman" w:hAnsi="Times New Roman" w:cs="Times New Roman"/>
          <w:color w:val="000000"/>
          <w:sz w:val="24"/>
          <w:szCs w:val="24"/>
        </w:rPr>
        <w:t>,</w:t>
      </w:r>
      <w:r>
        <w:rPr>
          <w:rFonts w:ascii="Times New Roman" w:hAnsi="Times New Roman" w:cs="Times New Roman"/>
          <w:color w:val="000000"/>
          <w:sz w:val="24"/>
          <w:szCs w:val="24"/>
        </w:rPr>
        <w:t xml:space="preserve"> 3) </w:t>
      </w:r>
      <w:r w:rsidR="00AC5D2E">
        <w:rPr>
          <w:rFonts w:ascii="Times New Roman" w:hAnsi="Times New Roman" w:cs="Times New Roman"/>
          <w:color w:val="000000"/>
          <w:sz w:val="24"/>
          <w:szCs w:val="24"/>
        </w:rPr>
        <w:t>but she made a deliberate decision not to comply with her obligations to issue MDD</w:t>
      </w:r>
      <w:r w:rsidR="006303B9">
        <w:rPr>
          <w:rFonts w:ascii="Times New Roman" w:hAnsi="Times New Roman" w:cs="Times New Roman"/>
          <w:color w:val="000000"/>
          <w:sz w:val="24"/>
          <w:szCs w:val="24"/>
        </w:rPr>
        <w:t xml:space="preserve"> pilot</w:t>
      </w:r>
      <w:r w:rsidR="00AC5D2E">
        <w:rPr>
          <w:rFonts w:ascii="Times New Roman" w:hAnsi="Times New Roman" w:cs="Times New Roman"/>
          <w:color w:val="000000"/>
          <w:sz w:val="24"/>
          <w:szCs w:val="24"/>
        </w:rPr>
        <w:t>s membership cards as otherwise required under the C&amp; Art. III. Sec. 4.</w:t>
      </w:r>
      <w:r>
        <w:rPr>
          <w:rFonts w:ascii="Times New Roman" w:hAnsi="Times New Roman" w:cs="Times New Roman"/>
          <w:color w:val="000000"/>
          <w:sz w:val="24"/>
          <w:szCs w:val="24"/>
        </w:rPr>
        <w:t>, 4) and the record shows that despite certified demands made by several disable</w:t>
      </w:r>
      <w:r w:rsidR="006303B9">
        <w:rPr>
          <w:rFonts w:ascii="Times New Roman" w:hAnsi="Times New Roman" w:cs="Times New Roman"/>
          <w:color w:val="000000"/>
          <w:sz w:val="24"/>
          <w:szCs w:val="24"/>
        </w:rPr>
        <w:t>d</w:t>
      </w:r>
      <w:r>
        <w:rPr>
          <w:rFonts w:ascii="Times New Roman" w:hAnsi="Times New Roman" w:cs="Times New Roman"/>
          <w:color w:val="000000"/>
          <w:sz w:val="24"/>
          <w:szCs w:val="24"/>
        </w:rPr>
        <w:t xml:space="preserve"> MDD pilots she willfully ignored said demand</w:t>
      </w:r>
      <w:r w:rsidR="006303B9">
        <w:rPr>
          <w:rFonts w:ascii="Times New Roman" w:hAnsi="Times New Roman" w:cs="Times New Roman"/>
          <w:color w:val="000000"/>
          <w:sz w:val="24"/>
          <w:szCs w:val="24"/>
        </w:rPr>
        <w:t>s, and refused t</w:t>
      </w:r>
      <w:r>
        <w:rPr>
          <w:rFonts w:ascii="Times New Roman" w:hAnsi="Times New Roman" w:cs="Times New Roman"/>
          <w:color w:val="000000"/>
          <w:sz w:val="24"/>
          <w:szCs w:val="24"/>
        </w:rPr>
        <w:t>o issue them membership cards for some 3 ½ years</w:t>
      </w:r>
      <w:r w:rsidR="006303B9">
        <w:rPr>
          <w:rFonts w:ascii="Times New Roman" w:hAnsi="Times New Roman" w:cs="Times New Roman"/>
          <w:color w:val="000000"/>
          <w:sz w:val="24"/>
          <w:szCs w:val="24"/>
        </w:rPr>
        <w:t>,</w:t>
      </w:r>
      <w:r>
        <w:rPr>
          <w:rFonts w:ascii="Times New Roman" w:hAnsi="Times New Roman" w:cs="Times New Roman"/>
          <w:color w:val="000000"/>
          <w:sz w:val="24"/>
          <w:szCs w:val="24"/>
        </w:rPr>
        <w:t xml:space="preserve"> until the eve of the </w:t>
      </w:r>
      <w:r w:rsidRPr="001E6D3F">
        <w:rPr>
          <w:rFonts w:ascii="Times New Roman" w:hAnsi="Times New Roman" w:cs="Times New Roman"/>
          <w:i/>
          <w:color w:val="000000"/>
          <w:sz w:val="24"/>
          <w:szCs w:val="24"/>
        </w:rPr>
        <w:t>Emery</w:t>
      </w:r>
      <w:r>
        <w:rPr>
          <w:rFonts w:ascii="Times New Roman" w:hAnsi="Times New Roman" w:cs="Times New Roman"/>
          <w:color w:val="000000"/>
          <w:sz w:val="24"/>
          <w:szCs w:val="24"/>
        </w:rPr>
        <w:t xml:space="preserve"> LMRDA trial</w:t>
      </w:r>
      <w:r w:rsidR="006303B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721F140B" w14:textId="77777777" w:rsidR="00AC5D2E" w:rsidRDefault="00AC5D2E" w:rsidP="00643C9A">
      <w:pPr>
        <w:autoSpaceDE w:val="0"/>
        <w:autoSpaceDN w:val="0"/>
        <w:adjustRightInd w:val="0"/>
        <w:spacing w:after="0" w:line="240" w:lineRule="auto"/>
        <w:rPr>
          <w:rFonts w:ascii="Times New Roman" w:hAnsi="Times New Roman" w:cs="Times New Roman"/>
          <w:color w:val="000000"/>
          <w:sz w:val="24"/>
          <w:szCs w:val="24"/>
        </w:rPr>
      </w:pPr>
    </w:p>
    <w:p w14:paraId="520F6110" w14:textId="7142294C" w:rsidR="00A800B2" w:rsidRDefault="00D62B4B" w:rsidP="007B38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Disturbingly</w:t>
      </w:r>
      <w:r w:rsidR="0097786C">
        <w:rPr>
          <w:rFonts w:ascii="Times New Roman" w:hAnsi="Times New Roman" w:cs="Times New Roman"/>
          <w:color w:val="000000"/>
          <w:sz w:val="24"/>
          <w:szCs w:val="24"/>
        </w:rPr>
        <w:t xml:space="preserve">, </w:t>
      </w:r>
      <w:r w:rsidR="001E6D3F">
        <w:rPr>
          <w:rFonts w:ascii="Times New Roman" w:hAnsi="Times New Roman" w:cs="Times New Roman"/>
          <w:color w:val="000000"/>
          <w:sz w:val="24"/>
          <w:szCs w:val="24"/>
        </w:rPr>
        <w:t>CA Torell has already made a deliberate and unlawful decision to abandon these proceedings, and in so doing has waived any further rights to respond to this Letter Motion</w:t>
      </w:r>
      <w:r w:rsidR="00287CCE">
        <w:rPr>
          <w:rFonts w:ascii="Times New Roman" w:hAnsi="Times New Roman" w:cs="Times New Roman"/>
          <w:color w:val="000000"/>
          <w:sz w:val="24"/>
          <w:szCs w:val="24"/>
        </w:rPr>
        <w:t>, much less be allowed to continue</w:t>
      </w:r>
      <w:r w:rsidR="001E6D3F">
        <w:rPr>
          <w:rFonts w:ascii="Times New Roman" w:hAnsi="Times New Roman" w:cs="Times New Roman"/>
          <w:color w:val="000000"/>
          <w:sz w:val="24"/>
          <w:szCs w:val="24"/>
        </w:rPr>
        <w:t xml:space="preserve"> defe</w:t>
      </w:r>
      <w:r w:rsidR="00287CCE">
        <w:rPr>
          <w:rFonts w:ascii="Times New Roman" w:hAnsi="Times New Roman" w:cs="Times New Roman"/>
          <w:color w:val="000000"/>
          <w:sz w:val="24"/>
          <w:szCs w:val="24"/>
        </w:rPr>
        <w:t xml:space="preserve">nd herself in these proceedings with the </w:t>
      </w:r>
      <w:r w:rsidR="006303B9">
        <w:rPr>
          <w:rFonts w:ascii="Times New Roman" w:hAnsi="Times New Roman" w:cs="Times New Roman"/>
          <w:color w:val="000000"/>
          <w:sz w:val="24"/>
          <w:szCs w:val="24"/>
        </w:rPr>
        <w:t>assistanc</w:t>
      </w:r>
      <w:r w:rsidR="00287CCE">
        <w:rPr>
          <w:rFonts w:ascii="Times New Roman" w:hAnsi="Times New Roman" w:cs="Times New Roman"/>
          <w:color w:val="000000"/>
          <w:sz w:val="24"/>
          <w:szCs w:val="24"/>
        </w:rPr>
        <w:t>e of APA’</w:t>
      </w:r>
      <w:r w:rsidR="006303B9">
        <w:rPr>
          <w:rFonts w:ascii="Times New Roman" w:hAnsi="Times New Roman" w:cs="Times New Roman"/>
          <w:color w:val="000000"/>
          <w:sz w:val="24"/>
          <w:szCs w:val="24"/>
        </w:rPr>
        <w:t>s counsel at the membership expense.</w:t>
      </w:r>
      <w:r w:rsidR="0097786C">
        <w:rPr>
          <w:rFonts w:ascii="Times New Roman" w:hAnsi="Times New Roman" w:cs="Times New Roman"/>
          <w:color w:val="000000"/>
          <w:sz w:val="24"/>
          <w:szCs w:val="24"/>
        </w:rPr>
        <w:t xml:space="preserve"> </w:t>
      </w:r>
      <w:r w:rsidR="00316550">
        <w:rPr>
          <w:rFonts w:ascii="Times New Roman" w:hAnsi="Times New Roman" w:cs="Times New Roman"/>
          <w:color w:val="000000"/>
          <w:sz w:val="24"/>
          <w:szCs w:val="24"/>
        </w:rPr>
        <w:t>Furthermore</w:t>
      </w:r>
      <w:r w:rsidR="0097786C">
        <w:rPr>
          <w:rFonts w:ascii="Times New Roman" w:hAnsi="Times New Roman" w:cs="Times New Roman"/>
          <w:color w:val="000000"/>
          <w:sz w:val="24"/>
          <w:szCs w:val="24"/>
        </w:rPr>
        <w:t xml:space="preserve">, these proceedings are to be conducted under rules and AB Policy in place when they were filed </w:t>
      </w:r>
      <w:r w:rsidR="00287CCE">
        <w:rPr>
          <w:rFonts w:ascii="Times New Roman" w:hAnsi="Times New Roman" w:cs="Times New Roman"/>
          <w:color w:val="000000"/>
          <w:sz w:val="24"/>
          <w:szCs w:val="24"/>
        </w:rPr>
        <w:t>in</w:t>
      </w:r>
      <w:r w:rsidR="0097786C">
        <w:rPr>
          <w:rFonts w:ascii="Times New Roman" w:hAnsi="Times New Roman" w:cs="Times New Roman"/>
          <w:color w:val="000000"/>
          <w:sz w:val="24"/>
          <w:szCs w:val="24"/>
        </w:rPr>
        <w:t xml:space="preserve"> April 2014</w:t>
      </w:r>
      <w:r w:rsidR="006303B9">
        <w:rPr>
          <w:rFonts w:ascii="Times New Roman" w:hAnsi="Times New Roman" w:cs="Times New Roman"/>
          <w:color w:val="000000"/>
          <w:sz w:val="24"/>
          <w:szCs w:val="24"/>
        </w:rPr>
        <w:t>, just like APA BOD insisted on reusing the old AB on this instant matter</w:t>
      </w:r>
      <w:r w:rsidR="0097786C">
        <w:rPr>
          <w:rFonts w:ascii="Times New Roman" w:hAnsi="Times New Roman" w:cs="Times New Roman"/>
          <w:color w:val="000000"/>
          <w:sz w:val="24"/>
          <w:szCs w:val="24"/>
        </w:rPr>
        <w:t>. Thus, those rules do not allow for paid union leav</w:t>
      </w:r>
      <w:r w:rsidR="00316550">
        <w:rPr>
          <w:rFonts w:ascii="Times New Roman" w:hAnsi="Times New Roman" w:cs="Times New Roman"/>
          <w:color w:val="000000"/>
          <w:sz w:val="24"/>
          <w:szCs w:val="24"/>
        </w:rPr>
        <w:t>e</w:t>
      </w:r>
      <w:r w:rsidR="0097786C">
        <w:rPr>
          <w:rFonts w:ascii="Times New Roman" w:hAnsi="Times New Roman" w:cs="Times New Roman"/>
          <w:color w:val="000000"/>
          <w:sz w:val="24"/>
          <w:szCs w:val="24"/>
        </w:rPr>
        <w:t xml:space="preserve"> for either the Accuser, </w:t>
      </w:r>
      <w:r w:rsidR="00A800B2">
        <w:rPr>
          <w:rFonts w:ascii="Times New Roman" w:hAnsi="Times New Roman" w:cs="Times New Roman"/>
          <w:color w:val="000000"/>
          <w:sz w:val="24"/>
          <w:szCs w:val="24"/>
        </w:rPr>
        <w:t>Accused</w:t>
      </w:r>
      <w:r w:rsidR="0097786C">
        <w:rPr>
          <w:rFonts w:ascii="Times New Roman" w:hAnsi="Times New Roman" w:cs="Times New Roman"/>
          <w:color w:val="000000"/>
          <w:sz w:val="24"/>
          <w:szCs w:val="24"/>
        </w:rPr>
        <w:t xml:space="preserve"> or their representatives, </w:t>
      </w:r>
      <w:r w:rsidR="00316550">
        <w:rPr>
          <w:rFonts w:ascii="Times New Roman" w:hAnsi="Times New Roman" w:cs="Times New Roman"/>
          <w:color w:val="000000"/>
          <w:sz w:val="24"/>
          <w:szCs w:val="24"/>
        </w:rPr>
        <w:t>nor do the old or current rules (Sep. 2016 AB Policy M</w:t>
      </w:r>
      <w:r w:rsidR="006303B9">
        <w:rPr>
          <w:rFonts w:ascii="Times New Roman" w:hAnsi="Times New Roman" w:cs="Times New Roman"/>
          <w:color w:val="000000"/>
          <w:sz w:val="24"/>
          <w:szCs w:val="24"/>
        </w:rPr>
        <w:t>anual -</w:t>
      </w:r>
      <w:r w:rsidR="00316550">
        <w:rPr>
          <w:rFonts w:ascii="Times New Roman" w:hAnsi="Times New Roman" w:cs="Times New Roman"/>
          <w:color w:val="000000"/>
          <w:sz w:val="24"/>
          <w:szCs w:val="24"/>
        </w:rPr>
        <w:t xml:space="preserve"> not yet approved by BOD)</w:t>
      </w:r>
      <w:r w:rsidR="007B38A4">
        <w:rPr>
          <w:rFonts w:ascii="Times New Roman" w:hAnsi="Times New Roman" w:cs="Times New Roman"/>
          <w:color w:val="000000"/>
          <w:sz w:val="24"/>
          <w:szCs w:val="24"/>
        </w:rPr>
        <w:t xml:space="preserve"> allow f</w:t>
      </w:r>
      <w:r w:rsidR="00316550">
        <w:rPr>
          <w:rFonts w:ascii="Times New Roman" w:hAnsi="Times New Roman" w:cs="Times New Roman"/>
          <w:color w:val="000000"/>
          <w:sz w:val="24"/>
          <w:szCs w:val="24"/>
        </w:rPr>
        <w:t xml:space="preserve">or the substantive involvement of the </w:t>
      </w:r>
      <w:r w:rsidR="007B38A4">
        <w:rPr>
          <w:rFonts w:ascii="Times New Roman" w:hAnsi="Times New Roman" w:cs="Times New Roman"/>
          <w:color w:val="000000"/>
          <w:sz w:val="24"/>
          <w:szCs w:val="24"/>
        </w:rPr>
        <w:t xml:space="preserve">Institution, to include, legal advice from either APA’s </w:t>
      </w:r>
      <w:r w:rsidR="00316550">
        <w:rPr>
          <w:rFonts w:ascii="Times New Roman" w:hAnsi="Times New Roman" w:cs="Times New Roman"/>
          <w:color w:val="000000"/>
          <w:sz w:val="24"/>
          <w:szCs w:val="24"/>
        </w:rPr>
        <w:t>in</w:t>
      </w:r>
      <w:r w:rsidR="00505BCA">
        <w:rPr>
          <w:rFonts w:ascii="Times New Roman" w:hAnsi="Times New Roman" w:cs="Times New Roman"/>
          <w:color w:val="000000"/>
          <w:sz w:val="24"/>
          <w:szCs w:val="24"/>
        </w:rPr>
        <w:t>-</w:t>
      </w:r>
      <w:r w:rsidR="00316550">
        <w:rPr>
          <w:rFonts w:ascii="Times New Roman" w:hAnsi="Times New Roman" w:cs="Times New Roman"/>
          <w:color w:val="000000"/>
          <w:sz w:val="24"/>
          <w:szCs w:val="24"/>
        </w:rPr>
        <w:t xml:space="preserve">house or general counsel, other than for </w:t>
      </w:r>
      <w:r w:rsidR="00505BCA">
        <w:rPr>
          <w:rFonts w:ascii="Times New Roman" w:hAnsi="Times New Roman" w:cs="Times New Roman"/>
          <w:color w:val="000000"/>
          <w:sz w:val="24"/>
          <w:szCs w:val="24"/>
        </w:rPr>
        <w:t>administrative</w:t>
      </w:r>
      <w:r w:rsidR="00316550">
        <w:rPr>
          <w:rFonts w:ascii="Times New Roman" w:hAnsi="Times New Roman" w:cs="Times New Roman"/>
          <w:color w:val="000000"/>
          <w:sz w:val="24"/>
          <w:szCs w:val="24"/>
        </w:rPr>
        <w:t xml:space="preserve"> </w:t>
      </w:r>
      <w:r w:rsidR="00505BCA">
        <w:rPr>
          <w:rFonts w:ascii="Times New Roman" w:hAnsi="Times New Roman" w:cs="Times New Roman"/>
          <w:color w:val="000000"/>
          <w:sz w:val="24"/>
          <w:szCs w:val="24"/>
        </w:rPr>
        <w:t>support</w:t>
      </w:r>
      <w:r w:rsidR="006303B9">
        <w:rPr>
          <w:rFonts w:ascii="Times New Roman" w:hAnsi="Times New Roman" w:cs="Times New Roman"/>
          <w:color w:val="000000"/>
          <w:sz w:val="24"/>
          <w:szCs w:val="24"/>
        </w:rPr>
        <w:t xml:space="preserve"> (docketing, notices, etc.) </w:t>
      </w:r>
      <w:r w:rsidR="007B38A4">
        <w:rPr>
          <w:rFonts w:ascii="Times New Roman" w:hAnsi="Times New Roman" w:cs="Times New Roman"/>
          <w:color w:val="000000"/>
          <w:sz w:val="24"/>
          <w:szCs w:val="24"/>
        </w:rPr>
        <w:t>of the AB</w:t>
      </w:r>
      <w:r w:rsidR="00505BCA">
        <w:rPr>
          <w:rFonts w:ascii="Times New Roman" w:hAnsi="Times New Roman" w:cs="Times New Roman"/>
          <w:color w:val="000000"/>
          <w:sz w:val="24"/>
          <w:szCs w:val="24"/>
        </w:rPr>
        <w:t>. T</w:t>
      </w:r>
      <w:r w:rsidR="0097786C">
        <w:rPr>
          <w:rFonts w:ascii="Times New Roman" w:hAnsi="Times New Roman" w:cs="Times New Roman"/>
          <w:color w:val="000000"/>
          <w:sz w:val="24"/>
          <w:szCs w:val="24"/>
        </w:rPr>
        <w:t>herefore</w:t>
      </w:r>
      <w:r w:rsidR="00505BCA">
        <w:rPr>
          <w:rFonts w:ascii="Times New Roman" w:hAnsi="Times New Roman" w:cs="Times New Roman"/>
          <w:color w:val="000000"/>
          <w:sz w:val="24"/>
          <w:szCs w:val="24"/>
        </w:rPr>
        <w:t>, t</w:t>
      </w:r>
      <w:r w:rsidR="0097786C">
        <w:rPr>
          <w:rFonts w:ascii="Times New Roman" w:hAnsi="Times New Roman" w:cs="Times New Roman"/>
          <w:color w:val="000000"/>
          <w:sz w:val="24"/>
          <w:szCs w:val="24"/>
        </w:rPr>
        <w:t xml:space="preserve">o allow her </w:t>
      </w:r>
      <w:r w:rsidR="0097786C">
        <w:rPr>
          <w:rFonts w:ascii="Times New Roman" w:hAnsi="Times New Roman" w:cs="Times New Roman"/>
          <w:color w:val="000000"/>
          <w:sz w:val="24"/>
          <w:szCs w:val="24"/>
        </w:rPr>
        <w:lastRenderedPageBreak/>
        <w:t>conflicted</w:t>
      </w:r>
      <w:r w:rsidR="007B38A4">
        <w:rPr>
          <w:rFonts w:ascii="Times New Roman" w:hAnsi="Times New Roman" w:cs="Times New Roman"/>
          <w:color w:val="000000"/>
          <w:sz w:val="24"/>
          <w:szCs w:val="24"/>
        </w:rPr>
        <w:t xml:space="preserve"> Representative</w:t>
      </w:r>
      <w:r w:rsidR="007B38A4">
        <w:rPr>
          <w:rStyle w:val="FootnoteReference"/>
          <w:rFonts w:ascii="Times New Roman" w:hAnsi="Times New Roman" w:cs="Times New Roman"/>
          <w:color w:val="000000"/>
          <w:sz w:val="24"/>
          <w:szCs w:val="24"/>
        </w:rPr>
        <w:footnoteReference w:id="6"/>
      </w:r>
      <w:r w:rsidR="007B38A4">
        <w:rPr>
          <w:rFonts w:ascii="Times New Roman" w:hAnsi="Times New Roman" w:cs="Times New Roman"/>
          <w:color w:val="000000"/>
          <w:sz w:val="24"/>
          <w:szCs w:val="24"/>
        </w:rPr>
        <w:t xml:space="preserve"> </w:t>
      </w:r>
      <w:r w:rsidR="00A800B2">
        <w:rPr>
          <w:rFonts w:ascii="Times New Roman" w:hAnsi="Times New Roman" w:cs="Times New Roman"/>
          <w:color w:val="000000"/>
          <w:sz w:val="24"/>
          <w:szCs w:val="24"/>
        </w:rPr>
        <w:t xml:space="preserve">to </w:t>
      </w:r>
      <w:r w:rsidR="007B38A4">
        <w:rPr>
          <w:rFonts w:ascii="Times New Roman" w:hAnsi="Times New Roman" w:cs="Times New Roman"/>
          <w:color w:val="000000"/>
          <w:sz w:val="24"/>
          <w:szCs w:val="24"/>
        </w:rPr>
        <w:t xml:space="preserve">defend </w:t>
      </w:r>
      <w:r w:rsidR="00A800B2">
        <w:rPr>
          <w:rFonts w:ascii="Times New Roman" w:hAnsi="Times New Roman" w:cs="Times New Roman"/>
          <w:color w:val="000000"/>
          <w:sz w:val="24"/>
          <w:szCs w:val="24"/>
        </w:rPr>
        <w:t xml:space="preserve">and continue to defend </w:t>
      </w:r>
      <w:r w:rsidR="007B38A4">
        <w:rPr>
          <w:rFonts w:ascii="Times New Roman" w:hAnsi="Times New Roman" w:cs="Times New Roman"/>
          <w:color w:val="000000"/>
          <w:sz w:val="24"/>
          <w:szCs w:val="24"/>
        </w:rPr>
        <w:t>her with the assistance of APA’s Counsel all</w:t>
      </w:r>
      <w:r w:rsidR="006303B9">
        <w:rPr>
          <w:rFonts w:ascii="Times New Roman" w:hAnsi="Times New Roman" w:cs="Times New Roman"/>
          <w:color w:val="000000"/>
          <w:sz w:val="24"/>
          <w:szCs w:val="24"/>
        </w:rPr>
        <w:t xml:space="preserve"> at the memberships expense</w:t>
      </w:r>
      <w:r w:rsidR="007B38A4">
        <w:rPr>
          <w:rFonts w:ascii="Times New Roman" w:hAnsi="Times New Roman" w:cs="Times New Roman"/>
          <w:color w:val="000000"/>
          <w:sz w:val="24"/>
          <w:szCs w:val="24"/>
        </w:rPr>
        <w:t>, is indeed a Major Policy</w:t>
      </w:r>
      <w:r w:rsidR="006303B9">
        <w:rPr>
          <w:rFonts w:ascii="Times New Roman" w:hAnsi="Times New Roman" w:cs="Times New Roman"/>
          <w:color w:val="000000"/>
          <w:sz w:val="24"/>
          <w:szCs w:val="24"/>
        </w:rPr>
        <w:t xml:space="preserve"> Violation </w:t>
      </w:r>
      <w:r w:rsidR="007B38A4">
        <w:rPr>
          <w:rFonts w:ascii="Times New Roman" w:hAnsi="Times New Roman" w:cs="Times New Roman"/>
          <w:color w:val="000000"/>
          <w:sz w:val="24"/>
          <w:szCs w:val="24"/>
        </w:rPr>
        <w:t xml:space="preserve">and </w:t>
      </w:r>
      <w:r w:rsidR="00A800B2">
        <w:rPr>
          <w:rFonts w:ascii="Times New Roman" w:hAnsi="Times New Roman" w:cs="Times New Roman"/>
          <w:color w:val="000000"/>
          <w:sz w:val="24"/>
          <w:szCs w:val="24"/>
        </w:rPr>
        <w:t xml:space="preserve">rises to </w:t>
      </w:r>
      <w:r w:rsidR="006303B9">
        <w:rPr>
          <w:rFonts w:ascii="Times New Roman" w:hAnsi="Times New Roman" w:cs="Times New Roman"/>
          <w:color w:val="000000"/>
          <w:sz w:val="24"/>
          <w:szCs w:val="24"/>
        </w:rPr>
        <w:t>the level of inter-union corruption,</w:t>
      </w:r>
      <w:r w:rsidR="007B38A4">
        <w:rPr>
          <w:rFonts w:ascii="Times New Roman" w:hAnsi="Times New Roman" w:cs="Times New Roman"/>
          <w:color w:val="000000"/>
          <w:sz w:val="24"/>
          <w:szCs w:val="24"/>
        </w:rPr>
        <w:t xml:space="preserve"> which is absolutely detrimental to the </w:t>
      </w:r>
      <w:r w:rsidR="006303B9">
        <w:rPr>
          <w:rFonts w:ascii="Times New Roman" w:hAnsi="Times New Roman" w:cs="Times New Roman"/>
          <w:color w:val="000000"/>
          <w:sz w:val="24"/>
          <w:szCs w:val="24"/>
        </w:rPr>
        <w:t>membership;</w:t>
      </w:r>
      <w:r w:rsidR="00A800B2">
        <w:rPr>
          <w:rFonts w:ascii="Times New Roman" w:hAnsi="Times New Roman" w:cs="Times New Roman"/>
          <w:color w:val="000000"/>
          <w:sz w:val="24"/>
          <w:szCs w:val="24"/>
        </w:rPr>
        <w:t xml:space="preserve"> </w:t>
      </w:r>
      <w:r w:rsidR="007B38A4">
        <w:rPr>
          <w:rFonts w:ascii="Times New Roman" w:hAnsi="Times New Roman" w:cs="Times New Roman"/>
          <w:color w:val="000000"/>
          <w:sz w:val="24"/>
          <w:szCs w:val="24"/>
        </w:rPr>
        <w:t>as it vi</w:t>
      </w:r>
      <w:r w:rsidR="00A800B2">
        <w:rPr>
          <w:rFonts w:ascii="Times New Roman" w:hAnsi="Times New Roman" w:cs="Times New Roman"/>
          <w:color w:val="000000"/>
          <w:sz w:val="24"/>
          <w:szCs w:val="24"/>
        </w:rPr>
        <w:t>olate</w:t>
      </w:r>
      <w:r w:rsidR="007B38A4">
        <w:rPr>
          <w:rFonts w:ascii="Times New Roman" w:hAnsi="Times New Roman" w:cs="Times New Roman"/>
          <w:color w:val="000000"/>
          <w:sz w:val="24"/>
          <w:szCs w:val="24"/>
        </w:rPr>
        <w:t>s</w:t>
      </w:r>
      <w:r w:rsidR="00A800B2">
        <w:rPr>
          <w:rFonts w:ascii="Times New Roman" w:hAnsi="Times New Roman" w:cs="Times New Roman"/>
          <w:color w:val="000000"/>
          <w:sz w:val="24"/>
          <w:szCs w:val="24"/>
        </w:rPr>
        <w:t xml:space="preserve"> </w:t>
      </w:r>
      <w:r w:rsidR="006303B9">
        <w:rPr>
          <w:rFonts w:ascii="Times New Roman" w:hAnsi="Times New Roman" w:cs="Times New Roman"/>
          <w:color w:val="000000"/>
          <w:sz w:val="24"/>
          <w:szCs w:val="24"/>
        </w:rPr>
        <w:t>APA’s</w:t>
      </w:r>
      <w:r w:rsidR="007B38A4">
        <w:rPr>
          <w:rFonts w:ascii="Times New Roman" w:hAnsi="Times New Roman" w:cs="Times New Roman"/>
          <w:color w:val="000000"/>
          <w:sz w:val="24"/>
          <w:szCs w:val="24"/>
        </w:rPr>
        <w:t xml:space="preserve"> supreme law</w:t>
      </w:r>
      <w:r w:rsidR="006303B9">
        <w:rPr>
          <w:rFonts w:ascii="Times New Roman" w:hAnsi="Times New Roman" w:cs="Times New Roman"/>
          <w:color w:val="000000"/>
          <w:sz w:val="24"/>
          <w:szCs w:val="24"/>
        </w:rPr>
        <w:t>,</w:t>
      </w:r>
      <w:r w:rsidR="007B38A4">
        <w:rPr>
          <w:rFonts w:ascii="Times New Roman" w:hAnsi="Times New Roman" w:cs="Times New Roman"/>
          <w:color w:val="000000"/>
          <w:sz w:val="24"/>
          <w:szCs w:val="24"/>
        </w:rPr>
        <w:t xml:space="preserve"> C&amp;B Art. VII.A.</w:t>
      </w:r>
      <w:r w:rsidR="006303B9">
        <w:rPr>
          <w:rFonts w:ascii="Times New Roman" w:hAnsi="Times New Roman" w:cs="Times New Roman"/>
          <w:color w:val="000000"/>
          <w:sz w:val="24"/>
          <w:szCs w:val="24"/>
        </w:rPr>
        <w:t>,</w:t>
      </w:r>
      <w:r w:rsidR="007B38A4">
        <w:rPr>
          <w:rFonts w:ascii="Times New Roman" w:hAnsi="Times New Roman" w:cs="Times New Roman"/>
          <w:color w:val="000000"/>
          <w:sz w:val="24"/>
          <w:szCs w:val="24"/>
        </w:rPr>
        <w:t xml:space="preserve">  </w:t>
      </w:r>
      <w:r w:rsidR="007B38A4" w:rsidRPr="006303B9">
        <w:rPr>
          <w:rFonts w:ascii="Times New Roman" w:hAnsi="Times New Roman" w:cs="Times New Roman"/>
          <w:i/>
          <w:color w:val="000000"/>
          <w:sz w:val="24"/>
          <w:szCs w:val="24"/>
        </w:rPr>
        <w:t xml:space="preserve">“4. </w:t>
      </w:r>
      <w:r w:rsidR="007B38A4" w:rsidRPr="006303B9">
        <w:rPr>
          <w:rFonts w:ascii="Times New Roman" w:hAnsi="Times New Roman" w:cs="Times New Roman"/>
          <w:i/>
          <w:color w:val="000000"/>
          <w:sz w:val="24"/>
          <w:szCs w:val="24"/>
        </w:rPr>
        <w:t>Misappropriating money or property of the Association;</w:t>
      </w:r>
      <w:r w:rsidR="007B38A4" w:rsidRPr="006303B9">
        <w:rPr>
          <w:rFonts w:ascii="Times New Roman" w:hAnsi="Times New Roman" w:cs="Times New Roman"/>
          <w:i/>
          <w:color w:val="000000"/>
          <w:sz w:val="24"/>
          <w:szCs w:val="24"/>
        </w:rPr>
        <w:t>”</w:t>
      </w:r>
      <w:r w:rsidR="007B38A4">
        <w:rPr>
          <w:rFonts w:ascii="Times New Roman" w:hAnsi="Times New Roman" w:cs="Times New Roman"/>
          <w:color w:val="000000"/>
          <w:sz w:val="24"/>
          <w:szCs w:val="24"/>
        </w:rPr>
        <w:t xml:space="preserve"> </w:t>
      </w:r>
      <w:r w:rsidR="00262FBD">
        <w:rPr>
          <w:rFonts w:ascii="Times New Roman" w:hAnsi="Times New Roman" w:cs="Times New Roman"/>
          <w:color w:val="000000"/>
          <w:sz w:val="24"/>
          <w:szCs w:val="24"/>
        </w:rPr>
        <w:t xml:space="preserve">and, </w:t>
      </w:r>
      <w:r w:rsidR="00262FBD" w:rsidRPr="006303B9">
        <w:rPr>
          <w:rFonts w:ascii="Times New Roman" w:hAnsi="Times New Roman" w:cs="Times New Roman"/>
          <w:i/>
          <w:color w:val="000000"/>
          <w:sz w:val="24"/>
          <w:szCs w:val="24"/>
        </w:rPr>
        <w:t>“</w:t>
      </w:r>
      <w:r w:rsidR="007B38A4" w:rsidRPr="006303B9">
        <w:rPr>
          <w:rFonts w:ascii="Times New Roman" w:hAnsi="Times New Roman" w:cs="Times New Roman"/>
          <w:i/>
          <w:color w:val="000000"/>
          <w:sz w:val="24"/>
          <w:szCs w:val="24"/>
        </w:rPr>
        <w:t>7. Any act contrary to the best interests of the APA as an institution or its membership as a whole.</w:t>
      </w:r>
      <w:r w:rsidR="00262FBD" w:rsidRPr="006303B9">
        <w:rPr>
          <w:rFonts w:ascii="Times New Roman" w:hAnsi="Times New Roman" w:cs="Times New Roman"/>
          <w:i/>
          <w:color w:val="000000"/>
          <w:sz w:val="24"/>
          <w:szCs w:val="24"/>
        </w:rPr>
        <w:t>”</w:t>
      </w:r>
      <w:r w:rsidR="00262FBD">
        <w:rPr>
          <w:rFonts w:ascii="Times New Roman" w:hAnsi="Times New Roman" w:cs="Times New Roman"/>
          <w:color w:val="000000"/>
          <w:sz w:val="24"/>
          <w:szCs w:val="24"/>
        </w:rPr>
        <w:t xml:space="preserve"> </w:t>
      </w:r>
    </w:p>
    <w:p w14:paraId="4538D9E1" w14:textId="77777777" w:rsidR="00A800B2" w:rsidRDefault="00A800B2" w:rsidP="007B38A4">
      <w:pPr>
        <w:autoSpaceDE w:val="0"/>
        <w:autoSpaceDN w:val="0"/>
        <w:adjustRightInd w:val="0"/>
        <w:spacing w:after="0" w:line="240" w:lineRule="auto"/>
        <w:rPr>
          <w:rFonts w:ascii="Times New Roman" w:hAnsi="Times New Roman" w:cs="Times New Roman"/>
          <w:color w:val="000000"/>
          <w:sz w:val="24"/>
          <w:szCs w:val="24"/>
        </w:rPr>
      </w:pPr>
    </w:p>
    <w:p w14:paraId="4F0A896A" w14:textId="77777777" w:rsidR="00A800B2" w:rsidRDefault="00A800B2" w:rsidP="007B38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262FBD">
        <w:rPr>
          <w:rFonts w:ascii="Times New Roman" w:hAnsi="Times New Roman" w:cs="Times New Roman"/>
          <w:color w:val="000000"/>
          <w:sz w:val="24"/>
          <w:szCs w:val="24"/>
        </w:rPr>
        <w:t>As CA Carey mandated in his July 1</w:t>
      </w:r>
      <w:r w:rsidR="00262FBD" w:rsidRPr="00262FBD">
        <w:rPr>
          <w:rFonts w:ascii="Times New Roman" w:hAnsi="Times New Roman" w:cs="Times New Roman"/>
          <w:color w:val="000000"/>
          <w:sz w:val="24"/>
          <w:szCs w:val="24"/>
          <w:vertAlign w:val="superscript"/>
        </w:rPr>
        <w:t>st</w:t>
      </w:r>
      <w:r w:rsidR="00262FBD">
        <w:rPr>
          <w:rFonts w:ascii="Times New Roman" w:hAnsi="Times New Roman" w:cs="Times New Roman"/>
          <w:color w:val="000000"/>
          <w:sz w:val="24"/>
          <w:szCs w:val="24"/>
        </w:rPr>
        <w:t>, 2016 communique “Challenges Ahead”,</w:t>
      </w:r>
    </w:p>
    <w:p w14:paraId="481E4D2C" w14:textId="77777777" w:rsidR="00A800B2" w:rsidRDefault="00A800B2" w:rsidP="007B38A4">
      <w:pPr>
        <w:autoSpaceDE w:val="0"/>
        <w:autoSpaceDN w:val="0"/>
        <w:adjustRightInd w:val="0"/>
        <w:spacing w:after="0" w:line="240" w:lineRule="auto"/>
        <w:rPr>
          <w:rFonts w:ascii="Times New Roman" w:hAnsi="Times New Roman" w:cs="Times New Roman"/>
          <w:color w:val="000000"/>
          <w:sz w:val="24"/>
          <w:szCs w:val="24"/>
        </w:rPr>
      </w:pPr>
    </w:p>
    <w:p w14:paraId="10470EF6" w14:textId="088DEF34" w:rsidR="00262FBD" w:rsidRDefault="00262FBD" w:rsidP="00A800B2">
      <w:pPr>
        <w:autoSpaceDE w:val="0"/>
        <w:autoSpaceDN w:val="0"/>
        <w:adjustRightInd w:val="0"/>
        <w:spacing w:after="0" w:line="240" w:lineRule="auto"/>
        <w:ind w:left="720" w:right="720"/>
        <w:rPr>
          <w:rFonts w:ascii="Times New Roman" w:eastAsia="Times New Roman" w:hAnsi="Times New Roman" w:cs="Times New Roman"/>
          <w:bCs/>
          <w:i/>
          <w:iCs/>
          <w:color w:val="000000"/>
          <w:sz w:val="24"/>
          <w:szCs w:val="24"/>
        </w:rPr>
      </w:pPr>
      <w:r>
        <w:rPr>
          <w:rFonts w:ascii="Times New Roman" w:hAnsi="Times New Roman" w:cs="Times New Roman"/>
          <w:color w:val="000000"/>
          <w:sz w:val="24"/>
          <w:szCs w:val="24"/>
        </w:rPr>
        <w:t xml:space="preserve"> </w:t>
      </w:r>
      <w:r w:rsidRPr="00262FBD">
        <w:rPr>
          <w:rFonts w:ascii="Times New Roman" w:hAnsi="Times New Roman" w:cs="Times New Roman"/>
          <w:color w:val="000000"/>
          <w:sz w:val="24"/>
          <w:szCs w:val="24"/>
        </w:rPr>
        <w:t>“</w:t>
      </w:r>
      <w:r w:rsidRPr="00262FBD">
        <w:rPr>
          <w:rFonts w:ascii="Times New Roman" w:eastAsia="Times New Roman" w:hAnsi="Times New Roman" w:cs="Times New Roman"/>
          <w:b/>
          <w:bCs/>
          <w:i/>
          <w:iCs/>
          <w:color w:val="000000"/>
          <w:sz w:val="24"/>
          <w:szCs w:val="24"/>
        </w:rPr>
        <w:t xml:space="preserve">I have asked them </w:t>
      </w:r>
      <w:r w:rsidRPr="006303B9">
        <w:rPr>
          <w:rFonts w:ascii="Times New Roman" w:eastAsia="Times New Roman" w:hAnsi="Times New Roman" w:cs="Times New Roman"/>
          <w:bCs/>
          <w:i/>
          <w:iCs/>
          <w:color w:val="000000"/>
          <w:sz w:val="24"/>
          <w:szCs w:val="24"/>
        </w:rPr>
        <w:t>[APA’s Officers]</w:t>
      </w:r>
      <w:r w:rsidRPr="00262FBD">
        <w:rPr>
          <w:rFonts w:ascii="Times New Roman" w:eastAsia="Times New Roman" w:hAnsi="Times New Roman" w:cs="Times New Roman"/>
          <w:b/>
          <w:bCs/>
          <w:i/>
          <w:iCs/>
          <w:color w:val="000000"/>
          <w:sz w:val="24"/>
          <w:szCs w:val="24"/>
        </w:rPr>
        <w:t xml:space="preserve">to consider one question I want us to ask in everything we do: </w:t>
      </w:r>
      <w:r w:rsidRPr="00262FBD">
        <w:rPr>
          <w:rFonts w:ascii="Times New Roman" w:eastAsia="Times New Roman" w:hAnsi="Times New Roman" w:cs="Times New Roman"/>
          <w:b/>
          <w:bCs/>
          <w:i/>
          <w:iCs/>
          <w:color w:val="000000"/>
          <w:sz w:val="24"/>
          <w:szCs w:val="24"/>
          <w:u w:val="single"/>
        </w:rPr>
        <w:t>Is this good for the members we serve?"</w:t>
      </w:r>
      <w:r w:rsidRPr="00262FBD">
        <w:rPr>
          <w:rFonts w:ascii="Times New Roman" w:eastAsia="Times New Roman" w:hAnsi="Times New Roman" w:cs="Times New Roman"/>
          <w:bCs/>
          <w:i/>
          <w:iCs/>
          <w:color w:val="000000"/>
          <w:sz w:val="24"/>
          <w:szCs w:val="24"/>
        </w:rPr>
        <w:t xml:space="preserve"> </w:t>
      </w:r>
    </w:p>
    <w:p w14:paraId="661A6378" w14:textId="77777777" w:rsidR="00262FBD" w:rsidRDefault="00262FBD" w:rsidP="007B38A4">
      <w:pPr>
        <w:autoSpaceDE w:val="0"/>
        <w:autoSpaceDN w:val="0"/>
        <w:adjustRightInd w:val="0"/>
        <w:spacing w:after="0" w:line="240" w:lineRule="auto"/>
        <w:rPr>
          <w:rFonts w:ascii="Times New Roman" w:eastAsia="Times New Roman" w:hAnsi="Times New Roman" w:cs="Times New Roman"/>
          <w:bCs/>
          <w:i/>
          <w:iCs/>
          <w:color w:val="000000"/>
          <w:sz w:val="24"/>
          <w:szCs w:val="24"/>
        </w:rPr>
      </w:pPr>
    </w:p>
    <w:p w14:paraId="4F6FCCA1" w14:textId="6CD532E3" w:rsidR="007B38A4" w:rsidRPr="00262FBD" w:rsidRDefault="00A800B2" w:rsidP="007B38A4">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ab/>
      </w:r>
      <w:r w:rsidR="00262FBD" w:rsidRPr="00262FBD">
        <w:rPr>
          <w:rFonts w:ascii="Times New Roman" w:eastAsia="Times New Roman" w:hAnsi="Times New Roman" w:cs="Times New Roman"/>
          <w:bCs/>
          <w:iCs/>
          <w:color w:val="000000"/>
          <w:sz w:val="24"/>
          <w:szCs w:val="24"/>
        </w:rPr>
        <w:t xml:space="preserve">I sayeth not, and </w:t>
      </w:r>
      <w:r>
        <w:rPr>
          <w:rFonts w:ascii="Times New Roman" w:eastAsia="Times New Roman" w:hAnsi="Times New Roman" w:cs="Times New Roman"/>
          <w:bCs/>
          <w:iCs/>
          <w:color w:val="000000"/>
          <w:sz w:val="24"/>
          <w:szCs w:val="24"/>
        </w:rPr>
        <w:t xml:space="preserve">must </w:t>
      </w:r>
      <w:r w:rsidR="00262FBD" w:rsidRPr="00262FBD">
        <w:rPr>
          <w:rFonts w:ascii="Times New Roman" w:eastAsia="Times New Roman" w:hAnsi="Times New Roman" w:cs="Times New Roman"/>
          <w:bCs/>
          <w:iCs/>
          <w:color w:val="000000"/>
          <w:sz w:val="24"/>
          <w:szCs w:val="24"/>
        </w:rPr>
        <w:t>agree with CA Carey</w:t>
      </w:r>
      <w:r>
        <w:rPr>
          <w:rFonts w:ascii="Times New Roman" w:eastAsia="Times New Roman" w:hAnsi="Times New Roman" w:cs="Times New Roman"/>
          <w:bCs/>
          <w:iCs/>
          <w:color w:val="000000"/>
          <w:sz w:val="24"/>
          <w:szCs w:val="24"/>
        </w:rPr>
        <w:t xml:space="preserve"> motto</w:t>
      </w:r>
      <w:r w:rsidR="00262FBD" w:rsidRPr="00262FBD">
        <w:rPr>
          <w:rFonts w:ascii="Times New Roman" w:eastAsia="Times New Roman" w:hAnsi="Times New Roman" w:cs="Times New Roman"/>
          <w:bCs/>
          <w:iCs/>
          <w:color w:val="000000"/>
          <w:sz w:val="24"/>
          <w:szCs w:val="24"/>
        </w:rPr>
        <w:t xml:space="preserve">, </w:t>
      </w:r>
      <w:r w:rsidR="00262FBD" w:rsidRPr="00262FBD">
        <w:rPr>
          <w:rFonts w:ascii="Times New Roman" w:eastAsia="Times New Roman" w:hAnsi="Times New Roman" w:cs="Times New Roman"/>
          <w:b/>
          <w:bCs/>
          <w:iCs/>
          <w:color w:val="000000"/>
          <w:sz w:val="24"/>
          <w:szCs w:val="24"/>
        </w:rPr>
        <w:t>“ENOUGH IS ENOUGH!”</w:t>
      </w:r>
    </w:p>
    <w:p w14:paraId="7E50F80C" w14:textId="77777777" w:rsidR="007B38A4" w:rsidRDefault="007B38A4" w:rsidP="00643C9A">
      <w:pPr>
        <w:autoSpaceDE w:val="0"/>
        <w:autoSpaceDN w:val="0"/>
        <w:adjustRightInd w:val="0"/>
        <w:spacing w:after="0" w:line="240" w:lineRule="auto"/>
        <w:rPr>
          <w:rFonts w:ascii="Times New Roman" w:hAnsi="Times New Roman" w:cs="Times New Roman"/>
          <w:color w:val="000000"/>
          <w:sz w:val="24"/>
          <w:szCs w:val="24"/>
        </w:rPr>
      </w:pPr>
    </w:p>
    <w:p w14:paraId="75EB1F30" w14:textId="58ADD184" w:rsidR="001E6D3F" w:rsidRDefault="007B38A4" w:rsidP="007B38A4">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In sum, </w:t>
      </w:r>
      <w:r w:rsidR="00262FBD">
        <w:rPr>
          <w:rFonts w:ascii="Times New Roman" w:hAnsi="Times New Roman" w:cs="Times New Roman"/>
          <w:b/>
          <w:color w:val="000000"/>
          <w:sz w:val="24"/>
          <w:szCs w:val="24"/>
        </w:rPr>
        <w:t xml:space="preserve">THE ACCUSED </w:t>
      </w:r>
      <w:r w:rsidR="001E6D3F" w:rsidRPr="00262FBD">
        <w:rPr>
          <w:rFonts w:ascii="Times New Roman" w:hAnsi="Times New Roman" w:cs="Times New Roman"/>
          <w:b/>
          <w:color w:val="000000"/>
          <w:sz w:val="24"/>
          <w:szCs w:val="24"/>
        </w:rPr>
        <w:t>IS DONE, GUILTY AS CHARGED WITH NO DEFENSE ON THE RECORD</w:t>
      </w:r>
      <w:r w:rsidR="006303B9">
        <w:rPr>
          <w:rFonts w:ascii="Times New Roman" w:hAnsi="Times New Roman" w:cs="Times New Roman"/>
          <w:b/>
          <w:color w:val="000000"/>
          <w:sz w:val="24"/>
          <w:szCs w:val="24"/>
        </w:rPr>
        <w:t xml:space="preserve"> AND PRECLUDED FROM PROCEEDING</w:t>
      </w:r>
      <w:r w:rsidR="001E6D3F">
        <w:rPr>
          <w:rFonts w:ascii="Times New Roman" w:hAnsi="Times New Roman" w:cs="Times New Roman"/>
          <w:color w:val="000000"/>
          <w:sz w:val="24"/>
          <w:szCs w:val="24"/>
        </w:rPr>
        <w:t>, and accordingly I respectfully request that the Appeal Board must enter an Order striking her exhibits, and entering a default judgement as to all charges; and impose maximum discipline, including monetary fines for the entire cost of these proceedings as well as Meadows expenditures, and expel her from APA. To do otherwise, allows her to make a mockery of the “supreme law” of the union</w:t>
      </w:r>
      <w:r w:rsidR="0097786C">
        <w:rPr>
          <w:rFonts w:ascii="Times New Roman" w:hAnsi="Times New Roman" w:cs="Times New Roman"/>
          <w:color w:val="000000"/>
          <w:sz w:val="24"/>
          <w:szCs w:val="24"/>
        </w:rPr>
        <w:t xml:space="preserve"> and its Article VII/Appeal Board machinery, rendering that process </w:t>
      </w:r>
      <w:r>
        <w:rPr>
          <w:rFonts w:ascii="Times New Roman" w:hAnsi="Times New Roman" w:cs="Times New Roman"/>
          <w:color w:val="000000"/>
          <w:sz w:val="24"/>
          <w:szCs w:val="24"/>
        </w:rPr>
        <w:t xml:space="preserve">a </w:t>
      </w:r>
      <w:r w:rsidR="0097786C">
        <w:rPr>
          <w:rFonts w:ascii="Times New Roman" w:hAnsi="Times New Roman" w:cs="Times New Roman"/>
          <w:color w:val="000000"/>
          <w:sz w:val="24"/>
          <w:szCs w:val="24"/>
        </w:rPr>
        <w:t>meaningless and ineffective</w:t>
      </w:r>
      <w:r w:rsidR="006303B9">
        <w:rPr>
          <w:rFonts w:ascii="Times New Roman" w:hAnsi="Times New Roman" w:cs="Times New Roman"/>
          <w:color w:val="000000"/>
          <w:sz w:val="24"/>
          <w:szCs w:val="24"/>
        </w:rPr>
        <w:t xml:space="preserve"> toothless-</w:t>
      </w:r>
      <w:r>
        <w:rPr>
          <w:rFonts w:ascii="Times New Roman" w:hAnsi="Times New Roman" w:cs="Times New Roman"/>
          <w:color w:val="000000"/>
          <w:sz w:val="24"/>
          <w:szCs w:val="24"/>
        </w:rPr>
        <w:t>tiger to the detriment of each and every of our 15,000 members.</w:t>
      </w:r>
    </w:p>
    <w:p w14:paraId="54CCCA71" w14:textId="77777777" w:rsidR="00D62B4B" w:rsidRDefault="00D62B4B" w:rsidP="00643C9A">
      <w:pPr>
        <w:autoSpaceDE w:val="0"/>
        <w:autoSpaceDN w:val="0"/>
        <w:adjustRightInd w:val="0"/>
        <w:spacing w:after="0" w:line="240" w:lineRule="auto"/>
        <w:rPr>
          <w:rFonts w:ascii="Times New Roman" w:hAnsi="Times New Roman" w:cs="Times New Roman"/>
          <w:color w:val="000000"/>
          <w:sz w:val="24"/>
          <w:szCs w:val="24"/>
        </w:rPr>
      </w:pPr>
    </w:p>
    <w:p w14:paraId="2F0E03AC" w14:textId="77777777" w:rsidR="00D62B4B" w:rsidRDefault="00D62B4B" w:rsidP="00643C9A">
      <w:pPr>
        <w:autoSpaceDE w:val="0"/>
        <w:autoSpaceDN w:val="0"/>
        <w:adjustRightInd w:val="0"/>
        <w:spacing w:after="0" w:line="240" w:lineRule="auto"/>
        <w:rPr>
          <w:rFonts w:ascii="Times New Roman" w:hAnsi="Times New Roman" w:cs="Times New Roman"/>
          <w:color w:val="000000"/>
          <w:sz w:val="24"/>
          <w:szCs w:val="24"/>
        </w:rPr>
      </w:pPr>
    </w:p>
    <w:p w14:paraId="2BC7A8FB" w14:textId="755DEB05"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Sincerely,  </w:t>
      </w:r>
    </w:p>
    <w:p w14:paraId="5181FE55" w14:textId="05AD5BE0" w:rsidR="00B33B90" w:rsidRDefault="00304D99"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66AA4983" wp14:editId="493DFCA7">
            <wp:extent cx="1834305" cy="671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Msignatur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3581" cy="704698"/>
                    </a:xfrm>
                    <a:prstGeom prst="rect">
                      <a:avLst/>
                    </a:prstGeom>
                  </pic:spPr>
                </pic:pic>
              </a:graphicData>
            </a:graphic>
          </wp:inline>
        </w:drawing>
      </w:r>
    </w:p>
    <w:p w14:paraId="15D57D84" w14:textId="77777777" w:rsidR="00643C9A" w:rsidRDefault="00643C9A" w:rsidP="00643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Lawrence M. Meadows </w:t>
      </w:r>
    </w:p>
    <w:p w14:paraId="3A3CDBE3"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MIA/FO/777/MDSB</w:t>
      </w:r>
    </w:p>
    <w:p w14:paraId="7CFFF5B4" w14:textId="77777777" w:rsidR="00643C9A" w:rsidRDefault="00643C9A" w:rsidP="00643C9A">
      <w:pPr>
        <w:autoSpaceDE w:val="0"/>
        <w:autoSpaceDN w:val="0"/>
        <w:adjustRightInd w:val="0"/>
        <w:spacing w:after="0" w:line="240" w:lineRule="auto"/>
        <w:rPr>
          <w:rFonts w:ascii="Times New Roman" w:hAnsi="Times New Roman" w:cs="Times New Roman"/>
          <w:color w:val="000000"/>
          <w:sz w:val="24"/>
          <w:szCs w:val="24"/>
        </w:rPr>
      </w:pPr>
    </w:p>
    <w:p w14:paraId="296C1D9A" w14:textId="49CB5F04" w:rsidR="00B33B90" w:rsidRDefault="00304D99" w:rsidP="00B33B9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cc:  CA Sproc</w:t>
      </w:r>
      <w:r w:rsidR="00F3504C">
        <w:rPr>
          <w:rFonts w:ascii="Times New Roman" w:hAnsi="Times New Roman" w:cs="Times New Roman"/>
          <w:color w:val="000000"/>
          <w:sz w:val="24"/>
          <w:szCs w:val="24"/>
        </w:rPr>
        <w:t xml:space="preserve">, </w:t>
      </w:r>
      <w:r w:rsidR="00FC2D9F">
        <w:rPr>
          <w:rFonts w:ascii="Times New Roman" w:hAnsi="Times New Roman" w:cs="Times New Roman"/>
          <w:color w:val="000000"/>
          <w:sz w:val="24"/>
          <w:szCs w:val="24"/>
        </w:rPr>
        <w:t xml:space="preserve">FO Fletcher, FO Heller, </w:t>
      </w:r>
      <w:r w:rsidR="00583DCF">
        <w:rPr>
          <w:rFonts w:ascii="Times New Roman" w:hAnsi="Times New Roman" w:cs="Times New Roman"/>
          <w:color w:val="000000"/>
          <w:sz w:val="24"/>
          <w:szCs w:val="24"/>
        </w:rPr>
        <w:t xml:space="preserve">CA Carey, </w:t>
      </w:r>
      <w:r w:rsidR="00F3504C">
        <w:rPr>
          <w:rFonts w:ascii="Times New Roman" w:hAnsi="Times New Roman" w:cs="Times New Roman"/>
          <w:color w:val="000000"/>
          <w:sz w:val="24"/>
          <w:szCs w:val="24"/>
        </w:rPr>
        <w:t>CA William Read</w:t>
      </w:r>
      <w:r w:rsidR="00643C9A">
        <w:rPr>
          <w:rFonts w:ascii="Times New Roman" w:hAnsi="Times New Roman" w:cs="Times New Roman"/>
          <w:color w:val="000000"/>
          <w:sz w:val="24"/>
          <w:szCs w:val="24"/>
        </w:rPr>
        <w:t>, CA Ed Sicher</w:t>
      </w:r>
    </w:p>
    <w:sectPr w:rsidR="00B33B90" w:rsidSect="0097786C">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0E499" w14:textId="77777777" w:rsidR="0097786C" w:rsidRDefault="0097786C" w:rsidP="0011027B">
      <w:pPr>
        <w:spacing w:after="0" w:line="240" w:lineRule="auto"/>
      </w:pPr>
      <w:r>
        <w:separator/>
      </w:r>
    </w:p>
  </w:endnote>
  <w:endnote w:type="continuationSeparator" w:id="0">
    <w:p w14:paraId="5E571C86" w14:textId="77777777" w:rsidR="0097786C" w:rsidRDefault="0097786C" w:rsidP="0011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804253"/>
      <w:docPartObj>
        <w:docPartGallery w:val="Page Numbers (Bottom of Page)"/>
        <w:docPartUnique/>
      </w:docPartObj>
    </w:sdtPr>
    <w:sdtEndPr>
      <w:rPr>
        <w:noProof/>
      </w:rPr>
    </w:sdtEndPr>
    <w:sdtContent>
      <w:p w14:paraId="607E6260" w14:textId="6A697EAF" w:rsidR="0097786C" w:rsidRDefault="0097786C">
        <w:pPr>
          <w:pStyle w:val="Footer"/>
          <w:jc w:val="center"/>
        </w:pPr>
        <w:r>
          <w:fldChar w:fldCharType="begin"/>
        </w:r>
        <w:r>
          <w:instrText xml:space="preserve"> PAGE   \* MERGEFORMAT </w:instrText>
        </w:r>
        <w:r>
          <w:fldChar w:fldCharType="separate"/>
        </w:r>
        <w:r w:rsidR="006632E9">
          <w:rPr>
            <w:noProof/>
          </w:rPr>
          <w:t>3</w:t>
        </w:r>
        <w:r>
          <w:rPr>
            <w:noProof/>
          </w:rPr>
          <w:fldChar w:fldCharType="end"/>
        </w:r>
      </w:p>
    </w:sdtContent>
  </w:sdt>
  <w:p w14:paraId="46F37903" w14:textId="77777777" w:rsidR="0097786C" w:rsidRDefault="0097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DC5A0" w14:textId="77777777" w:rsidR="0097786C" w:rsidRDefault="0097786C" w:rsidP="0011027B">
      <w:pPr>
        <w:spacing w:after="0" w:line="240" w:lineRule="auto"/>
      </w:pPr>
      <w:r>
        <w:separator/>
      </w:r>
    </w:p>
  </w:footnote>
  <w:footnote w:type="continuationSeparator" w:id="0">
    <w:p w14:paraId="26A0D817" w14:textId="77777777" w:rsidR="0097786C" w:rsidRDefault="0097786C" w:rsidP="0011027B">
      <w:pPr>
        <w:spacing w:after="0" w:line="240" w:lineRule="auto"/>
      </w:pPr>
      <w:r>
        <w:continuationSeparator/>
      </w:r>
    </w:p>
  </w:footnote>
  <w:footnote w:id="1">
    <w:p w14:paraId="1923363B" w14:textId="61209135" w:rsidR="0097786C" w:rsidRDefault="0097786C" w:rsidP="006C66DA">
      <w:pPr>
        <w:pStyle w:val="FootnoteText"/>
      </w:pPr>
      <w:r>
        <w:rPr>
          <w:rStyle w:val="FootnoteReference"/>
        </w:rPr>
        <w:footnoteRef/>
      </w:r>
      <w:r>
        <w:t xml:space="preserve">  </w:t>
      </w:r>
      <w:r>
        <w:tab/>
        <w:t>CHAIRMAN HEPP:  Pam Torell is the accused in her Article VII hearing, not a volunteer. We believe this compels her to be present…</w:t>
      </w:r>
      <w:r w:rsidRPr="00A55822">
        <w:rPr>
          <w:u w:val="single"/>
        </w:rPr>
        <w:t>Pam Torell as secretary-treasurer is usurping the authority of this appeal board and the authority given to this board by the APA board of directors…</w:t>
      </w:r>
      <w:r w:rsidR="00A800B2" w:rsidRPr="00A800B2">
        <w:t xml:space="preserve"> </w:t>
      </w:r>
      <w:r>
        <w:t>(AB Hrg. Tr., Mar. 2, 2017, pg. 311:5-18).</w:t>
      </w:r>
    </w:p>
    <w:p w14:paraId="76E4247C" w14:textId="77777777" w:rsidR="0097786C" w:rsidRDefault="0097786C" w:rsidP="006C66DA">
      <w:pPr>
        <w:pStyle w:val="FootnoteText"/>
      </w:pPr>
    </w:p>
  </w:footnote>
  <w:footnote w:id="2">
    <w:p w14:paraId="17309E42" w14:textId="5357CC97" w:rsidR="0097786C" w:rsidRDefault="0097786C" w:rsidP="009E7F31">
      <w:pPr>
        <w:pStyle w:val="FootnoteText"/>
      </w:pPr>
      <w:r>
        <w:rPr>
          <w:rStyle w:val="FootnoteReference"/>
        </w:rPr>
        <w:footnoteRef/>
      </w:r>
      <w:r>
        <w:t xml:space="preserve">  </w:t>
      </w:r>
      <w:r>
        <w:tab/>
        <w:t xml:space="preserve">MR. MEADOWS:  </w:t>
      </w:r>
      <w:r w:rsidRPr="00A55822">
        <w:rPr>
          <w:u w:val="single"/>
        </w:rPr>
        <w:t>But there should have been a cross-examination.</w:t>
      </w:r>
      <w:r>
        <w:t xml:space="preserve"> I should have had follow-up14 questions. We haven't even gotten to the point where she got crossed and I get to redirect…I know, but in other words, he could have cross-examined her after my line of questioning and I would have an opportunity to redirect. </w:t>
      </w:r>
      <w:r w:rsidRPr="006C66DA">
        <w:rPr>
          <w:u w:val="single"/>
        </w:rPr>
        <w:t>So her testimony's incomplete.</w:t>
      </w:r>
      <w:r>
        <w:t xml:space="preserve">  (AB Hrg. Tr., Mar. 2, 2017, pg. 313:13-23).</w:t>
      </w:r>
    </w:p>
    <w:p w14:paraId="770FF3BB" w14:textId="59B6D199" w:rsidR="0097786C" w:rsidRDefault="0097786C" w:rsidP="00FD4562">
      <w:pPr>
        <w:pStyle w:val="FootnoteText"/>
      </w:pPr>
    </w:p>
  </w:footnote>
  <w:footnote w:id="3">
    <w:p w14:paraId="6A1A8F63" w14:textId="37DC5038" w:rsidR="0097786C" w:rsidRDefault="0097786C" w:rsidP="00F84CB3">
      <w:pPr>
        <w:pStyle w:val="FootnoteText"/>
      </w:pPr>
      <w:r>
        <w:rPr>
          <w:rStyle w:val="FootnoteReference"/>
        </w:rPr>
        <w:footnoteRef/>
      </w:r>
      <w:r>
        <w:t xml:space="preserve">  </w:t>
      </w:r>
      <w:r>
        <w:tab/>
        <w:t xml:space="preserve">MS. FLETCHER:  Our intent is for, you know, based on the statement that Chuck read is that we are here to listen to your case, for you to </w:t>
      </w:r>
      <w:r w:rsidRPr="006C66DA">
        <w:rPr>
          <w:u w:val="single"/>
        </w:rPr>
        <w:t xml:space="preserve">introduce your exhibits, say whatever you will about them, make any inferences, any statements regarding them </w:t>
      </w:r>
      <w:r>
        <w:t xml:space="preserve">and </w:t>
      </w:r>
      <w:r w:rsidRPr="00A55822">
        <w:rPr>
          <w:u w:val="single"/>
        </w:rPr>
        <w:t>regardless of what Captain Torell may or may not have said</w:t>
      </w:r>
      <w:r>
        <w:t xml:space="preserve">. </w:t>
      </w:r>
      <w:r w:rsidRPr="006C66DA">
        <w:rPr>
          <w:u w:val="single"/>
        </w:rPr>
        <w:t>And anything that you say in regard to your exhibits or your case will be given deference by the appeal board.</w:t>
      </w:r>
      <w:r>
        <w:t xml:space="preserve"> (AB Hrg. Tr., Mar. 2, 2017, pg. 314:13-21)</w:t>
      </w:r>
    </w:p>
    <w:p w14:paraId="19FE5514" w14:textId="77777777" w:rsidR="0097786C" w:rsidRDefault="0097786C" w:rsidP="00F84CB3">
      <w:pPr>
        <w:pStyle w:val="FootnoteText"/>
      </w:pPr>
    </w:p>
  </w:footnote>
  <w:footnote w:id="4">
    <w:p w14:paraId="570CB22C" w14:textId="2AF0E6ED" w:rsidR="0097786C" w:rsidRDefault="0097786C" w:rsidP="00A800B2">
      <w:pPr>
        <w:shd w:val="clear" w:color="auto" w:fill="FFFFFF"/>
        <w:spacing w:after="0" w:line="240" w:lineRule="auto"/>
      </w:pPr>
      <w:r>
        <w:rPr>
          <w:rStyle w:val="FootnoteReference"/>
        </w:rPr>
        <w:footnoteRef/>
      </w:r>
      <w:r>
        <w:t xml:space="preserve"> </w:t>
      </w:r>
      <w:r>
        <w:tab/>
      </w:r>
      <w:r w:rsidRPr="00AB4CED">
        <w:rPr>
          <w:rFonts w:cstheme="minorHAnsi"/>
          <w:sz w:val="20"/>
          <w:szCs w:val="20"/>
        </w:rPr>
        <w:t xml:space="preserve"> </w:t>
      </w:r>
      <w:r>
        <w:rPr>
          <w:rFonts w:cstheme="minorHAnsi"/>
          <w:sz w:val="20"/>
          <w:szCs w:val="20"/>
        </w:rPr>
        <w:t xml:space="preserve">According to Black’s Law Dictionary; </w:t>
      </w:r>
      <w:r w:rsidRPr="00AB4CED">
        <w:rPr>
          <w:rFonts w:eastAsia="Times New Roman" w:cstheme="minorHAnsi"/>
          <w:b/>
          <w:i/>
          <w:color w:val="333333"/>
          <w:sz w:val="20"/>
          <w:szCs w:val="20"/>
        </w:rPr>
        <w:t>Cognizable</w:t>
      </w:r>
      <w:r w:rsidRPr="00AB4CED">
        <w:rPr>
          <w:rFonts w:eastAsia="Times New Roman" w:cstheme="minorHAnsi"/>
          <w:color w:val="333333"/>
          <w:sz w:val="20"/>
          <w:szCs w:val="20"/>
        </w:rPr>
        <w:t xml:space="preserve"> means capable of being known or considered. It means capable of being judicially tried or examined before a designated tribunal. </w:t>
      </w:r>
      <w:r w:rsidRPr="00AB4CED">
        <w:rPr>
          <w:rFonts w:eastAsia="Times New Roman" w:cstheme="minorHAnsi"/>
          <w:color w:val="333333"/>
          <w:sz w:val="20"/>
          <w:szCs w:val="20"/>
          <w:u w:val="single"/>
        </w:rPr>
        <w:t>A cognizable claim or controversy is one that meets the basic criteria of viability for being tried or adjudicated before a particular tribunal</w:t>
      </w:r>
      <w:r w:rsidRPr="00AB4CED">
        <w:rPr>
          <w:rFonts w:eastAsia="Times New Roman" w:cstheme="minorHAnsi"/>
          <w:color w:val="333333"/>
          <w:sz w:val="20"/>
          <w:szCs w:val="20"/>
        </w:rPr>
        <w:t xml:space="preserve">. </w:t>
      </w:r>
      <w:r w:rsidRPr="00AB4CED">
        <w:rPr>
          <w:rFonts w:eastAsia="Times New Roman" w:cstheme="minorHAnsi"/>
          <w:color w:val="333333"/>
          <w:sz w:val="20"/>
          <w:szCs w:val="20"/>
          <w:u w:val="single"/>
        </w:rPr>
        <w:t>The term means that the claim or controversy is within the power or jurisdiction of a particular court to adjudicate.</w:t>
      </w:r>
      <w:r w:rsidRPr="00AB4CED">
        <w:rPr>
          <w:rFonts w:eastAsia="Times New Roman" w:cstheme="minorHAnsi"/>
          <w:color w:val="333333"/>
          <w:sz w:val="20"/>
          <w:szCs w:val="20"/>
        </w:rPr>
        <w:t xml:space="preserve"> </w:t>
      </w:r>
    </w:p>
  </w:footnote>
  <w:footnote w:id="5">
    <w:p w14:paraId="6B685442" w14:textId="77777777" w:rsidR="0097786C" w:rsidRDefault="0097786C">
      <w:pPr>
        <w:pStyle w:val="FootnoteText"/>
      </w:pPr>
    </w:p>
    <w:p w14:paraId="665BB584" w14:textId="05CD0143" w:rsidR="0097786C" w:rsidRDefault="0097786C">
      <w:pPr>
        <w:pStyle w:val="FootnoteText"/>
      </w:pPr>
      <w:r>
        <w:rPr>
          <w:rStyle w:val="FootnoteReference"/>
        </w:rPr>
        <w:footnoteRef/>
      </w:r>
      <w:r>
        <w:t xml:space="preserve">  </w:t>
      </w:r>
      <w:r>
        <w:tab/>
        <w:t xml:space="preserve">APA must be mindful of why Meadows’ Article VII proceedings are taking place to begin with. During his federal court Utah LMRDA litigation in </w:t>
      </w:r>
      <w:r w:rsidRPr="00B05A3F">
        <w:rPr>
          <w:i/>
        </w:rPr>
        <w:t>Meadows v. APA</w:t>
      </w:r>
      <w:r>
        <w:rPr>
          <w:i/>
        </w:rPr>
        <w:t xml:space="preserve">, </w:t>
      </w:r>
      <w:r w:rsidR="00FA53DE">
        <w:t>APA’s former general counsel</w:t>
      </w:r>
      <w:r w:rsidRPr="00F521DB">
        <w:t xml:space="preserve"> Steve Hoffman</w:t>
      </w:r>
      <w:r>
        <w:t xml:space="preserve"> argued that as an APA member, I must first fully exhaust my internal union remedies; thus, at Mr. Hoffman’s behest the Utah Court dismissed Meadows LMRDA claims without prejudice, and ordered that he must first exhaust his internal union remedies before refiling his LMRDA lawsuit. There are two important take aways. </w:t>
      </w:r>
    </w:p>
    <w:p w14:paraId="23BA30C6" w14:textId="77777777" w:rsidR="0097786C" w:rsidRDefault="0097786C">
      <w:pPr>
        <w:pStyle w:val="FootnoteText"/>
      </w:pPr>
    </w:p>
    <w:p w14:paraId="5CBEEA25" w14:textId="70D7A709" w:rsidR="0097786C" w:rsidRDefault="0097786C">
      <w:pPr>
        <w:pStyle w:val="FootnoteText"/>
      </w:pPr>
      <w:r>
        <w:t xml:space="preserve">First, Mr. Hoffman by representing to a federal judge that Meadows must exhaust internal remedies, implied to a Federal Judge that Meadows absolutely had a right to exercise his internal article VII union remedies, with the implication that that Meadows MUST BE a member in good standing. Otherwise, that is yet another material misrepresentation of fact by Mr. Hoffman on behalf of APA. </w:t>
      </w:r>
    </w:p>
    <w:p w14:paraId="2AC0723B" w14:textId="77777777" w:rsidR="0097786C" w:rsidRDefault="0097786C">
      <w:pPr>
        <w:pStyle w:val="FootnoteText"/>
      </w:pPr>
    </w:p>
    <w:p w14:paraId="2419837D" w14:textId="77777777" w:rsidR="0097786C" w:rsidRDefault="0097786C">
      <w:pPr>
        <w:pStyle w:val="FootnoteText"/>
      </w:pPr>
      <w:r>
        <w:t xml:space="preserve">Second, according to the C&amp;B and prior arbitral precedent in </w:t>
      </w:r>
      <w:r w:rsidRPr="00F521DB">
        <w:rPr>
          <w:i/>
        </w:rPr>
        <w:t>Annable v. Wissing</w:t>
      </w:r>
      <w:r>
        <w:rPr>
          <w:i/>
        </w:rPr>
        <w:t xml:space="preserve"> </w:t>
      </w:r>
      <w:r>
        <w:t xml:space="preserve">that APA’s internal union Article VII remedies “do not address labor laws of the land” (i.e.; the LMRDA). Thus Mr. Hoffman, has made yet another material misrepresentation of law – there are in fact no internal union remedies for the LMRDA, only for the APA C&amp;B. </w:t>
      </w:r>
    </w:p>
    <w:p w14:paraId="3FC04C37" w14:textId="77777777" w:rsidR="0097786C" w:rsidRDefault="0097786C">
      <w:pPr>
        <w:pStyle w:val="FootnoteText"/>
      </w:pPr>
    </w:p>
    <w:p w14:paraId="1D13CC69" w14:textId="45C0F80F" w:rsidR="0097786C" w:rsidRDefault="0097786C">
      <w:pPr>
        <w:pStyle w:val="FootnoteText"/>
      </w:pPr>
      <w:r>
        <w:t>Bottom line, either Meadows is a member in good standing, OR Steve Hoffman and APA once again committed fraud upon the U.S. District Court of Utah. If certain APA officers and employees continue to in refusing to acknowledge that Meadows is indeed an APA member in good standing (as was otherwise admitted in former Pres. Wilsons’ sworn testimony), then an Independent Rule 60 motion must/will be filed in the UDC. Why does APA even want to go there??? To that end, APA must immediately and decisively resolve this confusion, and formally assert a disabled member “good standing” issue via resolution or Presidential Interpretation, as I asked of last week’s BOD.</w:t>
      </w:r>
    </w:p>
    <w:p w14:paraId="0C1025BC" w14:textId="38D8A49A" w:rsidR="0097786C" w:rsidRDefault="0097786C">
      <w:pPr>
        <w:pStyle w:val="FootnoteText"/>
      </w:pPr>
    </w:p>
  </w:footnote>
  <w:footnote w:id="6">
    <w:p w14:paraId="7E9FF82E" w14:textId="7B4B9C1D" w:rsidR="007B38A4" w:rsidRDefault="007B38A4" w:rsidP="007B38A4">
      <w:pPr>
        <w:pStyle w:val="FootnoteText"/>
      </w:pPr>
      <w:r>
        <w:rPr>
          <w:rStyle w:val="FootnoteReference"/>
        </w:rPr>
        <w:footnoteRef/>
      </w:r>
      <w:r>
        <w:t xml:space="preserve">  </w:t>
      </w:r>
      <w:r>
        <w:tab/>
      </w:r>
      <w:r w:rsidRPr="006632E9">
        <w:rPr>
          <w:b/>
          <w:u w:val="single"/>
        </w:rPr>
        <w:t xml:space="preserve">CA Torell’s union paid Representative, CA Jeff Thurstin, has already admitted on the record that he is not only representing her, but also the interests of APA Legal, and that he will be drafting her briefing, presumably with the assistance of Mark Meyers APA Legal and/or former APA Gen Counsel Steve Hoffman, all on the memberships dime! </w:t>
      </w:r>
      <w:r>
        <w:rPr>
          <w:b/>
        </w:rPr>
        <w:t>The Institution is not and cannot be a party to these proceedings, and</w:t>
      </w:r>
      <w:r w:rsidR="00262FBD">
        <w:rPr>
          <w:b/>
        </w:rPr>
        <w:t xml:space="preserve"> it is inappropriate, unethical</w:t>
      </w:r>
      <w:r>
        <w:rPr>
          <w:b/>
        </w:rPr>
        <w:t>, and in fact unlawful for them to</w:t>
      </w:r>
      <w:bookmarkStart w:id="0" w:name="_GoBack"/>
      <w:bookmarkEnd w:id="0"/>
      <w:r>
        <w:rPr>
          <w:b/>
        </w:rPr>
        <w:t xml:space="preserve"> meddle in the unions Article VII Machinery.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53C67"/>
    <w:multiLevelType w:val="hybridMultilevel"/>
    <w:tmpl w:val="FD5AE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9A"/>
    <w:rsid w:val="0001703B"/>
    <w:rsid w:val="00062E3C"/>
    <w:rsid w:val="0011027B"/>
    <w:rsid w:val="001E6D3F"/>
    <w:rsid w:val="00262FBD"/>
    <w:rsid w:val="00287CCE"/>
    <w:rsid w:val="00297BB5"/>
    <w:rsid w:val="002E5F43"/>
    <w:rsid w:val="00304D99"/>
    <w:rsid w:val="00316550"/>
    <w:rsid w:val="00390692"/>
    <w:rsid w:val="003D17B6"/>
    <w:rsid w:val="00431F1C"/>
    <w:rsid w:val="004D3E2C"/>
    <w:rsid w:val="00501913"/>
    <w:rsid w:val="00505BCA"/>
    <w:rsid w:val="00543834"/>
    <w:rsid w:val="00583DCF"/>
    <w:rsid w:val="005B7E18"/>
    <w:rsid w:val="005E0C82"/>
    <w:rsid w:val="006303B9"/>
    <w:rsid w:val="00643C9A"/>
    <w:rsid w:val="00655304"/>
    <w:rsid w:val="006632E9"/>
    <w:rsid w:val="006767A5"/>
    <w:rsid w:val="00697AFC"/>
    <w:rsid w:val="006C66DA"/>
    <w:rsid w:val="006F105C"/>
    <w:rsid w:val="0074514E"/>
    <w:rsid w:val="0076412C"/>
    <w:rsid w:val="00791F2D"/>
    <w:rsid w:val="007B38A4"/>
    <w:rsid w:val="008B7C2F"/>
    <w:rsid w:val="008F52B9"/>
    <w:rsid w:val="0097786C"/>
    <w:rsid w:val="009E3A2C"/>
    <w:rsid w:val="009E7F31"/>
    <w:rsid w:val="00A01C77"/>
    <w:rsid w:val="00A1023F"/>
    <w:rsid w:val="00A55822"/>
    <w:rsid w:val="00A65E25"/>
    <w:rsid w:val="00A800B2"/>
    <w:rsid w:val="00AB4CED"/>
    <w:rsid w:val="00AC5D2E"/>
    <w:rsid w:val="00AD050C"/>
    <w:rsid w:val="00AD668F"/>
    <w:rsid w:val="00AF4510"/>
    <w:rsid w:val="00B25F5D"/>
    <w:rsid w:val="00B33B90"/>
    <w:rsid w:val="00C22FFC"/>
    <w:rsid w:val="00CA6476"/>
    <w:rsid w:val="00D40EA4"/>
    <w:rsid w:val="00D62B4B"/>
    <w:rsid w:val="00E00FBE"/>
    <w:rsid w:val="00E014A7"/>
    <w:rsid w:val="00E0621B"/>
    <w:rsid w:val="00EE1071"/>
    <w:rsid w:val="00F21786"/>
    <w:rsid w:val="00F3504C"/>
    <w:rsid w:val="00F35E9F"/>
    <w:rsid w:val="00F84CB3"/>
    <w:rsid w:val="00FA53DE"/>
    <w:rsid w:val="00FC2D9F"/>
    <w:rsid w:val="00FD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8082"/>
  <w15:chartTrackingRefBased/>
  <w15:docId w15:val="{1571BA66-EF6C-41AE-AC14-8F0712B3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510"/>
    <w:rPr>
      <w:rFonts w:ascii="Segoe UI" w:hAnsi="Segoe UI" w:cs="Segoe UI"/>
      <w:sz w:val="18"/>
      <w:szCs w:val="18"/>
    </w:rPr>
  </w:style>
  <w:style w:type="paragraph" w:styleId="ListParagraph">
    <w:name w:val="List Paragraph"/>
    <w:basedOn w:val="Normal"/>
    <w:uiPriority w:val="34"/>
    <w:qFormat/>
    <w:rsid w:val="00697AFC"/>
    <w:pPr>
      <w:ind w:left="720"/>
      <w:contextualSpacing/>
    </w:pPr>
  </w:style>
  <w:style w:type="paragraph" w:styleId="Header">
    <w:name w:val="header"/>
    <w:basedOn w:val="Normal"/>
    <w:link w:val="HeaderChar"/>
    <w:uiPriority w:val="99"/>
    <w:unhideWhenUsed/>
    <w:rsid w:val="0011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27B"/>
  </w:style>
  <w:style w:type="paragraph" w:styleId="Footer">
    <w:name w:val="footer"/>
    <w:basedOn w:val="Normal"/>
    <w:link w:val="FooterChar"/>
    <w:uiPriority w:val="99"/>
    <w:unhideWhenUsed/>
    <w:rsid w:val="0011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27B"/>
  </w:style>
  <w:style w:type="paragraph" w:styleId="FootnoteText">
    <w:name w:val="footnote text"/>
    <w:basedOn w:val="Normal"/>
    <w:link w:val="FootnoteTextChar"/>
    <w:uiPriority w:val="99"/>
    <w:unhideWhenUsed/>
    <w:rsid w:val="00FD4562"/>
    <w:pPr>
      <w:spacing w:after="0" w:line="240" w:lineRule="auto"/>
    </w:pPr>
    <w:rPr>
      <w:sz w:val="20"/>
      <w:szCs w:val="20"/>
    </w:rPr>
  </w:style>
  <w:style w:type="character" w:customStyle="1" w:styleId="FootnoteTextChar">
    <w:name w:val="Footnote Text Char"/>
    <w:basedOn w:val="DefaultParagraphFont"/>
    <w:link w:val="FootnoteText"/>
    <w:uiPriority w:val="99"/>
    <w:rsid w:val="00FD4562"/>
    <w:rPr>
      <w:sz w:val="20"/>
      <w:szCs w:val="20"/>
    </w:rPr>
  </w:style>
  <w:style w:type="character" w:styleId="FootnoteReference">
    <w:name w:val="footnote reference"/>
    <w:basedOn w:val="DefaultParagraphFont"/>
    <w:uiPriority w:val="99"/>
    <w:semiHidden/>
    <w:unhideWhenUsed/>
    <w:rsid w:val="00FD4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D8752-4FE1-4475-AA92-5FD5C670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6959</Characters>
  <Application>Microsoft Office Word</Application>
  <DocSecurity>0</DocSecurity>
  <Lines>193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Meadows</dc:creator>
  <cp:keywords/>
  <dc:description/>
  <cp:lastModifiedBy>Lawrence Meadows</cp:lastModifiedBy>
  <cp:revision>2</cp:revision>
  <cp:lastPrinted>2017-03-29T19:31:00Z</cp:lastPrinted>
  <dcterms:created xsi:type="dcterms:W3CDTF">2017-03-29T20:29:00Z</dcterms:created>
  <dcterms:modified xsi:type="dcterms:W3CDTF">2017-03-29T20:29:00Z</dcterms:modified>
</cp:coreProperties>
</file>