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D3D96" w14:textId="77777777" w:rsidR="0011564C" w:rsidRPr="0011564C" w:rsidRDefault="0011564C" w:rsidP="009F4C44">
      <w:pPr>
        <w:jc w:val="center"/>
        <w:rPr>
          <w:b/>
          <w:color w:val="599F46"/>
          <w:sz w:val="4"/>
          <w:szCs w:val="4"/>
          <w:u w:val="single"/>
        </w:rPr>
      </w:pPr>
      <w:r w:rsidRPr="0011564C">
        <w:rPr>
          <w:b/>
          <w:noProof/>
          <w:color w:val="599F46"/>
          <w:sz w:val="4"/>
          <w:szCs w:val="4"/>
          <w:u w:val="single"/>
        </w:rPr>
        <w:drawing>
          <wp:anchor distT="0" distB="0" distL="114300" distR="114300" simplePos="0" relativeHeight="251658240" behindDoc="0" locked="0" layoutInCell="1" allowOverlap="1" wp14:anchorId="74CE6D87" wp14:editId="2E4CC15D">
            <wp:simplePos x="0" y="0"/>
            <wp:positionH relativeFrom="column">
              <wp:posOffset>-504825</wp:posOffset>
            </wp:positionH>
            <wp:positionV relativeFrom="paragraph">
              <wp:posOffset>-504825</wp:posOffset>
            </wp:positionV>
            <wp:extent cx="2562225" cy="781050"/>
            <wp:effectExtent l="19050" t="0" r="9525" b="0"/>
            <wp:wrapNone/>
            <wp:docPr id="2" name="Picture 2" descr="AHL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LNe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C07727" w14:textId="77777777" w:rsidR="000C3FBE" w:rsidRPr="000C3FBE" w:rsidRDefault="000C3FBE" w:rsidP="0011564C">
      <w:pPr>
        <w:spacing w:after="0" w:line="240" w:lineRule="auto"/>
        <w:jc w:val="center"/>
        <w:rPr>
          <w:b/>
          <w:color w:val="599F46"/>
          <w:sz w:val="36"/>
          <w:szCs w:val="36"/>
          <w:u w:val="single"/>
        </w:rPr>
      </w:pPr>
    </w:p>
    <w:p w14:paraId="59A7D238" w14:textId="77777777" w:rsidR="00E85682" w:rsidRPr="003359A9" w:rsidRDefault="00986CEF" w:rsidP="0011564C">
      <w:pPr>
        <w:spacing w:after="0" w:line="240" w:lineRule="auto"/>
        <w:jc w:val="center"/>
        <w:rPr>
          <w:b/>
          <w:color w:val="599F46"/>
          <w:sz w:val="48"/>
          <w:szCs w:val="48"/>
          <w:u w:val="single"/>
        </w:rPr>
      </w:pPr>
      <w:r w:rsidRPr="003359A9">
        <w:rPr>
          <w:b/>
          <w:color w:val="599F46"/>
          <w:sz w:val="48"/>
          <w:szCs w:val="48"/>
          <w:u w:val="single"/>
        </w:rPr>
        <w:t>NIR Packages</w:t>
      </w:r>
    </w:p>
    <w:p w14:paraId="163895A3" w14:textId="77777777" w:rsidR="00760E48" w:rsidRDefault="00760E48" w:rsidP="0011564C">
      <w:pPr>
        <w:spacing w:after="0" w:line="240" w:lineRule="auto"/>
        <w:ind w:left="720" w:hanging="720"/>
        <w:rPr>
          <w:b/>
          <w:color w:val="2369B5"/>
          <w:sz w:val="30"/>
          <w:szCs w:val="30"/>
          <w:u w:val="single"/>
        </w:rPr>
      </w:pPr>
    </w:p>
    <w:p w14:paraId="13D13D93" w14:textId="6E97C628" w:rsidR="00760E48" w:rsidRPr="003359A9" w:rsidRDefault="00760E48" w:rsidP="00760E48">
      <w:pPr>
        <w:spacing w:after="40" w:line="240" w:lineRule="auto"/>
        <w:ind w:left="720" w:hanging="720"/>
        <w:rPr>
          <w:color w:val="2369B5"/>
          <w:sz w:val="30"/>
          <w:szCs w:val="30"/>
          <w:u w:val="single"/>
        </w:rPr>
      </w:pPr>
      <w:r w:rsidRPr="003359A9">
        <w:rPr>
          <w:b/>
          <w:color w:val="2369B5"/>
          <w:sz w:val="30"/>
          <w:szCs w:val="30"/>
          <w:u w:val="single"/>
        </w:rPr>
        <w:t>NIR Plus</w:t>
      </w:r>
      <w:r>
        <w:rPr>
          <w:b/>
          <w:color w:val="2369B5"/>
          <w:sz w:val="30"/>
          <w:szCs w:val="30"/>
          <w:u w:val="single"/>
        </w:rPr>
        <w:t xml:space="preserve">*    </w:t>
      </w:r>
      <w:r w:rsidRPr="003359A9">
        <w:rPr>
          <w:b/>
          <w:color w:val="2369B5"/>
          <w:sz w:val="30"/>
          <w:szCs w:val="30"/>
          <w:u w:val="single"/>
        </w:rPr>
        <w:t xml:space="preserve">                                                                       </w:t>
      </w:r>
      <w:r>
        <w:rPr>
          <w:b/>
          <w:color w:val="2369B5"/>
          <w:sz w:val="30"/>
          <w:szCs w:val="30"/>
          <w:u w:val="single"/>
        </w:rPr>
        <w:t xml:space="preserve">                               </w:t>
      </w:r>
      <w:r w:rsidRPr="003359A9">
        <w:rPr>
          <w:b/>
          <w:color w:val="2369B5"/>
          <w:sz w:val="30"/>
          <w:szCs w:val="30"/>
          <w:u w:val="single"/>
        </w:rPr>
        <w:t xml:space="preserve">  $</w:t>
      </w:r>
      <w:r>
        <w:rPr>
          <w:b/>
          <w:color w:val="2369B5"/>
          <w:sz w:val="30"/>
          <w:szCs w:val="30"/>
          <w:u w:val="single"/>
        </w:rPr>
        <w:t>2</w:t>
      </w:r>
      <w:r w:rsidR="001C76B7">
        <w:rPr>
          <w:b/>
          <w:color w:val="2369B5"/>
          <w:sz w:val="30"/>
          <w:szCs w:val="30"/>
          <w:u w:val="single"/>
        </w:rPr>
        <w:t>9</w:t>
      </w:r>
      <w:r>
        <w:rPr>
          <w:b/>
          <w:color w:val="2369B5"/>
          <w:sz w:val="30"/>
          <w:szCs w:val="30"/>
          <w:u w:val="single"/>
        </w:rPr>
        <w:t>.50</w:t>
      </w:r>
    </w:p>
    <w:p w14:paraId="5D33DC16" w14:textId="77777777" w:rsidR="00760E48" w:rsidRPr="00F1573B" w:rsidRDefault="00F73998" w:rsidP="00760E48">
      <w:pPr>
        <w:spacing w:after="40"/>
        <w:ind w:left="720" w:hanging="720"/>
        <w:rPr>
          <w:sz w:val="26"/>
          <w:szCs w:val="26"/>
        </w:rPr>
      </w:pPr>
      <w:r>
        <w:rPr>
          <w:sz w:val="26"/>
          <w:szCs w:val="26"/>
        </w:rPr>
        <w:t>Includes all analyse</w:t>
      </w:r>
      <w:r w:rsidR="00760E48">
        <w:rPr>
          <w:sz w:val="26"/>
          <w:szCs w:val="26"/>
        </w:rPr>
        <w:t>s listed under NIR Basic</w:t>
      </w:r>
      <w:r w:rsidR="0036009A">
        <w:rPr>
          <w:sz w:val="26"/>
          <w:szCs w:val="26"/>
        </w:rPr>
        <w:t xml:space="preserve"> plus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760E48" w:rsidRPr="00F1573B" w14:paraId="701390E7" w14:textId="77777777" w:rsidTr="003F43D2">
        <w:trPr>
          <w:jc w:val="center"/>
        </w:trPr>
        <w:tc>
          <w:tcPr>
            <w:tcW w:w="6799" w:type="dxa"/>
          </w:tcPr>
          <w:p w14:paraId="298F0DDD" w14:textId="77777777" w:rsidR="00760E48" w:rsidRPr="00F1573B" w:rsidRDefault="00760E48" w:rsidP="00866B66">
            <w:pPr>
              <w:spacing w:after="40"/>
              <w:rPr>
                <w:sz w:val="26"/>
                <w:szCs w:val="26"/>
              </w:rPr>
            </w:pPr>
            <w:r w:rsidRPr="00F1573B">
              <w:rPr>
                <w:sz w:val="26"/>
                <w:szCs w:val="26"/>
              </w:rPr>
              <w:t>30</w:t>
            </w:r>
            <w:r w:rsidR="00AB5E44">
              <w:rPr>
                <w:sz w:val="26"/>
                <w:szCs w:val="26"/>
              </w:rPr>
              <w:t>, 120 &amp; 240</w:t>
            </w:r>
            <w:r w:rsidR="00F73998">
              <w:rPr>
                <w:sz w:val="26"/>
                <w:szCs w:val="26"/>
              </w:rPr>
              <w:t xml:space="preserve"> hour NDF </w:t>
            </w:r>
            <w:proofErr w:type="spellStart"/>
            <w:r w:rsidR="00F73998">
              <w:rPr>
                <w:sz w:val="26"/>
                <w:szCs w:val="26"/>
              </w:rPr>
              <w:t>Digestibilities</w:t>
            </w:r>
            <w:proofErr w:type="spellEnd"/>
          </w:p>
        </w:tc>
      </w:tr>
      <w:tr w:rsidR="00760E48" w:rsidRPr="00F1573B" w14:paraId="42FB65BC" w14:textId="77777777" w:rsidTr="003F43D2">
        <w:trPr>
          <w:jc w:val="center"/>
        </w:trPr>
        <w:tc>
          <w:tcPr>
            <w:tcW w:w="6799" w:type="dxa"/>
          </w:tcPr>
          <w:p w14:paraId="39AAE1E8" w14:textId="77777777" w:rsidR="00F5242A" w:rsidRDefault="00F5242A" w:rsidP="00866B66">
            <w:pPr>
              <w:spacing w:after="40"/>
              <w:rPr>
                <w:rFonts w:cs="Verdana"/>
                <w:sz w:val="26"/>
                <w:szCs w:val="26"/>
              </w:rPr>
            </w:pPr>
            <w:proofErr w:type="spellStart"/>
            <w:r>
              <w:rPr>
                <w:rFonts w:cs="Verdana"/>
                <w:sz w:val="26"/>
                <w:szCs w:val="26"/>
              </w:rPr>
              <w:t>uNDF</w:t>
            </w:r>
            <w:proofErr w:type="spellEnd"/>
            <w:r>
              <w:rPr>
                <w:rFonts w:cs="Verdana"/>
                <w:sz w:val="26"/>
                <w:szCs w:val="26"/>
              </w:rPr>
              <w:t xml:space="preserve"> at 30, 120 &amp; 240 hours </w:t>
            </w:r>
          </w:p>
          <w:p w14:paraId="6BA96203" w14:textId="77777777" w:rsidR="00C3292B" w:rsidRPr="00C3292B" w:rsidRDefault="00F5242A" w:rsidP="00866B66">
            <w:pPr>
              <w:spacing w:after="40"/>
              <w:rPr>
                <w:rFonts w:cs="Verdana"/>
                <w:sz w:val="20"/>
                <w:szCs w:val="20"/>
              </w:rPr>
            </w:pPr>
            <w:r w:rsidRPr="00C3292B">
              <w:rPr>
                <w:rFonts w:cs="Verdana"/>
                <w:sz w:val="20"/>
                <w:szCs w:val="20"/>
              </w:rPr>
              <w:t xml:space="preserve">  (digestibility &amp; </w:t>
            </w:r>
            <w:proofErr w:type="spellStart"/>
            <w:r w:rsidRPr="00C3292B">
              <w:rPr>
                <w:rFonts w:cs="Verdana"/>
                <w:sz w:val="20"/>
                <w:szCs w:val="20"/>
              </w:rPr>
              <w:t>uNDF</w:t>
            </w:r>
            <w:proofErr w:type="spellEnd"/>
            <w:r w:rsidRPr="00C3292B">
              <w:rPr>
                <w:rFonts w:cs="Verdana"/>
                <w:sz w:val="20"/>
                <w:szCs w:val="20"/>
              </w:rPr>
              <w:t xml:space="preserve"> </w:t>
            </w:r>
            <w:r w:rsidR="00C3292B" w:rsidRPr="00C3292B">
              <w:rPr>
                <w:rFonts w:cs="Verdana"/>
                <w:sz w:val="20"/>
                <w:szCs w:val="20"/>
              </w:rPr>
              <w:t>are reported</w:t>
            </w:r>
            <w:r w:rsidRPr="00C3292B">
              <w:rPr>
                <w:rFonts w:cs="Verdana"/>
                <w:sz w:val="20"/>
                <w:szCs w:val="20"/>
              </w:rPr>
              <w:t xml:space="preserve">  as % DM, % NDF,</w:t>
            </w:r>
          </w:p>
          <w:p w14:paraId="5C21FA09" w14:textId="77777777" w:rsidR="00F5242A" w:rsidRPr="00C3292B" w:rsidRDefault="00C3292B" w:rsidP="00866B66">
            <w:pPr>
              <w:spacing w:after="40"/>
              <w:rPr>
                <w:rFonts w:cs="Verdana"/>
                <w:sz w:val="20"/>
                <w:szCs w:val="20"/>
              </w:rPr>
            </w:pPr>
            <w:r w:rsidRPr="00C3292B">
              <w:rPr>
                <w:rFonts w:cs="Verdana"/>
                <w:sz w:val="20"/>
                <w:szCs w:val="20"/>
              </w:rPr>
              <w:t xml:space="preserve"> </w:t>
            </w:r>
            <w:r w:rsidR="00F5242A" w:rsidRPr="00C3292B">
              <w:rPr>
                <w:rFonts w:cs="Verdana"/>
                <w:sz w:val="20"/>
                <w:szCs w:val="20"/>
              </w:rPr>
              <w:t xml:space="preserve"> % </w:t>
            </w:r>
            <w:proofErr w:type="spellStart"/>
            <w:r w:rsidR="00F5242A" w:rsidRPr="00C3292B">
              <w:rPr>
                <w:rFonts w:cs="Verdana"/>
                <w:sz w:val="20"/>
                <w:szCs w:val="20"/>
              </w:rPr>
              <w:t>NDFom</w:t>
            </w:r>
            <w:proofErr w:type="spellEnd"/>
            <w:r w:rsidRPr="00C3292B">
              <w:rPr>
                <w:rFonts w:cs="Verdana"/>
                <w:sz w:val="20"/>
                <w:szCs w:val="20"/>
              </w:rPr>
              <w:t xml:space="preserve"> on DM basis and % </w:t>
            </w:r>
            <w:proofErr w:type="spellStart"/>
            <w:r w:rsidRPr="00C3292B">
              <w:rPr>
                <w:rFonts w:cs="Verdana"/>
                <w:sz w:val="20"/>
                <w:szCs w:val="20"/>
              </w:rPr>
              <w:t>NDFom</w:t>
            </w:r>
            <w:proofErr w:type="spellEnd"/>
            <w:r w:rsidRPr="00C3292B">
              <w:rPr>
                <w:rFonts w:cs="Verdana"/>
                <w:sz w:val="20"/>
                <w:szCs w:val="20"/>
              </w:rPr>
              <w:t xml:space="preserve"> on NDF basis</w:t>
            </w:r>
            <w:r w:rsidR="00F5242A" w:rsidRPr="00C3292B">
              <w:rPr>
                <w:rFonts w:cs="Verdana"/>
                <w:sz w:val="20"/>
                <w:szCs w:val="20"/>
              </w:rPr>
              <w:t>)</w:t>
            </w:r>
          </w:p>
          <w:p w14:paraId="1E82094F" w14:textId="77777777" w:rsidR="00C3292B" w:rsidRDefault="00F73998" w:rsidP="00866B66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hour NDF D</w:t>
            </w:r>
            <w:r w:rsidR="00C3292B">
              <w:rPr>
                <w:sz w:val="26"/>
                <w:szCs w:val="26"/>
              </w:rPr>
              <w:t xml:space="preserve">igestibility </w:t>
            </w:r>
            <w:r w:rsidR="00C3292B" w:rsidRPr="00C3292B">
              <w:rPr>
                <w:sz w:val="20"/>
                <w:szCs w:val="20"/>
              </w:rPr>
              <w:t>(TMRs only)</w:t>
            </w:r>
            <w:r w:rsidR="00C3292B" w:rsidRPr="00F1573B">
              <w:rPr>
                <w:sz w:val="26"/>
                <w:szCs w:val="26"/>
              </w:rPr>
              <w:t xml:space="preserve"> </w:t>
            </w:r>
          </w:p>
          <w:p w14:paraId="7DABCD99" w14:textId="77777777" w:rsidR="00760E48" w:rsidRPr="00F1573B" w:rsidRDefault="00F73998" w:rsidP="00866B66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Fermentation A</w:t>
            </w:r>
            <w:r w:rsidR="00760E48" w:rsidRPr="00F1573B">
              <w:rPr>
                <w:sz w:val="26"/>
                <w:szCs w:val="26"/>
              </w:rPr>
              <w:t xml:space="preserve">cids </w:t>
            </w:r>
            <w:r w:rsidR="008D7D75">
              <w:rPr>
                <w:sz w:val="20"/>
                <w:szCs w:val="20"/>
              </w:rPr>
              <w:t>(S</w:t>
            </w:r>
            <w:r w:rsidR="00760E48" w:rsidRPr="00C3292B">
              <w:rPr>
                <w:sz w:val="20"/>
                <w:szCs w:val="20"/>
              </w:rPr>
              <w:t>ilages only)</w:t>
            </w:r>
          </w:p>
        </w:tc>
      </w:tr>
      <w:tr w:rsidR="00760E48" w:rsidRPr="00F1573B" w14:paraId="1D3ABB18" w14:textId="77777777" w:rsidTr="003F43D2">
        <w:trPr>
          <w:jc w:val="center"/>
        </w:trPr>
        <w:tc>
          <w:tcPr>
            <w:tcW w:w="6799" w:type="dxa"/>
          </w:tcPr>
          <w:p w14:paraId="417AC094" w14:textId="77777777" w:rsidR="00760E48" w:rsidRPr="00F1573B" w:rsidRDefault="00760E48" w:rsidP="00866B66">
            <w:pPr>
              <w:spacing w:after="40"/>
              <w:rPr>
                <w:sz w:val="26"/>
                <w:szCs w:val="26"/>
              </w:rPr>
            </w:pPr>
            <w:r w:rsidRPr="00F1573B">
              <w:rPr>
                <w:sz w:val="26"/>
                <w:szCs w:val="26"/>
              </w:rPr>
              <w:t>Total Fatty Acids</w:t>
            </w:r>
          </w:p>
        </w:tc>
      </w:tr>
      <w:tr w:rsidR="00760E48" w:rsidRPr="00F1573B" w14:paraId="320EA0D5" w14:textId="77777777" w:rsidTr="003F43D2">
        <w:trPr>
          <w:jc w:val="center"/>
        </w:trPr>
        <w:tc>
          <w:tcPr>
            <w:tcW w:w="6799" w:type="dxa"/>
          </w:tcPr>
          <w:p w14:paraId="71284C93" w14:textId="77777777" w:rsidR="00760E48" w:rsidRPr="00F1573B" w:rsidRDefault="00760E48" w:rsidP="00866B66">
            <w:pPr>
              <w:spacing w:after="40"/>
              <w:rPr>
                <w:sz w:val="26"/>
                <w:szCs w:val="26"/>
              </w:rPr>
            </w:pPr>
            <w:r w:rsidRPr="00F1573B">
              <w:rPr>
                <w:sz w:val="26"/>
                <w:szCs w:val="26"/>
              </w:rPr>
              <w:t>Soluble Fiber</w:t>
            </w:r>
          </w:p>
        </w:tc>
      </w:tr>
      <w:tr w:rsidR="00866B66" w:rsidRPr="00F1573B" w14:paraId="1999E25D" w14:textId="77777777" w:rsidTr="003F43D2">
        <w:trPr>
          <w:jc w:val="center"/>
        </w:trPr>
        <w:tc>
          <w:tcPr>
            <w:tcW w:w="6799" w:type="dxa"/>
          </w:tcPr>
          <w:p w14:paraId="763CE7EA" w14:textId="77777777" w:rsidR="00866B66" w:rsidRDefault="00C3292B" w:rsidP="00866B66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Nitrate Probability </w:t>
            </w:r>
            <w:r w:rsidRPr="00C3292B">
              <w:rPr>
                <w:sz w:val="20"/>
                <w:szCs w:val="20"/>
              </w:rPr>
              <w:t>(Low, Medium, High</w:t>
            </w:r>
            <w:r w:rsidR="00866B66" w:rsidRPr="00C3292B">
              <w:rPr>
                <w:sz w:val="20"/>
                <w:szCs w:val="20"/>
              </w:rPr>
              <w:t>)</w:t>
            </w:r>
          </w:p>
        </w:tc>
      </w:tr>
      <w:tr w:rsidR="00866B66" w:rsidRPr="00F1573B" w14:paraId="451B52E3" w14:textId="77777777" w:rsidTr="003F43D2">
        <w:trPr>
          <w:jc w:val="center"/>
        </w:trPr>
        <w:tc>
          <w:tcPr>
            <w:tcW w:w="6799" w:type="dxa"/>
          </w:tcPr>
          <w:p w14:paraId="3F8DC20F" w14:textId="77777777" w:rsidR="00C3292B" w:rsidRPr="00C3292B" w:rsidRDefault="00C3292B" w:rsidP="003F43D2">
            <w:pPr>
              <w:spacing w:after="40"/>
              <w:rPr>
                <w:sz w:val="20"/>
                <w:szCs w:val="20"/>
              </w:rPr>
            </w:pPr>
            <w:r w:rsidRPr="00F1573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F1573B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ou</w:t>
            </w:r>
            <w:r w:rsidRPr="00F1573B">
              <w:rPr>
                <w:sz w:val="26"/>
                <w:szCs w:val="26"/>
              </w:rPr>
              <w:t>r Starch Digestibility</w:t>
            </w:r>
            <w:r>
              <w:rPr>
                <w:sz w:val="26"/>
                <w:szCs w:val="26"/>
              </w:rPr>
              <w:t xml:space="preserve"> </w:t>
            </w:r>
            <w:r w:rsidRPr="00C3292B">
              <w:rPr>
                <w:sz w:val="20"/>
                <w:szCs w:val="20"/>
              </w:rPr>
              <w:t>(Corn Silage</w:t>
            </w:r>
            <w:r w:rsidR="008D7D75">
              <w:rPr>
                <w:sz w:val="20"/>
                <w:szCs w:val="20"/>
              </w:rPr>
              <w:t xml:space="preserve">, </w:t>
            </w:r>
            <w:proofErr w:type="spellStart"/>
            <w:r w:rsidR="008D7D75">
              <w:rPr>
                <w:sz w:val="20"/>
                <w:szCs w:val="20"/>
              </w:rPr>
              <w:t>Earlage</w:t>
            </w:r>
            <w:proofErr w:type="spellEnd"/>
            <w:r w:rsidR="008D7D75">
              <w:rPr>
                <w:sz w:val="20"/>
                <w:szCs w:val="20"/>
              </w:rPr>
              <w:t>, Corn Grain</w:t>
            </w:r>
            <w:r w:rsidRPr="00C3292B">
              <w:rPr>
                <w:sz w:val="20"/>
                <w:szCs w:val="20"/>
              </w:rPr>
              <w:t>)</w:t>
            </w:r>
          </w:p>
          <w:p w14:paraId="3C5A7CBC" w14:textId="77777777" w:rsidR="00C3292B" w:rsidRDefault="00C3292B" w:rsidP="003F43D2">
            <w:pPr>
              <w:spacing w:after="40"/>
              <w:rPr>
                <w:sz w:val="26"/>
                <w:szCs w:val="26"/>
              </w:rPr>
            </w:pPr>
          </w:p>
          <w:p w14:paraId="7670167B" w14:textId="77777777" w:rsidR="00866B66" w:rsidRPr="00F1573B" w:rsidRDefault="00AB5E44" w:rsidP="003F43D2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Calculated Values: </w:t>
            </w:r>
          </w:p>
        </w:tc>
      </w:tr>
      <w:tr w:rsidR="003F43D2" w:rsidRPr="00F1573B" w14:paraId="0AAC1A0C" w14:textId="77777777" w:rsidTr="003F43D2">
        <w:trPr>
          <w:jc w:val="center"/>
        </w:trPr>
        <w:tc>
          <w:tcPr>
            <w:tcW w:w="6799" w:type="dxa"/>
          </w:tcPr>
          <w:p w14:paraId="44479F03" w14:textId="77777777" w:rsidR="003F43D2" w:rsidRPr="00F1573B" w:rsidRDefault="00DF24A5" w:rsidP="003F43D2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C3292B">
              <w:rPr>
                <w:sz w:val="26"/>
                <w:szCs w:val="26"/>
              </w:rPr>
              <w:t>NDF Dig</w:t>
            </w:r>
            <w:r w:rsidR="00F73998">
              <w:rPr>
                <w:sz w:val="26"/>
                <w:szCs w:val="26"/>
              </w:rPr>
              <w:t>estion</w:t>
            </w:r>
            <w:r w:rsidR="00C3292B">
              <w:rPr>
                <w:sz w:val="26"/>
                <w:szCs w:val="26"/>
              </w:rPr>
              <w:t xml:space="preserve"> Rate </w:t>
            </w:r>
            <w:r w:rsidR="00C3292B" w:rsidRPr="00C3292B">
              <w:rPr>
                <w:sz w:val="20"/>
                <w:szCs w:val="20"/>
              </w:rPr>
              <w:t>(</w:t>
            </w:r>
            <w:proofErr w:type="spellStart"/>
            <w:r w:rsidR="00C3292B" w:rsidRPr="00C3292B">
              <w:rPr>
                <w:sz w:val="20"/>
                <w:szCs w:val="20"/>
              </w:rPr>
              <w:t>kd</w:t>
            </w:r>
            <w:proofErr w:type="spellEnd"/>
            <w:r w:rsidR="00C3292B" w:rsidRPr="00C3292B">
              <w:rPr>
                <w:sz w:val="20"/>
                <w:szCs w:val="20"/>
              </w:rPr>
              <w:t>, %</w:t>
            </w:r>
            <w:proofErr w:type="spellStart"/>
            <w:r w:rsidR="00C3292B" w:rsidRPr="00C3292B">
              <w:rPr>
                <w:sz w:val="20"/>
                <w:szCs w:val="20"/>
              </w:rPr>
              <w:t>hr</w:t>
            </w:r>
            <w:proofErr w:type="spellEnd"/>
            <w:r w:rsidR="00C3292B" w:rsidRPr="00C3292B">
              <w:rPr>
                <w:sz w:val="20"/>
                <w:szCs w:val="20"/>
              </w:rPr>
              <w:t>, VanAmburgh)</w:t>
            </w:r>
          </w:p>
        </w:tc>
      </w:tr>
      <w:tr w:rsidR="003F43D2" w:rsidRPr="00F1573B" w14:paraId="54C7A4E4" w14:textId="77777777" w:rsidTr="003F43D2">
        <w:trPr>
          <w:jc w:val="center"/>
        </w:trPr>
        <w:tc>
          <w:tcPr>
            <w:tcW w:w="6799" w:type="dxa"/>
          </w:tcPr>
          <w:p w14:paraId="076FFDAD" w14:textId="77777777" w:rsidR="003F43D2" w:rsidRDefault="00DF24A5" w:rsidP="00F5242A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C3292B">
              <w:rPr>
                <w:sz w:val="26"/>
                <w:szCs w:val="26"/>
              </w:rPr>
              <w:t>RFQ</w:t>
            </w:r>
          </w:p>
          <w:p w14:paraId="6E639BFA" w14:textId="77777777" w:rsidR="00C3292B" w:rsidRDefault="00DF24A5" w:rsidP="00F5242A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C3292B">
              <w:rPr>
                <w:sz w:val="26"/>
                <w:szCs w:val="26"/>
              </w:rPr>
              <w:t xml:space="preserve">Schwab/Shaver NEL </w:t>
            </w:r>
            <w:r w:rsidR="00C3292B" w:rsidRPr="00C3292B">
              <w:rPr>
                <w:sz w:val="20"/>
                <w:szCs w:val="20"/>
              </w:rPr>
              <w:t>(Corn Silage)</w:t>
            </w:r>
          </w:p>
          <w:p w14:paraId="7E63C69E" w14:textId="77777777" w:rsidR="00C3292B" w:rsidRPr="00F1573B" w:rsidRDefault="00DF24A5" w:rsidP="00531618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C3292B">
              <w:rPr>
                <w:sz w:val="26"/>
                <w:szCs w:val="26"/>
              </w:rPr>
              <w:t xml:space="preserve">Milk per Ton </w:t>
            </w:r>
            <w:r w:rsidR="00C3292B" w:rsidRPr="00531618">
              <w:rPr>
                <w:sz w:val="20"/>
                <w:szCs w:val="20"/>
              </w:rPr>
              <w:t>(</w:t>
            </w:r>
            <w:r w:rsidR="00531618" w:rsidRPr="00531618">
              <w:rPr>
                <w:sz w:val="20"/>
                <w:szCs w:val="20"/>
              </w:rPr>
              <w:t>Corn Silage</w:t>
            </w:r>
            <w:r w:rsidR="00C3292B" w:rsidRPr="00531618">
              <w:rPr>
                <w:sz w:val="20"/>
                <w:szCs w:val="20"/>
              </w:rPr>
              <w:t>)</w:t>
            </w:r>
          </w:p>
        </w:tc>
      </w:tr>
      <w:tr w:rsidR="003F43D2" w:rsidRPr="00F1573B" w14:paraId="4872951A" w14:textId="77777777" w:rsidTr="003F43D2">
        <w:trPr>
          <w:jc w:val="center"/>
        </w:trPr>
        <w:tc>
          <w:tcPr>
            <w:tcW w:w="6799" w:type="dxa"/>
          </w:tcPr>
          <w:p w14:paraId="0A0DA4A9" w14:textId="77777777" w:rsidR="003F43D2" w:rsidRPr="00F1573B" w:rsidRDefault="003F43D2" w:rsidP="00866B66">
            <w:pPr>
              <w:spacing w:after="40"/>
              <w:rPr>
                <w:sz w:val="26"/>
                <w:szCs w:val="26"/>
              </w:rPr>
            </w:pPr>
          </w:p>
        </w:tc>
      </w:tr>
      <w:tr w:rsidR="00760E48" w:rsidRPr="00F1573B" w14:paraId="1059EF63" w14:textId="77777777" w:rsidTr="003F43D2">
        <w:trPr>
          <w:jc w:val="center"/>
        </w:trPr>
        <w:tc>
          <w:tcPr>
            <w:tcW w:w="6799" w:type="dxa"/>
          </w:tcPr>
          <w:p w14:paraId="6ECED8A4" w14:textId="77777777" w:rsidR="00760E48" w:rsidRPr="00F1573B" w:rsidRDefault="00C3292B" w:rsidP="00866B66">
            <w:pPr>
              <w:spacing w:after="40"/>
              <w:rPr>
                <w:sz w:val="26"/>
                <w:szCs w:val="26"/>
              </w:rPr>
            </w:pPr>
            <w:r>
              <w:t xml:space="preserve">  </w:t>
            </w:r>
            <w:r w:rsidRPr="0011564C">
              <w:t>*actual components will vary with feed type</w:t>
            </w:r>
          </w:p>
        </w:tc>
      </w:tr>
      <w:tr w:rsidR="00760E48" w:rsidRPr="00F1573B" w14:paraId="1733B059" w14:textId="77777777" w:rsidTr="003F43D2">
        <w:trPr>
          <w:jc w:val="center"/>
        </w:trPr>
        <w:tc>
          <w:tcPr>
            <w:tcW w:w="6799" w:type="dxa"/>
          </w:tcPr>
          <w:p w14:paraId="65415A57" w14:textId="77777777" w:rsidR="00760E48" w:rsidRPr="00F1573B" w:rsidRDefault="00760E48" w:rsidP="00866B66">
            <w:pPr>
              <w:spacing w:after="40"/>
              <w:rPr>
                <w:sz w:val="26"/>
                <w:szCs w:val="26"/>
              </w:rPr>
            </w:pPr>
          </w:p>
        </w:tc>
      </w:tr>
    </w:tbl>
    <w:p w14:paraId="3500F9A9" w14:textId="77777777" w:rsidR="00866B66" w:rsidRPr="0011564C" w:rsidRDefault="00866B66" w:rsidP="00866B66">
      <w:pPr>
        <w:spacing w:after="0" w:line="240" w:lineRule="auto"/>
        <w:rPr>
          <w:sz w:val="8"/>
          <w:szCs w:val="8"/>
        </w:rPr>
      </w:pPr>
    </w:p>
    <w:p w14:paraId="01768C22" w14:textId="77777777" w:rsidR="00866B66" w:rsidRPr="0011564C" w:rsidRDefault="00866B66" w:rsidP="00866B66">
      <w:pPr>
        <w:spacing w:after="0" w:line="240" w:lineRule="auto"/>
      </w:pPr>
      <w:r>
        <w:t xml:space="preserve">                  </w:t>
      </w:r>
    </w:p>
    <w:p w14:paraId="3BEAAF9F" w14:textId="5E0206B7" w:rsidR="00EB386B" w:rsidRPr="003359A9" w:rsidRDefault="00EB386B" w:rsidP="00EB386B">
      <w:pPr>
        <w:spacing w:after="40" w:line="240" w:lineRule="auto"/>
        <w:ind w:left="720" w:hanging="720"/>
        <w:rPr>
          <w:color w:val="2369B5"/>
          <w:sz w:val="30"/>
          <w:szCs w:val="30"/>
          <w:u w:val="single"/>
        </w:rPr>
      </w:pPr>
      <w:r w:rsidRPr="003359A9">
        <w:rPr>
          <w:b/>
          <w:color w:val="2369B5"/>
          <w:sz w:val="30"/>
          <w:szCs w:val="30"/>
          <w:u w:val="single"/>
        </w:rPr>
        <w:t>NIR Plus</w:t>
      </w:r>
      <w:r>
        <w:rPr>
          <w:b/>
          <w:color w:val="2369B5"/>
          <w:sz w:val="30"/>
          <w:szCs w:val="30"/>
          <w:u w:val="single"/>
        </w:rPr>
        <w:t xml:space="preserve"> with </w:t>
      </w:r>
      <w:r w:rsidRPr="003359A9">
        <w:rPr>
          <w:b/>
          <w:color w:val="2369B5"/>
          <w:sz w:val="30"/>
          <w:szCs w:val="30"/>
          <w:u w:val="single"/>
        </w:rPr>
        <w:t xml:space="preserve">Wet Chemistry CP, ADF, NDF </w:t>
      </w:r>
      <w:r>
        <w:rPr>
          <w:b/>
          <w:color w:val="2369B5"/>
          <w:sz w:val="30"/>
          <w:szCs w:val="30"/>
          <w:u w:val="single"/>
        </w:rPr>
        <w:t>*</w:t>
      </w:r>
      <w:r w:rsidR="00A066C9">
        <w:rPr>
          <w:b/>
          <w:color w:val="2369B5"/>
          <w:sz w:val="30"/>
          <w:szCs w:val="30"/>
          <w:u w:val="single"/>
        </w:rPr>
        <w:tab/>
      </w:r>
      <w:r>
        <w:rPr>
          <w:b/>
          <w:color w:val="2369B5"/>
          <w:sz w:val="30"/>
          <w:szCs w:val="30"/>
          <w:u w:val="single"/>
        </w:rPr>
        <w:tab/>
      </w:r>
      <w:r>
        <w:rPr>
          <w:b/>
          <w:color w:val="2369B5"/>
          <w:sz w:val="30"/>
          <w:szCs w:val="30"/>
          <w:u w:val="single"/>
        </w:rPr>
        <w:tab/>
      </w:r>
      <w:r>
        <w:rPr>
          <w:b/>
          <w:color w:val="2369B5"/>
          <w:sz w:val="30"/>
          <w:szCs w:val="30"/>
          <w:u w:val="single"/>
        </w:rPr>
        <w:tab/>
        <w:t xml:space="preserve">        $4</w:t>
      </w:r>
      <w:r w:rsidR="001C76B7">
        <w:rPr>
          <w:b/>
          <w:color w:val="2369B5"/>
          <w:sz w:val="30"/>
          <w:szCs w:val="30"/>
          <w:u w:val="single"/>
        </w:rPr>
        <w:t>4</w:t>
      </w:r>
      <w:r>
        <w:rPr>
          <w:b/>
          <w:color w:val="2369B5"/>
          <w:sz w:val="30"/>
          <w:szCs w:val="30"/>
          <w:u w:val="single"/>
        </w:rPr>
        <w:t xml:space="preserve">.50     </w:t>
      </w:r>
      <w:r w:rsidRPr="003359A9">
        <w:rPr>
          <w:b/>
          <w:color w:val="2369B5"/>
          <w:sz w:val="30"/>
          <w:szCs w:val="30"/>
          <w:u w:val="single"/>
        </w:rPr>
        <w:t xml:space="preserve">                                                                       </w:t>
      </w:r>
      <w:r>
        <w:rPr>
          <w:b/>
          <w:color w:val="2369B5"/>
          <w:sz w:val="30"/>
          <w:szCs w:val="30"/>
          <w:u w:val="single"/>
        </w:rPr>
        <w:t xml:space="preserve">                                </w:t>
      </w:r>
    </w:p>
    <w:p w14:paraId="3560343D" w14:textId="77777777" w:rsidR="00EB386B" w:rsidRDefault="00EB386B" w:rsidP="00EB386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Includes all analysis listed under NIR Basic and NIR Plus</w:t>
      </w:r>
      <w:r w:rsidRPr="009F4C44">
        <w:rPr>
          <w:sz w:val="26"/>
          <w:szCs w:val="26"/>
        </w:rPr>
        <w:t xml:space="preserve">, except Crude Protein (CP), </w:t>
      </w:r>
      <w:r>
        <w:rPr>
          <w:sz w:val="26"/>
          <w:szCs w:val="26"/>
        </w:rPr>
        <w:t xml:space="preserve">Acid Detergent Fiber (ADF), and </w:t>
      </w:r>
      <w:r w:rsidRPr="009F4C44">
        <w:rPr>
          <w:sz w:val="26"/>
          <w:szCs w:val="26"/>
        </w:rPr>
        <w:t>Neutral Detergent fibers (NDF) are</w:t>
      </w:r>
      <w:r>
        <w:rPr>
          <w:sz w:val="26"/>
          <w:szCs w:val="26"/>
        </w:rPr>
        <w:t xml:space="preserve"> </w:t>
      </w:r>
      <w:r w:rsidRPr="009F4C44">
        <w:rPr>
          <w:sz w:val="26"/>
          <w:szCs w:val="26"/>
        </w:rPr>
        <w:t xml:space="preserve">analyzed using Wet Chemistry methods </w:t>
      </w:r>
      <w:r>
        <w:rPr>
          <w:sz w:val="26"/>
          <w:szCs w:val="26"/>
        </w:rPr>
        <w:t xml:space="preserve">instead of </w:t>
      </w:r>
      <w:r w:rsidRPr="009F4C44">
        <w:rPr>
          <w:sz w:val="26"/>
          <w:szCs w:val="26"/>
        </w:rPr>
        <w:t>NIR</w:t>
      </w:r>
    </w:p>
    <w:p w14:paraId="46C0E66B" w14:textId="77777777" w:rsidR="00A066C9" w:rsidRDefault="00A066C9" w:rsidP="00EB386B">
      <w:pPr>
        <w:spacing w:after="0" w:line="240" w:lineRule="auto"/>
        <w:rPr>
          <w:sz w:val="26"/>
          <w:szCs w:val="26"/>
        </w:rPr>
      </w:pPr>
    </w:p>
    <w:p w14:paraId="7154840A" w14:textId="0BF96998" w:rsidR="00A066C9" w:rsidRPr="003359A9" w:rsidRDefault="00A066C9" w:rsidP="00A066C9">
      <w:pPr>
        <w:spacing w:after="40" w:line="240" w:lineRule="auto"/>
        <w:ind w:left="720" w:hanging="720"/>
        <w:rPr>
          <w:color w:val="2369B5"/>
          <w:sz w:val="30"/>
          <w:szCs w:val="30"/>
          <w:u w:val="single"/>
        </w:rPr>
      </w:pPr>
      <w:r>
        <w:rPr>
          <w:b/>
          <w:color w:val="2369B5"/>
          <w:sz w:val="30"/>
          <w:szCs w:val="30"/>
          <w:u w:val="single"/>
        </w:rPr>
        <w:t xml:space="preserve">Apparent Nutrient Digestibility </w:t>
      </w:r>
      <w:r>
        <w:rPr>
          <w:b/>
          <w:color w:val="2369B5"/>
          <w:sz w:val="30"/>
          <w:szCs w:val="30"/>
          <w:u w:val="single"/>
        </w:rPr>
        <w:tab/>
      </w:r>
      <w:r>
        <w:rPr>
          <w:b/>
          <w:color w:val="2369B5"/>
          <w:sz w:val="30"/>
          <w:szCs w:val="30"/>
          <w:u w:val="single"/>
        </w:rPr>
        <w:tab/>
      </w:r>
      <w:r>
        <w:rPr>
          <w:b/>
          <w:color w:val="2369B5"/>
          <w:sz w:val="30"/>
          <w:szCs w:val="30"/>
          <w:u w:val="single"/>
        </w:rPr>
        <w:tab/>
      </w:r>
      <w:r>
        <w:rPr>
          <w:b/>
          <w:color w:val="2369B5"/>
          <w:sz w:val="30"/>
          <w:szCs w:val="30"/>
          <w:u w:val="single"/>
        </w:rPr>
        <w:tab/>
      </w:r>
      <w:r>
        <w:rPr>
          <w:b/>
          <w:color w:val="2369B5"/>
          <w:sz w:val="30"/>
          <w:szCs w:val="30"/>
          <w:u w:val="single"/>
        </w:rPr>
        <w:tab/>
      </w:r>
      <w:r>
        <w:rPr>
          <w:b/>
          <w:color w:val="2369B5"/>
          <w:sz w:val="30"/>
          <w:szCs w:val="30"/>
          <w:u w:val="single"/>
        </w:rPr>
        <w:tab/>
        <w:t xml:space="preserve">        $</w:t>
      </w:r>
      <w:r w:rsidR="001C76B7">
        <w:rPr>
          <w:b/>
          <w:color w:val="2369B5"/>
          <w:sz w:val="30"/>
          <w:szCs w:val="30"/>
          <w:u w:val="single"/>
        </w:rPr>
        <w:t>78</w:t>
      </w:r>
      <w:r>
        <w:rPr>
          <w:b/>
          <w:color w:val="2369B5"/>
          <w:sz w:val="30"/>
          <w:szCs w:val="30"/>
          <w:u w:val="single"/>
        </w:rPr>
        <w:t xml:space="preserve">.00     </w:t>
      </w:r>
      <w:r w:rsidRPr="003359A9">
        <w:rPr>
          <w:b/>
          <w:color w:val="2369B5"/>
          <w:sz w:val="30"/>
          <w:szCs w:val="30"/>
          <w:u w:val="single"/>
        </w:rPr>
        <w:t xml:space="preserve">                                                                       </w:t>
      </w:r>
      <w:r>
        <w:rPr>
          <w:b/>
          <w:color w:val="2369B5"/>
          <w:sz w:val="30"/>
          <w:szCs w:val="30"/>
          <w:u w:val="single"/>
        </w:rPr>
        <w:t xml:space="preserve">                                </w:t>
      </w:r>
    </w:p>
    <w:p w14:paraId="525A666C" w14:textId="77777777" w:rsidR="00A066C9" w:rsidRDefault="00A066C9" w:rsidP="00A066C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Includes an NIR evaluation of a high group TMR and associated fecal matter to generate an evaluation of apparent NDF and starch </w:t>
      </w:r>
      <w:proofErr w:type="spellStart"/>
      <w:r>
        <w:rPr>
          <w:sz w:val="26"/>
          <w:szCs w:val="26"/>
        </w:rPr>
        <w:t>digestibilities</w:t>
      </w:r>
      <w:proofErr w:type="spellEnd"/>
      <w:r>
        <w:rPr>
          <w:sz w:val="26"/>
          <w:szCs w:val="26"/>
        </w:rPr>
        <w:t xml:space="preserve"> </w:t>
      </w:r>
    </w:p>
    <w:p w14:paraId="71182190" w14:textId="77777777" w:rsidR="00A066C9" w:rsidRDefault="00A066C9" w:rsidP="00EB386B">
      <w:pPr>
        <w:spacing w:after="0" w:line="240" w:lineRule="auto"/>
        <w:rPr>
          <w:sz w:val="26"/>
          <w:szCs w:val="26"/>
        </w:rPr>
      </w:pPr>
    </w:p>
    <w:p w14:paraId="45CC7378" w14:textId="77777777" w:rsidR="00A066C9" w:rsidRPr="009F4C44" w:rsidRDefault="00A066C9" w:rsidP="00EB386B">
      <w:pPr>
        <w:spacing w:after="0" w:line="240" w:lineRule="auto"/>
        <w:rPr>
          <w:sz w:val="26"/>
          <w:szCs w:val="26"/>
        </w:rPr>
      </w:pPr>
    </w:p>
    <w:p w14:paraId="4F769AA2" w14:textId="77777777" w:rsidR="00EB386B" w:rsidRDefault="00EB386B" w:rsidP="00760E48">
      <w:pPr>
        <w:spacing w:after="40"/>
        <w:ind w:left="720" w:hanging="720"/>
        <w:rPr>
          <w:sz w:val="26"/>
          <w:szCs w:val="26"/>
        </w:rPr>
      </w:pPr>
    </w:p>
    <w:p w14:paraId="1417231A" w14:textId="77777777" w:rsidR="00866B66" w:rsidRDefault="00866B66" w:rsidP="0011564C">
      <w:pPr>
        <w:spacing w:after="0" w:line="240" w:lineRule="auto"/>
        <w:ind w:left="720" w:hanging="720"/>
        <w:rPr>
          <w:b/>
          <w:color w:val="2369B5"/>
          <w:sz w:val="30"/>
          <w:szCs w:val="30"/>
          <w:u w:val="single"/>
        </w:rPr>
      </w:pPr>
    </w:p>
    <w:p w14:paraId="56AA65A6" w14:textId="77777777" w:rsidR="00A0608F" w:rsidRDefault="00A0608F" w:rsidP="0011564C">
      <w:pPr>
        <w:spacing w:after="0" w:line="240" w:lineRule="auto"/>
        <w:ind w:left="720" w:hanging="720"/>
        <w:rPr>
          <w:b/>
          <w:color w:val="2369B5"/>
          <w:sz w:val="30"/>
          <w:szCs w:val="30"/>
          <w:u w:val="single"/>
        </w:rPr>
      </w:pPr>
    </w:p>
    <w:p w14:paraId="620A7CE6" w14:textId="77777777" w:rsidR="00866B66" w:rsidRDefault="00866B66" w:rsidP="0011564C">
      <w:pPr>
        <w:spacing w:after="0" w:line="240" w:lineRule="auto"/>
        <w:ind w:left="720" w:hanging="720"/>
        <w:rPr>
          <w:b/>
          <w:color w:val="2369B5"/>
          <w:sz w:val="30"/>
          <w:szCs w:val="30"/>
          <w:u w:val="single"/>
        </w:rPr>
      </w:pPr>
      <w:r w:rsidRPr="0011564C">
        <w:rPr>
          <w:b/>
          <w:noProof/>
          <w:color w:val="599F46"/>
          <w:sz w:val="4"/>
          <w:szCs w:val="4"/>
          <w:u w:val="single"/>
        </w:rPr>
        <w:drawing>
          <wp:anchor distT="0" distB="0" distL="114300" distR="114300" simplePos="0" relativeHeight="251660288" behindDoc="0" locked="0" layoutInCell="1" allowOverlap="1" wp14:anchorId="51A2E739" wp14:editId="718D58C2">
            <wp:simplePos x="0" y="0"/>
            <wp:positionH relativeFrom="column">
              <wp:posOffset>-352425</wp:posOffset>
            </wp:positionH>
            <wp:positionV relativeFrom="paragraph">
              <wp:posOffset>-499774</wp:posOffset>
            </wp:positionV>
            <wp:extent cx="2562225" cy="781050"/>
            <wp:effectExtent l="0" t="0" r="9525" b="0"/>
            <wp:wrapNone/>
            <wp:docPr id="3" name="Picture 3" descr="AHL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LNe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667D76" w14:textId="77777777" w:rsidR="00866B66" w:rsidRDefault="00866B66" w:rsidP="0011564C">
      <w:pPr>
        <w:spacing w:after="0" w:line="240" w:lineRule="auto"/>
        <w:ind w:left="720" w:hanging="720"/>
        <w:rPr>
          <w:b/>
          <w:color w:val="2369B5"/>
          <w:sz w:val="30"/>
          <w:szCs w:val="30"/>
          <w:u w:val="single"/>
        </w:rPr>
      </w:pPr>
    </w:p>
    <w:p w14:paraId="41E80603" w14:textId="77777777" w:rsidR="005F7178" w:rsidRPr="003359A9" w:rsidRDefault="005F7178" w:rsidP="005F7178">
      <w:pPr>
        <w:spacing w:after="0" w:line="240" w:lineRule="auto"/>
        <w:jc w:val="center"/>
        <w:rPr>
          <w:b/>
          <w:color w:val="599F46"/>
          <w:sz w:val="48"/>
          <w:szCs w:val="48"/>
          <w:u w:val="single"/>
        </w:rPr>
      </w:pPr>
      <w:r w:rsidRPr="003359A9">
        <w:rPr>
          <w:b/>
          <w:color w:val="599F46"/>
          <w:sz w:val="48"/>
          <w:szCs w:val="48"/>
          <w:u w:val="single"/>
        </w:rPr>
        <w:t>NIR Packages</w:t>
      </w:r>
    </w:p>
    <w:p w14:paraId="7D3B7B60" w14:textId="77777777" w:rsidR="00A0608F" w:rsidRDefault="00A0608F" w:rsidP="0011564C">
      <w:pPr>
        <w:spacing w:after="0" w:line="240" w:lineRule="auto"/>
        <w:ind w:left="720" w:hanging="720"/>
        <w:rPr>
          <w:b/>
          <w:color w:val="2369B5"/>
          <w:sz w:val="30"/>
          <w:szCs w:val="30"/>
          <w:u w:val="single"/>
        </w:rPr>
      </w:pPr>
    </w:p>
    <w:p w14:paraId="6DF90D5B" w14:textId="52368273" w:rsidR="00801CEC" w:rsidRPr="003359A9" w:rsidRDefault="00986CEF" w:rsidP="0011564C">
      <w:pPr>
        <w:spacing w:after="0" w:line="240" w:lineRule="auto"/>
        <w:ind w:left="720" w:hanging="720"/>
        <w:rPr>
          <w:color w:val="2369B5"/>
          <w:sz w:val="30"/>
          <w:szCs w:val="30"/>
          <w:u w:val="single"/>
        </w:rPr>
      </w:pPr>
      <w:r w:rsidRPr="003359A9">
        <w:rPr>
          <w:b/>
          <w:color w:val="2369B5"/>
          <w:sz w:val="30"/>
          <w:szCs w:val="30"/>
          <w:u w:val="single"/>
        </w:rPr>
        <w:t>NIR Basic</w:t>
      </w:r>
      <w:r w:rsidR="00F73998">
        <w:rPr>
          <w:b/>
          <w:color w:val="2369B5"/>
          <w:sz w:val="30"/>
          <w:szCs w:val="30"/>
          <w:u w:val="single"/>
        </w:rPr>
        <w:t>*</w:t>
      </w:r>
      <w:r w:rsidR="00E4560C" w:rsidRPr="003359A9">
        <w:rPr>
          <w:b/>
          <w:color w:val="2369B5"/>
          <w:sz w:val="30"/>
          <w:szCs w:val="30"/>
          <w:u w:val="single"/>
        </w:rPr>
        <w:t xml:space="preserve">                </w:t>
      </w:r>
      <w:r w:rsidR="009F4C44" w:rsidRPr="003359A9">
        <w:rPr>
          <w:b/>
          <w:color w:val="2369B5"/>
          <w:sz w:val="30"/>
          <w:szCs w:val="30"/>
          <w:u w:val="single"/>
        </w:rPr>
        <w:t xml:space="preserve">                                                                                          $</w:t>
      </w:r>
      <w:r w:rsidR="001C76B7">
        <w:rPr>
          <w:b/>
          <w:color w:val="2369B5"/>
          <w:sz w:val="30"/>
          <w:szCs w:val="30"/>
          <w:u w:val="single"/>
        </w:rPr>
        <w:t>21.0</w:t>
      </w:r>
      <w:r w:rsidR="009F4C44" w:rsidRPr="003359A9">
        <w:rPr>
          <w:b/>
          <w:color w:val="2369B5"/>
          <w:sz w:val="30"/>
          <w:szCs w:val="30"/>
          <w:u w:val="single"/>
        </w:rPr>
        <w:t>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"/>
        <w:gridCol w:w="2782"/>
        <w:gridCol w:w="720"/>
        <w:gridCol w:w="4752"/>
      </w:tblGrid>
      <w:tr w:rsidR="00801CEC" w:rsidRPr="009F4C44" w14:paraId="18E15917" w14:textId="77777777" w:rsidTr="003F43D2">
        <w:trPr>
          <w:gridBefore w:val="1"/>
          <w:wBefore w:w="13" w:type="dxa"/>
          <w:jc w:val="center"/>
        </w:trPr>
        <w:tc>
          <w:tcPr>
            <w:tcW w:w="2782" w:type="dxa"/>
            <w:vAlign w:val="bottom"/>
          </w:tcPr>
          <w:p w14:paraId="06824317" w14:textId="77777777" w:rsidR="00801CEC" w:rsidRPr="009F4C44" w:rsidRDefault="00801CEC" w:rsidP="00801CEC">
            <w:pPr>
              <w:spacing w:after="40"/>
              <w:rPr>
                <w:sz w:val="26"/>
                <w:szCs w:val="26"/>
              </w:rPr>
            </w:pPr>
            <w:r w:rsidRPr="009F4C44">
              <w:rPr>
                <w:sz w:val="26"/>
                <w:szCs w:val="26"/>
              </w:rPr>
              <w:t>Dry Matter</w:t>
            </w:r>
          </w:p>
        </w:tc>
        <w:tc>
          <w:tcPr>
            <w:tcW w:w="5472" w:type="dxa"/>
            <w:gridSpan w:val="2"/>
            <w:vAlign w:val="bottom"/>
          </w:tcPr>
          <w:p w14:paraId="4E54738A" w14:textId="77777777" w:rsidR="00801CEC" w:rsidRPr="009F4C44" w:rsidRDefault="00801CEC" w:rsidP="00EB386B">
            <w:pPr>
              <w:spacing w:after="40"/>
              <w:rPr>
                <w:sz w:val="26"/>
                <w:szCs w:val="26"/>
              </w:rPr>
            </w:pPr>
            <w:r w:rsidRPr="009F4C44">
              <w:rPr>
                <w:sz w:val="26"/>
                <w:szCs w:val="26"/>
              </w:rPr>
              <w:t xml:space="preserve">pH  (silages only – </w:t>
            </w:r>
            <w:r w:rsidR="00EB386B">
              <w:rPr>
                <w:sz w:val="26"/>
                <w:szCs w:val="26"/>
              </w:rPr>
              <w:t>wet chemistry</w:t>
            </w:r>
            <w:r w:rsidRPr="009F4C44">
              <w:rPr>
                <w:sz w:val="26"/>
                <w:szCs w:val="26"/>
              </w:rPr>
              <w:t>)</w:t>
            </w:r>
          </w:p>
        </w:tc>
      </w:tr>
      <w:tr w:rsidR="00801CEC" w:rsidRPr="009F4C44" w14:paraId="58BF99D6" w14:textId="77777777" w:rsidTr="003F43D2">
        <w:trPr>
          <w:gridBefore w:val="1"/>
          <w:wBefore w:w="13" w:type="dxa"/>
          <w:jc w:val="center"/>
        </w:trPr>
        <w:tc>
          <w:tcPr>
            <w:tcW w:w="2782" w:type="dxa"/>
            <w:vAlign w:val="bottom"/>
          </w:tcPr>
          <w:p w14:paraId="182386AC" w14:textId="77777777" w:rsidR="00801CEC" w:rsidRPr="009F4C44" w:rsidRDefault="00801CEC" w:rsidP="00801CEC">
            <w:pPr>
              <w:spacing w:after="40"/>
              <w:rPr>
                <w:sz w:val="26"/>
                <w:szCs w:val="26"/>
              </w:rPr>
            </w:pPr>
            <w:r w:rsidRPr="009F4C44">
              <w:rPr>
                <w:sz w:val="26"/>
                <w:szCs w:val="26"/>
              </w:rPr>
              <w:t>Moisture</w:t>
            </w:r>
          </w:p>
        </w:tc>
        <w:tc>
          <w:tcPr>
            <w:tcW w:w="5472" w:type="dxa"/>
            <w:gridSpan w:val="2"/>
            <w:vAlign w:val="bottom"/>
          </w:tcPr>
          <w:p w14:paraId="25F23A9F" w14:textId="77777777" w:rsidR="00801CEC" w:rsidRPr="009F4C44" w:rsidRDefault="00801CEC" w:rsidP="00801CEC">
            <w:pPr>
              <w:spacing w:after="40"/>
              <w:rPr>
                <w:sz w:val="26"/>
                <w:szCs w:val="26"/>
              </w:rPr>
            </w:pPr>
            <w:r w:rsidRPr="009F4C44">
              <w:rPr>
                <w:sz w:val="26"/>
                <w:szCs w:val="26"/>
              </w:rPr>
              <w:t>Calculated Values:</w:t>
            </w:r>
          </w:p>
        </w:tc>
      </w:tr>
      <w:tr w:rsidR="000C3FBE" w:rsidRPr="009F4C44" w14:paraId="054C636B" w14:textId="77777777" w:rsidTr="003F43D2">
        <w:trPr>
          <w:gridBefore w:val="1"/>
          <w:wBefore w:w="13" w:type="dxa"/>
          <w:jc w:val="center"/>
        </w:trPr>
        <w:tc>
          <w:tcPr>
            <w:tcW w:w="3502" w:type="dxa"/>
            <w:gridSpan w:val="2"/>
            <w:vAlign w:val="bottom"/>
          </w:tcPr>
          <w:p w14:paraId="497D89CC" w14:textId="77777777" w:rsidR="000C3FBE" w:rsidRPr="009F4C44" w:rsidRDefault="000C3FBE" w:rsidP="00801CEC">
            <w:pPr>
              <w:spacing w:after="40"/>
              <w:rPr>
                <w:sz w:val="26"/>
                <w:szCs w:val="26"/>
              </w:rPr>
            </w:pPr>
            <w:r w:rsidRPr="009F4C44">
              <w:rPr>
                <w:sz w:val="26"/>
                <w:szCs w:val="26"/>
              </w:rPr>
              <w:t>Crude Protein</w:t>
            </w:r>
          </w:p>
        </w:tc>
        <w:tc>
          <w:tcPr>
            <w:tcW w:w="4752" w:type="dxa"/>
            <w:vAlign w:val="bottom"/>
          </w:tcPr>
          <w:p w14:paraId="701C35E4" w14:textId="77777777" w:rsidR="000C3FBE" w:rsidRPr="009F4C44" w:rsidRDefault="00677FAC" w:rsidP="007801A1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TDN</w:t>
            </w:r>
          </w:p>
        </w:tc>
      </w:tr>
      <w:tr w:rsidR="000C3FBE" w:rsidRPr="009F4C44" w14:paraId="14619071" w14:textId="77777777" w:rsidTr="003F43D2">
        <w:trPr>
          <w:jc w:val="center"/>
        </w:trPr>
        <w:tc>
          <w:tcPr>
            <w:tcW w:w="3515" w:type="dxa"/>
            <w:gridSpan w:val="3"/>
            <w:vAlign w:val="bottom"/>
          </w:tcPr>
          <w:p w14:paraId="5E8EAF73" w14:textId="77777777" w:rsidR="000C3FBE" w:rsidRPr="009F4C44" w:rsidRDefault="00677FAC" w:rsidP="00801CEC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Soluble Protein</w:t>
            </w:r>
          </w:p>
        </w:tc>
        <w:tc>
          <w:tcPr>
            <w:tcW w:w="4752" w:type="dxa"/>
            <w:vAlign w:val="bottom"/>
          </w:tcPr>
          <w:p w14:paraId="22EDB5BB" w14:textId="77777777" w:rsidR="000C3FBE" w:rsidRPr="009F4C44" w:rsidRDefault="00677FAC" w:rsidP="007801A1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NEL</w:t>
            </w:r>
          </w:p>
        </w:tc>
      </w:tr>
      <w:tr w:rsidR="00013F7D" w:rsidRPr="009F4C44" w14:paraId="7DE5C356" w14:textId="77777777" w:rsidTr="003F43D2">
        <w:trPr>
          <w:jc w:val="center"/>
        </w:trPr>
        <w:tc>
          <w:tcPr>
            <w:tcW w:w="3515" w:type="dxa"/>
            <w:gridSpan w:val="3"/>
            <w:vAlign w:val="bottom"/>
          </w:tcPr>
          <w:p w14:paraId="7DEEF9CB" w14:textId="77777777" w:rsidR="00013F7D" w:rsidRPr="009F4C44" w:rsidRDefault="00013F7D" w:rsidP="00013F7D">
            <w:pPr>
              <w:spacing w:after="40"/>
              <w:rPr>
                <w:sz w:val="26"/>
                <w:szCs w:val="26"/>
              </w:rPr>
            </w:pPr>
            <w:r w:rsidRPr="009F4C44">
              <w:rPr>
                <w:sz w:val="26"/>
                <w:szCs w:val="26"/>
              </w:rPr>
              <w:t>ADF Protein</w:t>
            </w:r>
          </w:p>
        </w:tc>
        <w:tc>
          <w:tcPr>
            <w:tcW w:w="4752" w:type="dxa"/>
            <w:vAlign w:val="bottom"/>
          </w:tcPr>
          <w:p w14:paraId="53F1CA2B" w14:textId="77777777" w:rsidR="00013F7D" w:rsidRPr="009F4C44" w:rsidRDefault="00677FAC" w:rsidP="00013F7D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NEM</w:t>
            </w:r>
          </w:p>
        </w:tc>
      </w:tr>
      <w:tr w:rsidR="00013F7D" w:rsidRPr="009F4C44" w14:paraId="7E8109ED" w14:textId="77777777" w:rsidTr="003F43D2">
        <w:trPr>
          <w:jc w:val="center"/>
        </w:trPr>
        <w:tc>
          <w:tcPr>
            <w:tcW w:w="3515" w:type="dxa"/>
            <w:gridSpan w:val="3"/>
            <w:vAlign w:val="bottom"/>
          </w:tcPr>
          <w:p w14:paraId="7283B3C6" w14:textId="77777777" w:rsidR="00013F7D" w:rsidRPr="009F4C44" w:rsidRDefault="00677FAC" w:rsidP="00013F7D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NDF</w:t>
            </w:r>
            <w:r w:rsidR="00013F7D" w:rsidRPr="009F4C44">
              <w:rPr>
                <w:sz w:val="26"/>
                <w:szCs w:val="26"/>
              </w:rPr>
              <w:t xml:space="preserve"> Protein</w:t>
            </w:r>
          </w:p>
        </w:tc>
        <w:tc>
          <w:tcPr>
            <w:tcW w:w="4752" w:type="dxa"/>
            <w:vAlign w:val="bottom"/>
          </w:tcPr>
          <w:p w14:paraId="4194A4BF" w14:textId="77777777" w:rsidR="00013F7D" w:rsidRPr="009F4C44" w:rsidRDefault="00677FAC" w:rsidP="00013F7D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NEG</w:t>
            </w:r>
          </w:p>
        </w:tc>
      </w:tr>
      <w:tr w:rsidR="00013F7D" w:rsidRPr="009F4C44" w14:paraId="2EBDC48E" w14:textId="77777777" w:rsidTr="003F43D2">
        <w:trPr>
          <w:gridBefore w:val="1"/>
          <w:wBefore w:w="13" w:type="dxa"/>
          <w:jc w:val="center"/>
        </w:trPr>
        <w:tc>
          <w:tcPr>
            <w:tcW w:w="3502" w:type="dxa"/>
            <w:gridSpan w:val="2"/>
            <w:vAlign w:val="bottom"/>
          </w:tcPr>
          <w:p w14:paraId="3766C16F" w14:textId="77777777" w:rsidR="00013F7D" w:rsidRPr="000C3FBE" w:rsidRDefault="00013F7D" w:rsidP="00013F7D">
            <w:pPr>
              <w:spacing w:after="40"/>
              <w:rPr>
                <w:sz w:val="26"/>
                <w:szCs w:val="26"/>
              </w:rPr>
            </w:pPr>
            <w:r w:rsidRPr="000C3FBE">
              <w:rPr>
                <w:sz w:val="26"/>
                <w:szCs w:val="26"/>
              </w:rPr>
              <w:t>ADF</w:t>
            </w:r>
          </w:p>
        </w:tc>
        <w:tc>
          <w:tcPr>
            <w:tcW w:w="4752" w:type="dxa"/>
            <w:vAlign w:val="bottom"/>
          </w:tcPr>
          <w:p w14:paraId="7C178E5F" w14:textId="77777777" w:rsidR="00013F7D" w:rsidRPr="000C3FBE" w:rsidRDefault="000A7360" w:rsidP="00013F7D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</w:t>
            </w:r>
          </w:p>
        </w:tc>
      </w:tr>
      <w:tr w:rsidR="00013F7D" w:rsidRPr="009F4C44" w14:paraId="3A8BEEA2" w14:textId="77777777" w:rsidTr="003F43D2">
        <w:trPr>
          <w:gridBefore w:val="1"/>
          <w:wBefore w:w="13" w:type="dxa"/>
          <w:jc w:val="center"/>
        </w:trPr>
        <w:tc>
          <w:tcPr>
            <w:tcW w:w="3502" w:type="dxa"/>
            <w:gridSpan w:val="2"/>
            <w:vAlign w:val="bottom"/>
          </w:tcPr>
          <w:p w14:paraId="412A40BF" w14:textId="77777777" w:rsidR="00013F7D" w:rsidRPr="009F4C44" w:rsidRDefault="00013F7D" w:rsidP="00013F7D">
            <w:pPr>
              <w:spacing w:after="40"/>
              <w:rPr>
                <w:sz w:val="26"/>
                <w:szCs w:val="26"/>
              </w:rPr>
            </w:pPr>
            <w:r w:rsidRPr="009F4C44">
              <w:rPr>
                <w:sz w:val="26"/>
                <w:szCs w:val="26"/>
              </w:rPr>
              <w:t>NDF</w:t>
            </w:r>
          </w:p>
        </w:tc>
        <w:tc>
          <w:tcPr>
            <w:tcW w:w="4752" w:type="dxa"/>
            <w:vAlign w:val="bottom"/>
          </w:tcPr>
          <w:p w14:paraId="0D02ABF8" w14:textId="77777777" w:rsidR="00013F7D" w:rsidRPr="009F4C44" w:rsidRDefault="000A7360" w:rsidP="00013F7D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NFC</w:t>
            </w:r>
          </w:p>
        </w:tc>
      </w:tr>
      <w:tr w:rsidR="00013F7D" w:rsidRPr="009F4C44" w14:paraId="771EF4BC" w14:textId="77777777" w:rsidTr="003F43D2">
        <w:trPr>
          <w:gridBefore w:val="1"/>
          <w:wBefore w:w="13" w:type="dxa"/>
          <w:jc w:val="center"/>
        </w:trPr>
        <w:tc>
          <w:tcPr>
            <w:tcW w:w="3502" w:type="dxa"/>
            <w:gridSpan w:val="2"/>
            <w:vAlign w:val="bottom"/>
          </w:tcPr>
          <w:p w14:paraId="254E96C4" w14:textId="77777777" w:rsidR="00013F7D" w:rsidRPr="009F4C44" w:rsidRDefault="00013F7D" w:rsidP="00013F7D">
            <w:pPr>
              <w:spacing w:after="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NDFom</w:t>
            </w:r>
            <w:proofErr w:type="spellEnd"/>
          </w:p>
        </w:tc>
        <w:tc>
          <w:tcPr>
            <w:tcW w:w="4752" w:type="dxa"/>
            <w:vAlign w:val="bottom"/>
          </w:tcPr>
          <w:p w14:paraId="52FAB5D8" w14:textId="77777777" w:rsidR="00A11073" w:rsidRPr="009F4C44" w:rsidRDefault="000A7360" w:rsidP="00FE313C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NSC</w:t>
            </w:r>
          </w:p>
        </w:tc>
      </w:tr>
      <w:tr w:rsidR="00013F7D" w:rsidRPr="009F4C44" w14:paraId="437E95B8" w14:textId="77777777" w:rsidTr="003F43D2">
        <w:trPr>
          <w:gridBefore w:val="1"/>
          <w:wBefore w:w="13" w:type="dxa"/>
          <w:jc w:val="center"/>
        </w:trPr>
        <w:tc>
          <w:tcPr>
            <w:tcW w:w="3502" w:type="dxa"/>
            <w:gridSpan w:val="2"/>
            <w:vAlign w:val="bottom"/>
          </w:tcPr>
          <w:p w14:paraId="799FC542" w14:textId="77777777" w:rsidR="00013F7D" w:rsidRPr="009F4C44" w:rsidRDefault="00013F7D" w:rsidP="00013F7D">
            <w:pPr>
              <w:spacing w:after="40"/>
              <w:rPr>
                <w:sz w:val="26"/>
                <w:szCs w:val="26"/>
              </w:rPr>
            </w:pPr>
            <w:r w:rsidRPr="009F4C44">
              <w:rPr>
                <w:sz w:val="26"/>
                <w:szCs w:val="26"/>
              </w:rPr>
              <w:t>Lignin</w:t>
            </w:r>
          </w:p>
        </w:tc>
        <w:tc>
          <w:tcPr>
            <w:tcW w:w="4752" w:type="dxa"/>
            <w:vAlign w:val="bottom"/>
          </w:tcPr>
          <w:p w14:paraId="015F63A6" w14:textId="77777777" w:rsidR="00013F7D" w:rsidRPr="009F4C44" w:rsidRDefault="000A7360" w:rsidP="007801A1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RFV </w:t>
            </w:r>
            <w:r w:rsidRPr="000A7360">
              <w:rPr>
                <w:sz w:val="20"/>
                <w:szCs w:val="20"/>
              </w:rPr>
              <w:t>(Alfalfa &amp; Grass Forages only)</w:t>
            </w:r>
          </w:p>
        </w:tc>
      </w:tr>
      <w:tr w:rsidR="00013F7D" w:rsidRPr="009F4C44" w14:paraId="2A27BB53" w14:textId="77777777" w:rsidTr="003F43D2">
        <w:trPr>
          <w:gridBefore w:val="1"/>
          <w:wBefore w:w="13" w:type="dxa"/>
          <w:jc w:val="center"/>
        </w:trPr>
        <w:tc>
          <w:tcPr>
            <w:tcW w:w="3502" w:type="dxa"/>
            <w:gridSpan w:val="2"/>
            <w:vAlign w:val="bottom"/>
          </w:tcPr>
          <w:p w14:paraId="6A429972" w14:textId="77777777" w:rsidR="00013F7D" w:rsidRPr="009F4C44" w:rsidRDefault="00013F7D" w:rsidP="00013F7D">
            <w:pPr>
              <w:spacing w:after="40"/>
              <w:rPr>
                <w:sz w:val="26"/>
                <w:szCs w:val="26"/>
              </w:rPr>
            </w:pPr>
            <w:r w:rsidRPr="009F4C44">
              <w:rPr>
                <w:sz w:val="26"/>
                <w:szCs w:val="26"/>
              </w:rPr>
              <w:t>Starch</w:t>
            </w:r>
          </w:p>
        </w:tc>
        <w:tc>
          <w:tcPr>
            <w:tcW w:w="4752" w:type="dxa"/>
            <w:vAlign w:val="bottom"/>
          </w:tcPr>
          <w:p w14:paraId="18059B69" w14:textId="6A30314C" w:rsidR="00013F7D" w:rsidRPr="009F4C44" w:rsidRDefault="00013F7D" w:rsidP="007801A1">
            <w:pPr>
              <w:spacing w:after="40"/>
              <w:rPr>
                <w:sz w:val="26"/>
                <w:szCs w:val="26"/>
              </w:rPr>
            </w:pPr>
          </w:p>
        </w:tc>
      </w:tr>
      <w:tr w:rsidR="00013F7D" w:rsidRPr="009F4C44" w14:paraId="35CF63C9" w14:textId="77777777" w:rsidTr="003F43D2">
        <w:trPr>
          <w:gridBefore w:val="1"/>
          <w:wBefore w:w="13" w:type="dxa"/>
          <w:jc w:val="center"/>
        </w:trPr>
        <w:tc>
          <w:tcPr>
            <w:tcW w:w="3502" w:type="dxa"/>
            <w:gridSpan w:val="2"/>
            <w:vAlign w:val="bottom"/>
          </w:tcPr>
          <w:p w14:paraId="514A3120" w14:textId="77777777" w:rsidR="00013F7D" w:rsidRPr="009F4C44" w:rsidRDefault="00013F7D" w:rsidP="00013F7D">
            <w:pPr>
              <w:spacing w:after="40"/>
              <w:rPr>
                <w:sz w:val="26"/>
                <w:szCs w:val="26"/>
              </w:rPr>
            </w:pPr>
            <w:r w:rsidRPr="009F4C44">
              <w:rPr>
                <w:sz w:val="26"/>
                <w:szCs w:val="26"/>
              </w:rPr>
              <w:t>Sugar</w:t>
            </w:r>
          </w:p>
        </w:tc>
        <w:tc>
          <w:tcPr>
            <w:tcW w:w="4752" w:type="dxa"/>
            <w:vAlign w:val="bottom"/>
          </w:tcPr>
          <w:p w14:paraId="264B6787" w14:textId="55E015E9" w:rsidR="00013F7D" w:rsidRPr="000A7360" w:rsidRDefault="00013F7D" w:rsidP="00FF1ED3">
            <w:pPr>
              <w:spacing w:after="40"/>
              <w:rPr>
                <w:sz w:val="20"/>
                <w:szCs w:val="20"/>
              </w:rPr>
            </w:pPr>
          </w:p>
        </w:tc>
      </w:tr>
      <w:tr w:rsidR="00013F7D" w:rsidRPr="009F4C44" w14:paraId="299FCF21" w14:textId="77777777" w:rsidTr="003F43D2">
        <w:trPr>
          <w:gridBefore w:val="1"/>
          <w:wBefore w:w="13" w:type="dxa"/>
          <w:jc w:val="center"/>
        </w:trPr>
        <w:tc>
          <w:tcPr>
            <w:tcW w:w="3502" w:type="dxa"/>
            <w:gridSpan w:val="2"/>
            <w:vAlign w:val="bottom"/>
          </w:tcPr>
          <w:p w14:paraId="7033E345" w14:textId="77777777" w:rsidR="00013F7D" w:rsidRPr="009F4C44" w:rsidRDefault="00013F7D" w:rsidP="00013F7D">
            <w:pPr>
              <w:spacing w:after="40"/>
              <w:rPr>
                <w:sz w:val="26"/>
                <w:szCs w:val="26"/>
              </w:rPr>
            </w:pPr>
            <w:r w:rsidRPr="009F4C44">
              <w:rPr>
                <w:sz w:val="26"/>
                <w:szCs w:val="26"/>
              </w:rPr>
              <w:t>Fat</w:t>
            </w:r>
          </w:p>
        </w:tc>
        <w:tc>
          <w:tcPr>
            <w:tcW w:w="4752" w:type="dxa"/>
            <w:vAlign w:val="bottom"/>
          </w:tcPr>
          <w:p w14:paraId="11A2B253" w14:textId="77777777" w:rsidR="00013F7D" w:rsidRPr="009F4C44" w:rsidRDefault="00013F7D" w:rsidP="00013F7D">
            <w:pPr>
              <w:spacing w:after="40"/>
              <w:rPr>
                <w:sz w:val="26"/>
                <w:szCs w:val="26"/>
              </w:rPr>
            </w:pPr>
          </w:p>
        </w:tc>
      </w:tr>
      <w:tr w:rsidR="00013F7D" w:rsidRPr="009F4C44" w14:paraId="489B4BE0" w14:textId="77777777" w:rsidTr="003F43D2">
        <w:trPr>
          <w:gridBefore w:val="1"/>
          <w:wBefore w:w="13" w:type="dxa"/>
          <w:jc w:val="center"/>
        </w:trPr>
        <w:tc>
          <w:tcPr>
            <w:tcW w:w="2782" w:type="dxa"/>
            <w:vAlign w:val="bottom"/>
          </w:tcPr>
          <w:p w14:paraId="72D9E892" w14:textId="77777777" w:rsidR="00013F7D" w:rsidRPr="009F4C44" w:rsidRDefault="00013F7D" w:rsidP="00013F7D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Ash</w:t>
            </w:r>
          </w:p>
        </w:tc>
        <w:tc>
          <w:tcPr>
            <w:tcW w:w="5472" w:type="dxa"/>
            <w:gridSpan w:val="2"/>
            <w:vAlign w:val="bottom"/>
          </w:tcPr>
          <w:p w14:paraId="2CBC2319" w14:textId="77777777" w:rsidR="00013F7D" w:rsidRPr="009F4C44" w:rsidRDefault="00013F7D" w:rsidP="00013F7D">
            <w:pPr>
              <w:spacing w:after="40"/>
              <w:rPr>
                <w:sz w:val="26"/>
                <w:szCs w:val="26"/>
              </w:rPr>
            </w:pPr>
          </w:p>
        </w:tc>
      </w:tr>
      <w:tr w:rsidR="00013F7D" w:rsidRPr="009F4C44" w14:paraId="55114042" w14:textId="77777777" w:rsidTr="003F43D2">
        <w:trPr>
          <w:gridBefore w:val="1"/>
          <w:wBefore w:w="13" w:type="dxa"/>
          <w:jc w:val="center"/>
        </w:trPr>
        <w:tc>
          <w:tcPr>
            <w:tcW w:w="2782" w:type="dxa"/>
            <w:vAlign w:val="bottom"/>
          </w:tcPr>
          <w:p w14:paraId="08BAA965" w14:textId="77777777" w:rsidR="00013F7D" w:rsidRPr="009F4C44" w:rsidRDefault="00013F7D" w:rsidP="00013F7D">
            <w:pPr>
              <w:spacing w:after="40"/>
              <w:rPr>
                <w:sz w:val="26"/>
                <w:szCs w:val="26"/>
              </w:rPr>
            </w:pPr>
            <w:r w:rsidRPr="009F4C44">
              <w:rPr>
                <w:sz w:val="26"/>
                <w:szCs w:val="26"/>
              </w:rPr>
              <w:t>Calcium (Ca)</w:t>
            </w:r>
          </w:p>
        </w:tc>
        <w:tc>
          <w:tcPr>
            <w:tcW w:w="5472" w:type="dxa"/>
            <w:gridSpan w:val="2"/>
            <w:vAlign w:val="bottom"/>
          </w:tcPr>
          <w:p w14:paraId="7C013312" w14:textId="77777777" w:rsidR="00013F7D" w:rsidRPr="009F4C44" w:rsidRDefault="00013F7D" w:rsidP="00013F7D">
            <w:pPr>
              <w:spacing w:after="40"/>
              <w:rPr>
                <w:sz w:val="26"/>
                <w:szCs w:val="26"/>
              </w:rPr>
            </w:pPr>
          </w:p>
        </w:tc>
      </w:tr>
      <w:tr w:rsidR="00013F7D" w:rsidRPr="009F4C44" w14:paraId="6FB5E1BB" w14:textId="77777777" w:rsidTr="003F43D2">
        <w:trPr>
          <w:gridBefore w:val="1"/>
          <w:wBefore w:w="13" w:type="dxa"/>
          <w:jc w:val="center"/>
        </w:trPr>
        <w:tc>
          <w:tcPr>
            <w:tcW w:w="2782" w:type="dxa"/>
            <w:vAlign w:val="bottom"/>
          </w:tcPr>
          <w:p w14:paraId="11DB1499" w14:textId="77777777" w:rsidR="00013F7D" w:rsidRPr="009F4C44" w:rsidRDefault="00013F7D" w:rsidP="00013F7D">
            <w:pPr>
              <w:spacing w:after="40"/>
              <w:rPr>
                <w:sz w:val="26"/>
                <w:szCs w:val="26"/>
              </w:rPr>
            </w:pPr>
            <w:r w:rsidRPr="009F4C44">
              <w:rPr>
                <w:sz w:val="26"/>
                <w:szCs w:val="26"/>
              </w:rPr>
              <w:t>Phosphorus (P)</w:t>
            </w:r>
          </w:p>
        </w:tc>
        <w:tc>
          <w:tcPr>
            <w:tcW w:w="5472" w:type="dxa"/>
            <w:gridSpan w:val="2"/>
            <w:vAlign w:val="bottom"/>
          </w:tcPr>
          <w:p w14:paraId="1CB1E549" w14:textId="77777777" w:rsidR="00013F7D" w:rsidRPr="009F4C44" w:rsidRDefault="00013F7D" w:rsidP="00013F7D">
            <w:pPr>
              <w:spacing w:after="40"/>
              <w:rPr>
                <w:sz w:val="26"/>
                <w:szCs w:val="26"/>
              </w:rPr>
            </w:pPr>
          </w:p>
        </w:tc>
      </w:tr>
      <w:tr w:rsidR="00013F7D" w:rsidRPr="009F4C44" w14:paraId="45FBDF0D" w14:textId="77777777" w:rsidTr="003F43D2">
        <w:trPr>
          <w:gridBefore w:val="1"/>
          <w:wBefore w:w="13" w:type="dxa"/>
          <w:jc w:val="center"/>
        </w:trPr>
        <w:tc>
          <w:tcPr>
            <w:tcW w:w="2782" w:type="dxa"/>
            <w:vAlign w:val="bottom"/>
          </w:tcPr>
          <w:p w14:paraId="2FA1B653" w14:textId="77777777" w:rsidR="00013F7D" w:rsidRPr="009F4C44" w:rsidRDefault="00013F7D" w:rsidP="00013F7D">
            <w:pPr>
              <w:spacing w:after="40"/>
              <w:rPr>
                <w:sz w:val="26"/>
                <w:szCs w:val="26"/>
              </w:rPr>
            </w:pPr>
            <w:r w:rsidRPr="009F4C44">
              <w:rPr>
                <w:sz w:val="26"/>
                <w:szCs w:val="26"/>
              </w:rPr>
              <w:t>Magnesium (Mg)</w:t>
            </w:r>
          </w:p>
        </w:tc>
        <w:tc>
          <w:tcPr>
            <w:tcW w:w="5472" w:type="dxa"/>
            <w:gridSpan w:val="2"/>
            <w:vAlign w:val="bottom"/>
          </w:tcPr>
          <w:p w14:paraId="69DC5D80" w14:textId="77777777" w:rsidR="00013F7D" w:rsidRPr="009F4C44" w:rsidRDefault="00013F7D" w:rsidP="00013F7D">
            <w:pPr>
              <w:spacing w:after="40"/>
              <w:rPr>
                <w:sz w:val="26"/>
                <w:szCs w:val="26"/>
              </w:rPr>
            </w:pPr>
          </w:p>
        </w:tc>
      </w:tr>
      <w:tr w:rsidR="00013F7D" w:rsidRPr="009F4C44" w14:paraId="69E69F67" w14:textId="77777777" w:rsidTr="003F43D2">
        <w:trPr>
          <w:gridBefore w:val="1"/>
          <w:wBefore w:w="13" w:type="dxa"/>
          <w:jc w:val="center"/>
        </w:trPr>
        <w:tc>
          <w:tcPr>
            <w:tcW w:w="2782" w:type="dxa"/>
            <w:vAlign w:val="bottom"/>
          </w:tcPr>
          <w:p w14:paraId="6AA8D09C" w14:textId="77777777" w:rsidR="00013F7D" w:rsidRPr="009F4C44" w:rsidRDefault="00013F7D" w:rsidP="00013F7D">
            <w:pPr>
              <w:spacing w:after="40"/>
              <w:rPr>
                <w:sz w:val="26"/>
                <w:szCs w:val="26"/>
              </w:rPr>
            </w:pPr>
            <w:r w:rsidRPr="009F4C44">
              <w:rPr>
                <w:sz w:val="26"/>
                <w:szCs w:val="26"/>
              </w:rPr>
              <w:t>Potassium (K)</w:t>
            </w:r>
          </w:p>
        </w:tc>
        <w:tc>
          <w:tcPr>
            <w:tcW w:w="5472" w:type="dxa"/>
            <w:gridSpan w:val="2"/>
            <w:vAlign w:val="bottom"/>
          </w:tcPr>
          <w:p w14:paraId="6957D72C" w14:textId="77777777" w:rsidR="00013F7D" w:rsidRPr="009F4C44" w:rsidRDefault="00013F7D" w:rsidP="00013F7D">
            <w:pPr>
              <w:spacing w:after="40"/>
              <w:rPr>
                <w:sz w:val="26"/>
                <w:szCs w:val="26"/>
              </w:rPr>
            </w:pPr>
          </w:p>
        </w:tc>
      </w:tr>
    </w:tbl>
    <w:p w14:paraId="4F7E2C40" w14:textId="77777777" w:rsidR="009F4C44" w:rsidRPr="00F1573B" w:rsidRDefault="009F4C44" w:rsidP="009F4C44">
      <w:pPr>
        <w:spacing w:after="40" w:line="240" w:lineRule="auto"/>
        <w:ind w:left="720" w:hanging="720"/>
        <w:rPr>
          <w:b/>
          <w:sz w:val="4"/>
          <w:szCs w:val="4"/>
          <w:u w:val="single"/>
        </w:rPr>
      </w:pPr>
    </w:p>
    <w:p w14:paraId="36747A6D" w14:textId="77777777" w:rsidR="0011564C" w:rsidRDefault="0011564C" w:rsidP="0011564C">
      <w:pPr>
        <w:spacing w:after="0" w:line="240" w:lineRule="auto"/>
        <w:rPr>
          <w:sz w:val="8"/>
          <w:szCs w:val="8"/>
        </w:rPr>
      </w:pPr>
    </w:p>
    <w:p w14:paraId="2D898602" w14:textId="77777777" w:rsidR="0011564C" w:rsidRDefault="0011564C" w:rsidP="0011564C">
      <w:pPr>
        <w:spacing w:after="0" w:line="240" w:lineRule="auto"/>
        <w:rPr>
          <w:sz w:val="8"/>
          <w:szCs w:val="8"/>
        </w:rPr>
      </w:pPr>
    </w:p>
    <w:p w14:paraId="0FE6CF79" w14:textId="77777777" w:rsidR="0011564C" w:rsidRPr="0011564C" w:rsidRDefault="0011564C" w:rsidP="0011564C">
      <w:pPr>
        <w:spacing w:after="0" w:line="240" w:lineRule="auto"/>
        <w:rPr>
          <w:sz w:val="8"/>
          <w:szCs w:val="8"/>
        </w:rPr>
      </w:pPr>
    </w:p>
    <w:p w14:paraId="24B21925" w14:textId="77777777" w:rsidR="00F1573B" w:rsidRDefault="0011564C" w:rsidP="0011564C">
      <w:pPr>
        <w:spacing w:after="0" w:line="240" w:lineRule="auto"/>
      </w:pPr>
      <w:r>
        <w:t xml:space="preserve">                    </w:t>
      </w:r>
      <w:r w:rsidRPr="0011564C">
        <w:t>*actual components will vary with feed type</w:t>
      </w:r>
    </w:p>
    <w:p w14:paraId="5F7B5F28" w14:textId="77777777" w:rsidR="00EB386B" w:rsidRDefault="00EB386B" w:rsidP="0011564C">
      <w:pPr>
        <w:spacing w:after="0" w:line="240" w:lineRule="auto"/>
      </w:pPr>
    </w:p>
    <w:p w14:paraId="1AFE5CA6" w14:textId="77777777" w:rsidR="00EB386B" w:rsidRDefault="00EB386B" w:rsidP="00EB386B">
      <w:pPr>
        <w:spacing w:after="40"/>
        <w:ind w:left="720" w:hanging="720"/>
        <w:rPr>
          <w:sz w:val="26"/>
          <w:szCs w:val="26"/>
        </w:rPr>
      </w:pPr>
    </w:p>
    <w:p w14:paraId="2B34FAFD" w14:textId="13A06A51" w:rsidR="00EB386B" w:rsidRPr="003359A9" w:rsidRDefault="00EB386B" w:rsidP="00EB386B">
      <w:pPr>
        <w:spacing w:after="40" w:line="240" w:lineRule="auto"/>
        <w:ind w:left="720" w:hanging="720"/>
        <w:rPr>
          <w:color w:val="2369B5"/>
          <w:sz w:val="30"/>
          <w:szCs w:val="30"/>
          <w:u w:val="single"/>
        </w:rPr>
      </w:pPr>
      <w:r w:rsidRPr="003359A9">
        <w:rPr>
          <w:b/>
          <w:color w:val="2369B5"/>
          <w:sz w:val="30"/>
          <w:szCs w:val="30"/>
          <w:u w:val="single"/>
        </w:rPr>
        <w:t xml:space="preserve">NIR </w:t>
      </w:r>
      <w:r>
        <w:rPr>
          <w:b/>
          <w:color w:val="2369B5"/>
          <w:sz w:val="30"/>
          <w:szCs w:val="30"/>
          <w:u w:val="single"/>
        </w:rPr>
        <w:t xml:space="preserve">Basic with </w:t>
      </w:r>
      <w:r w:rsidRPr="003359A9">
        <w:rPr>
          <w:b/>
          <w:color w:val="2369B5"/>
          <w:sz w:val="30"/>
          <w:szCs w:val="30"/>
          <w:u w:val="single"/>
        </w:rPr>
        <w:t xml:space="preserve">Wet Chemistry CP, ADF, NDF </w:t>
      </w:r>
      <w:r w:rsidR="00A066C9">
        <w:rPr>
          <w:b/>
          <w:color w:val="2369B5"/>
          <w:sz w:val="30"/>
          <w:szCs w:val="30"/>
          <w:u w:val="single"/>
        </w:rPr>
        <w:t>*</w:t>
      </w:r>
      <w:r w:rsidR="00A066C9">
        <w:rPr>
          <w:b/>
          <w:color w:val="2369B5"/>
          <w:sz w:val="30"/>
          <w:szCs w:val="30"/>
          <w:u w:val="single"/>
        </w:rPr>
        <w:tab/>
      </w:r>
      <w:r>
        <w:rPr>
          <w:b/>
          <w:color w:val="2369B5"/>
          <w:sz w:val="30"/>
          <w:szCs w:val="30"/>
          <w:u w:val="single"/>
        </w:rPr>
        <w:tab/>
      </w:r>
      <w:r>
        <w:rPr>
          <w:b/>
          <w:color w:val="2369B5"/>
          <w:sz w:val="30"/>
          <w:szCs w:val="30"/>
          <w:u w:val="single"/>
        </w:rPr>
        <w:tab/>
      </w:r>
      <w:r>
        <w:rPr>
          <w:b/>
          <w:color w:val="2369B5"/>
          <w:sz w:val="30"/>
          <w:szCs w:val="30"/>
          <w:u w:val="single"/>
        </w:rPr>
        <w:tab/>
        <w:t xml:space="preserve">        $</w:t>
      </w:r>
      <w:r w:rsidR="001C76B7">
        <w:rPr>
          <w:b/>
          <w:color w:val="2369B5"/>
          <w:sz w:val="30"/>
          <w:szCs w:val="30"/>
          <w:u w:val="single"/>
        </w:rPr>
        <w:t>41.</w:t>
      </w:r>
      <w:r>
        <w:rPr>
          <w:b/>
          <w:color w:val="2369B5"/>
          <w:sz w:val="30"/>
          <w:szCs w:val="30"/>
          <w:u w:val="single"/>
        </w:rPr>
        <w:t>0</w:t>
      </w:r>
      <w:r w:rsidR="001C76B7">
        <w:rPr>
          <w:b/>
          <w:color w:val="2369B5"/>
          <w:sz w:val="30"/>
          <w:szCs w:val="30"/>
          <w:u w:val="single"/>
        </w:rPr>
        <w:t>0</w:t>
      </w:r>
      <w:r>
        <w:rPr>
          <w:b/>
          <w:color w:val="2369B5"/>
          <w:sz w:val="30"/>
          <w:szCs w:val="30"/>
          <w:u w:val="single"/>
        </w:rPr>
        <w:t xml:space="preserve">     </w:t>
      </w:r>
      <w:r w:rsidRPr="003359A9">
        <w:rPr>
          <w:b/>
          <w:color w:val="2369B5"/>
          <w:sz w:val="30"/>
          <w:szCs w:val="30"/>
          <w:u w:val="single"/>
        </w:rPr>
        <w:t xml:space="preserve">                                                                       </w:t>
      </w:r>
      <w:r>
        <w:rPr>
          <w:b/>
          <w:color w:val="2369B5"/>
          <w:sz w:val="30"/>
          <w:szCs w:val="30"/>
          <w:u w:val="single"/>
        </w:rPr>
        <w:t xml:space="preserve">                                </w:t>
      </w:r>
    </w:p>
    <w:p w14:paraId="2A8D759B" w14:textId="77777777" w:rsidR="00EB386B" w:rsidRPr="009F4C44" w:rsidRDefault="00EB386B" w:rsidP="00EB386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Includes all analysis listed under NIR Basic</w:t>
      </w:r>
      <w:r w:rsidRPr="009F4C44">
        <w:rPr>
          <w:sz w:val="26"/>
          <w:szCs w:val="26"/>
        </w:rPr>
        <w:t xml:space="preserve">, except Crude Protein (CP), </w:t>
      </w:r>
      <w:r>
        <w:rPr>
          <w:sz w:val="26"/>
          <w:szCs w:val="26"/>
        </w:rPr>
        <w:t xml:space="preserve">Acid Detergent Fiber (ADF), and </w:t>
      </w:r>
      <w:r w:rsidRPr="009F4C44">
        <w:rPr>
          <w:sz w:val="26"/>
          <w:szCs w:val="26"/>
        </w:rPr>
        <w:t xml:space="preserve">Neutral Detergent </w:t>
      </w:r>
      <w:r w:rsidR="00A066C9">
        <w:rPr>
          <w:sz w:val="26"/>
          <w:szCs w:val="26"/>
        </w:rPr>
        <w:t>Fiber</w:t>
      </w:r>
      <w:r w:rsidRPr="009F4C44">
        <w:rPr>
          <w:sz w:val="26"/>
          <w:szCs w:val="26"/>
        </w:rPr>
        <w:t xml:space="preserve"> (NDF) are</w:t>
      </w:r>
      <w:r>
        <w:rPr>
          <w:sz w:val="26"/>
          <w:szCs w:val="26"/>
        </w:rPr>
        <w:t xml:space="preserve"> </w:t>
      </w:r>
      <w:r w:rsidRPr="009F4C44">
        <w:rPr>
          <w:sz w:val="26"/>
          <w:szCs w:val="26"/>
        </w:rPr>
        <w:t xml:space="preserve">analyzed using Wet Chemistry methods </w:t>
      </w:r>
      <w:r>
        <w:rPr>
          <w:sz w:val="26"/>
          <w:szCs w:val="26"/>
        </w:rPr>
        <w:t xml:space="preserve">instead of </w:t>
      </w:r>
      <w:r w:rsidRPr="009F4C44">
        <w:rPr>
          <w:sz w:val="26"/>
          <w:szCs w:val="26"/>
        </w:rPr>
        <w:t>NIR</w:t>
      </w:r>
    </w:p>
    <w:p w14:paraId="0FE58FE8" w14:textId="77777777" w:rsidR="00EB386B" w:rsidRPr="0011564C" w:rsidRDefault="00EB386B" w:rsidP="0011564C">
      <w:pPr>
        <w:spacing w:after="0" w:line="240" w:lineRule="auto"/>
      </w:pPr>
    </w:p>
    <w:sectPr w:rsidR="00EB386B" w:rsidRPr="0011564C" w:rsidSect="0011564C">
      <w:footerReference w:type="default" r:id="rId8"/>
      <w:pgSz w:w="12240" w:h="15840"/>
      <w:pgMar w:top="1440" w:right="1440" w:bottom="720" w:left="1440" w:header="720" w:footer="720" w:gutter="0"/>
      <w:pgBorders w:offsetFrom="page">
        <w:top w:val="single" w:sz="18" w:space="24" w:color="2369B5" w:shadow="1"/>
        <w:left w:val="single" w:sz="18" w:space="24" w:color="2369B5" w:shadow="1"/>
        <w:bottom w:val="single" w:sz="18" w:space="24" w:color="2369B5" w:shadow="1"/>
        <w:right w:val="single" w:sz="18" w:space="24" w:color="2369B5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FDF4F" w14:textId="77777777" w:rsidR="00C3292B" w:rsidRDefault="00C3292B" w:rsidP="00F1573B">
      <w:pPr>
        <w:spacing w:after="0" w:line="240" w:lineRule="auto"/>
      </w:pPr>
      <w:r>
        <w:separator/>
      </w:r>
    </w:p>
  </w:endnote>
  <w:endnote w:type="continuationSeparator" w:id="0">
    <w:p w14:paraId="51024056" w14:textId="77777777" w:rsidR="00C3292B" w:rsidRDefault="00C3292B" w:rsidP="00F1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8376F" w14:textId="77777777" w:rsidR="00C3292B" w:rsidRDefault="00C3292B" w:rsidP="00C361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30FA0" w14:textId="77777777" w:rsidR="00C3292B" w:rsidRDefault="00C3292B" w:rsidP="00F1573B">
      <w:pPr>
        <w:spacing w:after="0" w:line="240" w:lineRule="auto"/>
      </w:pPr>
      <w:r>
        <w:separator/>
      </w:r>
    </w:p>
  </w:footnote>
  <w:footnote w:type="continuationSeparator" w:id="0">
    <w:p w14:paraId="2A269226" w14:textId="77777777" w:rsidR="00C3292B" w:rsidRDefault="00C3292B" w:rsidP="00F1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EF"/>
    <w:rsid w:val="0000223C"/>
    <w:rsid w:val="0000309D"/>
    <w:rsid w:val="00007CB4"/>
    <w:rsid w:val="00013F7D"/>
    <w:rsid w:val="00017DD5"/>
    <w:rsid w:val="000309B4"/>
    <w:rsid w:val="00031FA5"/>
    <w:rsid w:val="00032457"/>
    <w:rsid w:val="00033315"/>
    <w:rsid w:val="000345BA"/>
    <w:rsid w:val="00034756"/>
    <w:rsid w:val="00035C19"/>
    <w:rsid w:val="0004463B"/>
    <w:rsid w:val="000454A3"/>
    <w:rsid w:val="00061A48"/>
    <w:rsid w:val="00061D01"/>
    <w:rsid w:val="000649BA"/>
    <w:rsid w:val="00065F10"/>
    <w:rsid w:val="000733C7"/>
    <w:rsid w:val="000762D0"/>
    <w:rsid w:val="00080C26"/>
    <w:rsid w:val="000825E8"/>
    <w:rsid w:val="00091362"/>
    <w:rsid w:val="000A13F0"/>
    <w:rsid w:val="000A721B"/>
    <w:rsid w:val="000A7360"/>
    <w:rsid w:val="000C1309"/>
    <w:rsid w:val="000C139F"/>
    <w:rsid w:val="000C16EE"/>
    <w:rsid w:val="000C3FBE"/>
    <w:rsid w:val="000D25B8"/>
    <w:rsid w:val="000D548E"/>
    <w:rsid w:val="000D5BC6"/>
    <w:rsid w:val="000D79A0"/>
    <w:rsid w:val="000E33B5"/>
    <w:rsid w:val="000E427A"/>
    <w:rsid w:val="000F08B7"/>
    <w:rsid w:val="000F5BF8"/>
    <w:rsid w:val="000F609E"/>
    <w:rsid w:val="00105193"/>
    <w:rsid w:val="001075D1"/>
    <w:rsid w:val="0011564C"/>
    <w:rsid w:val="00115845"/>
    <w:rsid w:val="001211FA"/>
    <w:rsid w:val="00125AFC"/>
    <w:rsid w:val="00127638"/>
    <w:rsid w:val="0013161A"/>
    <w:rsid w:val="001320E1"/>
    <w:rsid w:val="00135D5B"/>
    <w:rsid w:val="0014137E"/>
    <w:rsid w:val="001465E2"/>
    <w:rsid w:val="001478DB"/>
    <w:rsid w:val="001557D9"/>
    <w:rsid w:val="00166492"/>
    <w:rsid w:val="001678D3"/>
    <w:rsid w:val="00177523"/>
    <w:rsid w:val="00184496"/>
    <w:rsid w:val="00186370"/>
    <w:rsid w:val="00186DBC"/>
    <w:rsid w:val="00192524"/>
    <w:rsid w:val="00196CDB"/>
    <w:rsid w:val="001A0669"/>
    <w:rsid w:val="001A1CBB"/>
    <w:rsid w:val="001A3B35"/>
    <w:rsid w:val="001C216F"/>
    <w:rsid w:val="001C359A"/>
    <w:rsid w:val="001C55C9"/>
    <w:rsid w:val="001C76B7"/>
    <w:rsid w:val="001D6C20"/>
    <w:rsid w:val="001E0630"/>
    <w:rsid w:val="001E0FCC"/>
    <w:rsid w:val="001E2719"/>
    <w:rsid w:val="001E3DD3"/>
    <w:rsid w:val="001F7161"/>
    <w:rsid w:val="00200B67"/>
    <w:rsid w:val="00207400"/>
    <w:rsid w:val="00220B39"/>
    <w:rsid w:val="00225464"/>
    <w:rsid w:val="002316F5"/>
    <w:rsid w:val="002337A0"/>
    <w:rsid w:val="002341E6"/>
    <w:rsid w:val="00236ABC"/>
    <w:rsid w:val="00237549"/>
    <w:rsid w:val="0023793E"/>
    <w:rsid w:val="0024072C"/>
    <w:rsid w:val="0024494F"/>
    <w:rsid w:val="00253A6D"/>
    <w:rsid w:val="0025441B"/>
    <w:rsid w:val="00266D77"/>
    <w:rsid w:val="00274936"/>
    <w:rsid w:val="002857C3"/>
    <w:rsid w:val="002876BD"/>
    <w:rsid w:val="00290EF9"/>
    <w:rsid w:val="00293237"/>
    <w:rsid w:val="00295026"/>
    <w:rsid w:val="002A01B9"/>
    <w:rsid w:val="002A2A90"/>
    <w:rsid w:val="002A3EBE"/>
    <w:rsid w:val="002A624D"/>
    <w:rsid w:val="002B0521"/>
    <w:rsid w:val="002B57BD"/>
    <w:rsid w:val="002B5A8F"/>
    <w:rsid w:val="002C0871"/>
    <w:rsid w:val="002C33A2"/>
    <w:rsid w:val="002C71B1"/>
    <w:rsid w:val="002D297A"/>
    <w:rsid w:val="002D2ADD"/>
    <w:rsid w:val="002D5363"/>
    <w:rsid w:val="002E189F"/>
    <w:rsid w:val="002E44CC"/>
    <w:rsid w:val="002E5849"/>
    <w:rsid w:val="002E5988"/>
    <w:rsid w:val="002F1D6A"/>
    <w:rsid w:val="002F6215"/>
    <w:rsid w:val="00302433"/>
    <w:rsid w:val="0030658E"/>
    <w:rsid w:val="003162E9"/>
    <w:rsid w:val="00316347"/>
    <w:rsid w:val="00320633"/>
    <w:rsid w:val="00320FB4"/>
    <w:rsid w:val="00321D60"/>
    <w:rsid w:val="0032236D"/>
    <w:rsid w:val="00333238"/>
    <w:rsid w:val="003359A9"/>
    <w:rsid w:val="00336A23"/>
    <w:rsid w:val="00337C67"/>
    <w:rsid w:val="003400D2"/>
    <w:rsid w:val="0034470B"/>
    <w:rsid w:val="00345204"/>
    <w:rsid w:val="0036009A"/>
    <w:rsid w:val="003635FA"/>
    <w:rsid w:val="003701F7"/>
    <w:rsid w:val="003715E3"/>
    <w:rsid w:val="00384BF1"/>
    <w:rsid w:val="003851E9"/>
    <w:rsid w:val="003870DF"/>
    <w:rsid w:val="0039029A"/>
    <w:rsid w:val="00390C5E"/>
    <w:rsid w:val="0039763E"/>
    <w:rsid w:val="003A32C6"/>
    <w:rsid w:val="003A5891"/>
    <w:rsid w:val="003B02B2"/>
    <w:rsid w:val="003B3EA4"/>
    <w:rsid w:val="003B7A46"/>
    <w:rsid w:val="003C043C"/>
    <w:rsid w:val="003C1099"/>
    <w:rsid w:val="003C7A27"/>
    <w:rsid w:val="003D22AD"/>
    <w:rsid w:val="003D2694"/>
    <w:rsid w:val="003D4D05"/>
    <w:rsid w:val="003D5063"/>
    <w:rsid w:val="003D665B"/>
    <w:rsid w:val="003E7000"/>
    <w:rsid w:val="003F3EF8"/>
    <w:rsid w:val="003F43D2"/>
    <w:rsid w:val="003F754F"/>
    <w:rsid w:val="00406437"/>
    <w:rsid w:val="0041677D"/>
    <w:rsid w:val="00416A27"/>
    <w:rsid w:val="00423FA5"/>
    <w:rsid w:val="004437F4"/>
    <w:rsid w:val="00450129"/>
    <w:rsid w:val="00457AF5"/>
    <w:rsid w:val="00465AF1"/>
    <w:rsid w:val="004664BA"/>
    <w:rsid w:val="0047084C"/>
    <w:rsid w:val="0047154D"/>
    <w:rsid w:val="00486FB0"/>
    <w:rsid w:val="004929A2"/>
    <w:rsid w:val="004956D2"/>
    <w:rsid w:val="004A1540"/>
    <w:rsid w:val="004A5E6B"/>
    <w:rsid w:val="004B5489"/>
    <w:rsid w:val="004C000D"/>
    <w:rsid w:val="004C05D3"/>
    <w:rsid w:val="004C4CE1"/>
    <w:rsid w:val="004C6270"/>
    <w:rsid w:val="004C6B91"/>
    <w:rsid w:val="004C7EDD"/>
    <w:rsid w:val="004D39A8"/>
    <w:rsid w:val="004E01E3"/>
    <w:rsid w:val="004E091F"/>
    <w:rsid w:val="004E134B"/>
    <w:rsid w:val="004E6B31"/>
    <w:rsid w:val="004F3188"/>
    <w:rsid w:val="00505A8F"/>
    <w:rsid w:val="00512754"/>
    <w:rsid w:val="00514FE3"/>
    <w:rsid w:val="005241AC"/>
    <w:rsid w:val="005241CD"/>
    <w:rsid w:val="00531618"/>
    <w:rsid w:val="00531E93"/>
    <w:rsid w:val="00536F89"/>
    <w:rsid w:val="00547060"/>
    <w:rsid w:val="0054744A"/>
    <w:rsid w:val="0056348B"/>
    <w:rsid w:val="00565845"/>
    <w:rsid w:val="00566001"/>
    <w:rsid w:val="00571CB2"/>
    <w:rsid w:val="0057486C"/>
    <w:rsid w:val="005815A5"/>
    <w:rsid w:val="00581797"/>
    <w:rsid w:val="0059089A"/>
    <w:rsid w:val="005942A7"/>
    <w:rsid w:val="00597E88"/>
    <w:rsid w:val="005A015D"/>
    <w:rsid w:val="005A31EA"/>
    <w:rsid w:val="005A37B7"/>
    <w:rsid w:val="005B07D0"/>
    <w:rsid w:val="005C1D3F"/>
    <w:rsid w:val="005C2469"/>
    <w:rsid w:val="005C671C"/>
    <w:rsid w:val="005E34C7"/>
    <w:rsid w:val="005F5EFE"/>
    <w:rsid w:val="005F7178"/>
    <w:rsid w:val="006030BF"/>
    <w:rsid w:val="006042B0"/>
    <w:rsid w:val="00606B06"/>
    <w:rsid w:val="0061104D"/>
    <w:rsid w:val="00611270"/>
    <w:rsid w:val="0061468C"/>
    <w:rsid w:val="006359D3"/>
    <w:rsid w:val="00635F05"/>
    <w:rsid w:val="00636392"/>
    <w:rsid w:val="0063691F"/>
    <w:rsid w:val="006454D7"/>
    <w:rsid w:val="006479EB"/>
    <w:rsid w:val="0065056E"/>
    <w:rsid w:val="006508D2"/>
    <w:rsid w:val="006536AE"/>
    <w:rsid w:val="006564FD"/>
    <w:rsid w:val="00666AB2"/>
    <w:rsid w:val="0067276A"/>
    <w:rsid w:val="006760F2"/>
    <w:rsid w:val="00676740"/>
    <w:rsid w:val="00677D7D"/>
    <w:rsid w:val="00677FAC"/>
    <w:rsid w:val="006824B6"/>
    <w:rsid w:val="00682AE7"/>
    <w:rsid w:val="0068382A"/>
    <w:rsid w:val="00685933"/>
    <w:rsid w:val="00686C41"/>
    <w:rsid w:val="0069692F"/>
    <w:rsid w:val="006A18A6"/>
    <w:rsid w:val="006A2ECB"/>
    <w:rsid w:val="006A4C82"/>
    <w:rsid w:val="006A62CA"/>
    <w:rsid w:val="006A6C39"/>
    <w:rsid w:val="006A7019"/>
    <w:rsid w:val="006A7D6C"/>
    <w:rsid w:val="006B39F2"/>
    <w:rsid w:val="006C4535"/>
    <w:rsid w:val="006C6803"/>
    <w:rsid w:val="006C77B3"/>
    <w:rsid w:val="006D1B93"/>
    <w:rsid w:val="006D42E8"/>
    <w:rsid w:val="006D5538"/>
    <w:rsid w:val="006F7AFF"/>
    <w:rsid w:val="007000CC"/>
    <w:rsid w:val="007010A5"/>
    <w:rsid w:val="0070179C"/>
    <w:rsid w:val="00707362"/>
    <w:rsid w:val="00710D96"/>
    <w:rsid w:val="0071225F"/>
    <w:rsid w:val="007127CB"/>
    <w:rsid w:val="00713136"/>
    <w:rsid w:val="007143A0"/>
    <w:rsid w:val="007221FE"/>
    <w:rsid w:val="00724717"/>
    <w:rsid w:val="007463C7"/>
    <w:rsid w:val="00750DA9"/>
    <w:rsid w:val="0075196F"/>
    <w:rsid w:val="0075357E"/>
    <w:rsid w:val="00754213"/>
    <w:rsid w:val="00760E48"/>
    <w:rsid w:val="00764528"/>
    <w:rsid w:val="00766E48"/>
    <w:rsid w:val="00770126"/>
    <w:rsid w:val="007801A1"/>
    <w:rsid w:val="00786BBA"/>
    <w:rsid w:val="00787244"/>
    <w:rsid w:val="007952A5"/>
    <w:rsid w:val="007A17BD"/>
    <w:rsid w:val="007A3408"/>
    <w:rsid w:val="007B33C1"/>
    <w:rsid w:val="007B7655"/>
    <w:rsid w:val="007D3DFA"/>
    <w:rsid w:val="007D47CA"/>
    <w:rsid w:val="007D4B5E"/>
    <w:rsid w:val="007D5861"/>
    <w:rsid w:val="007D6B59"/>
    <w:rsid w:val="007E5A72"/>
    <w:rsid w:val="007F285B"/>
    <w:rsid w:val="007F7E42"/>
    <w:rsid w:val="008018A9"/>
    <w:rsid w:val="00801CEC"/>
    <w:rsid w:val="00805278"/>
    <w:rsid w:val="00805EB4"/>
    <w:rsid w:val="00807A74"/>
    <w:rsid w:val="0081319E"/>
    <w:rsid w:val="008166A7"/>
    <w:rsid w:val="0082150F"/>
    <w:rsid w:val="00824DAB"/>
    <w:rsid w:val="008254AF"/>
    <w:rsid w:val="0083546C"/>
    <w:rsid w:val="00841F06"/>
    <w:rsid w:val="00842256"/>
    <w:rsid w:val="0084270A"/>
    <w:rsid w:val="00845C86"/>
    <w:rsid w:val="0084697D"/>
    <w:rsid w:val="008518DB"/>
    <w:rsid w:val="0086262F"/>
    <w:rsid w:val="00864222"/>
    <w:rsid w:val="008651A0"/>
    <w:rsid w:val="008654EE"/>
    <w:rsid w:val="008663EE"/>
    <w:rsid w:val="00866B66"/>
    <w:rsid w:val="008670FA"/>
    <w:rsid w:val="00873774"/>
    <w:rsid w:val="00875241"/>
    <w:rsid w:val="00880D0E"/>
    <w:rsid w:val="00886BD6"/>
    <w:rsid w:val="0089395A"/>
    <w:rsid w:val="008944F4"/>
    <w:rsid w:val="00894D0B"/>
    <w:rsid w:val="008A11C6"/>
    <w:rsid w:val="008A23D3"/>
    <w:rsid w:val="008D3606"/>
    <w:rsid w:val="008D3941"/>
    <w:rsid w:val="008D7D75"/>
    <w:rsid w:val="008E1B9D"/>
    <w:rsid w:val="008E72E5"/>
    <w:rsid w:val="008F2601"/>
    <w:rsid w:val="008F65BE"/>
    <w:rsid w:val="0090348E"/>
    <w:rsid w:val="00903B8D"/>
    <w:rsid w:val="00906EA6"/>
    <w:rsid w:val="00912F19"/>
    <w:rsid w:val="0092686E"/>
    <w:rsid w:val="00931B8E"/>
    <w:rsid w:val="00934784"/>
    <w:rsid w:val="0093784A"/>
    <w:rsid w:val="00941FA2"/>
    <w:rsid w:val="009551D7"/>
    <w:rsid w:val="0095652A"/>
    <w:rsid w:val="00965D5D"/>
    <w:rsid w:val="00970936"/>
    <w:rsid w:val="0097192D"/>
    <w:rsid w:val="009764DA"/>
    <w:rsid w:val="009766FF"/>
    <w:rsid w:val="00986CEF"/>
    <w:rsid w:val="0099064B"/>
    <w:rsid w:val="00992A18"/>
    <w:rsid w:val="00994508"/>
    <w:rsid w:val="009A0A87"/>
    <w:rsid w:val="009A201A"/>
    <w:rsid w:val="009A287C"/>
    <w:rsid w:val="009A5330"/>
    <w:rsid w:val="009A58EA"/>
    <w:rsid w:val="009A7466"/>
    <w:rsid w:val="009B1CA2"/>
    <w:rsid w:val="009D0E96"/>
    <w:rsid w:val="009D4D47"/>
    <w:rsid w:val="009D5B34"/>
    <w:rsid w:val="009F03C8"/>
    <w:rsid w:val="009F18E0"/>
    <w:rsid w:val="009F475B"/>
    <w:rsid w:val="009F4C44"/>
    <w:rsid w:val="009F5571"/>
    <w:rsid w:val="00A053A5"/>
    <w:rsid w:val="00A0608F"/>
    <w:rsid w:val="00A066C9"/>
    <w:rsid w:val="00A11073"/>
    <w:rsid w:val="00A1510C"/>
    <w:rsid w:val="00A16C2B"/>
    <w:rsid w:val="00A3029C"/>
    <w:rsid w:val="00A31755"/>
    <w:rsid w:val="00A36DFF"/>
    <w:rsid w:val="00A37D16"/>
    <w:rsid w:val="00A41F8F"/>
    <w:rsid w:val="00A52208"/>
    <w:rsid w:val="00A5453C"/>
    <w:rsid w:val="00A63C5B"/>
    <w:rsid w:val="00A654D4"/>
    <w:rsid w:val="00A669CD"/>
    <w:rsid w:val="00A674D8"/>
    <w:rsid w:val="00A67B36"/>
    <w:rsid w:val="00A7238F"/>
    <w:rsid w:val="00A743FA"/>
    <w:rsid w:val="00A75236"/>
    <w:rsid w:val="00A8213C"/>
    <w:rsid w:val="00A84251"/>
    <w:rsid w:val="00A8642A"/>
    <w:rsid w:val="00A86B26"/>
    <w:rsid w:val="00A93EA6"/>
    <w:rsid w:val="00AA50F6"/>
    <w:rsid w:val="00AA624A"/>
    <w:rsid w:val="00AA76FF"/>
    <w:rsid w:val="00AB16BC"/>
    <w:rsid w:val="00AB1A01"/>
    <w:rsid w:val="00AB1D4A"/>
    <w:rsid w:val="00AB21E3"/>
    <w:rsid w:val="00AB35AE"/>
    <w:rsid w:val="00AB5E44"/>
    <w:rsid w:val="00AC26B3"/>
    <w:rsid w:val="00AC668E"/>
    <w:rsid w:val="00AD2DD9"/>
    <w:rsid w:val="00AD3386"/>
    <w:rsid w:val="00AD52F9"/>
    <w:rsid w:val="00AE1D16"/>
    <w:rsid w:val="00AE6D0B"/>
    <w:rsid w:val="00AE7558"/>
    <w:rsid w:val="00AF6B22"/>
    <w:rsid w:val="00B04726"/>
    <w:rsid w:val="00B0575E"/>
    <w:rsid w:val="00B13645"/>
    <w:rsid w:val="00B17048"/>
    <w:rsid w:val="00B25A20"/>
    <w:rsid w:val="00B32CF2"/>
    <w:rsid w:val="00B33CE5"/>
    <w:rsid w:val="00B34DF2"/>
    <w:rsid w:val="00B3505B"/>
    <w:rsid w:val="00B459BE"/>
    <w:rsid w:val="00B46D76"/>
    <w:rsid w:val="00B51819"/>
    <w:rsid w:val="00B5386D"/>
    <w:rsid w:val="00B64EBB"/>
    <w:rsid w:val="00B656FB"/>
    <w:rsid w:val="00B75019"/>
    <w:rsid w:val="00B8004E"/>
    <w:rsid w:val="00B859D6"/>
    <w:rsid w:val="00B91CD2"/>
    <w:rsid w:val="00B91EC0"/>
    <w:rsid w:val="00B9552C"/>
    <w:rsid w:val="00B97356"/>
    <w:rsid w:val="00BA055C"/>
    <w:rsid w:val="00BB2A46"/>
    <w:rsid w:val="00BB606B"/>
    <w:rsid w:val="00BC4ABF"/>
    <w:rsid w:val="00BC4E3D"/>
    <w:rsid w:val="00BC7412"/>
    <w:rsid w:val="00BD0134"/>
    <w:rsid w:val="00BD014C"/>
    <w:rsid w:val="00BE034A"/>
    <w:rsid w:val="00BE3D16"/>
    <w:rsid w:val="00BE4AB1"/>
    <w:rsid w:val="00BE7A9B"/>
    <w:rsid w:val="00BF0E96"/>
    <w:rsid w:val="00C045E0"/>
    <w:rsid w:val="00C10858"/>
    <w:rsid w:val="00C13F34"/>
    <w:rsid w:val="00C15CEA"/>
    <w:rsid w:val="00C2701E"/>
    <w:rsid w:val="00C272A5"/>
    <w:rsid w:val="00C3292B"/>
    <w:rsid w:val="00C361CD"/>
    <w:rsid w:val="00C3633B"/>
    <w:rsid w:val="00C419FA"/>
    <w:rsid w:val="00C43A61"/>
    <w:rsid w:val="00C44833"/>
    <w:rsid w:val="00C4767B"/>
    <w:rsid w:val="00C476D2"/>
    <w:rsid w:val="00C50F53"/>
    <w:rsid w:val="00C523C1"/>
    <w:rsid w:val="00C52F96"/>
    <w:rsid w:val="00C53E8E"/>
    <w:rsid w:val="00C572FE"/>
    <w:rsid w:val="00C724A3"/>
    <w:rsid w:val="00C865D7"/>
    <w:rsid w:val="00C90988"/>
    <w:rsid w:val="00C951C8"/>
    <w:rsid w:val="00C97BF5"/>
    <w:rsid w:val="00CA5BBA"/>
    <w:rsid w:val="00CA77E8"/>
    <w:rsid w:val="00CA7921"/>
    <w:rsid w:val="00CB116B"/>
    <w:rsid w:val="00CB2487"/>
    <w:rsid w:val="00CB58A1"/>
    <w:rsid w:val="00CB5C99"/>
    <w:rsid w:val="00CC78F8"/>
    <w:rsid w:val="00CD6017"/>
    <w:rsid w:val="00CD7CF8"/>
    <w:rsid w:val="00CF1D0B"/>
    <w:rsid w:val="00D041B6"/>
    <w:rsid w:val="00D114C3"/>
    <w:rsid w:val="00D17949"/>
    <w:rsid w:val="00D27033"/>
    <w:rsid w:val="00D30039"/>
    <w:rsid w:val="00D30B01"/>
    <w:rsid w:val="00D33BB4"/>
    <w:rsid w:val="00D47EF6"/>
    <w:rsid w:val="00D51B3E"/>
    <w:rsid w:val="00D524FA"/>
    <w:rsid w:val="00D604BF"/>
    <w:rsid w:val="00D70AEB"/>
    <w:rsid w:val="00D7192F"/>
    <w:rsid w:val="00D846A3"/>
    <w:rsid w:val="00D86257"/>
    <w:rsid w:val="00D86733"/>
    <w:rsid w:val="00D94E68"/>
    <w:rsid w:val="00DA1866"/>
    <w:rsid w:val="00DA242F"/>
    <w:rsid w:val="00DA6A88"/>
    <w:rsid w:val="00DB7CA5"/>
    <w:rsid w:val="00DC02CB"/>
    <w:rsid w:val="00DC420B"/>
    <w:rsid w:val="00DD41D7"/>
    <w:rsid w:val="00DD58CB"/>
    <w:rsid w:val="00DE0110"/>
    <w:rsid w:val="00DE231F"/>
    <w:rsid w:val="00DE2A5A"/>
    <w:rsid w:val="00DE7052"/>
    <w:rsid w:val="00DF04CD"/>
    <w:rsid w:val="00DF0DEF"/>
    <w:rsid w:val="00DF24A5"/>
    <w:rsid w:val="00DF73CB"/>
    <w:rsid w:val="00E028D9"/>
    <w:rsid w:val="00E05557"/>
    <w:rsid w:val="00E15604"/>
    <w:rsid w:val="00E1668B"/>
    <w:rsid w:val="00E239ED"/>
    <w:rsid w:val="00E25B59"/>
    <w:rsid w:val="00E270F8"/>
    <w:rsid w:val="00E35A66"/>
    <w:rsid w:val="00E40695"/>
    <w:rsid w:val="00E44235"/>
    <w:rsid w:val="00E4560C"/>
    <w:rsid w:val="00E50471"/>
    <w:rsid w:val="00E51EBC"/>
    <w:rsid w:val="00E52EB6"/>
    <w:rsid w:val="00E60E33"/>
    <w:rsid w:val="00E70055"/>
    <w:rsid w:val="00E70640"/>
    <w:rsid w:val="00E72E28"/>
    <w:rsid w:val="00E85682"/>
    <w:rsid w:val="00E86445"/>
    <w:rsid w:val="00E870F0"/>
    <w:rsid w:val="00E9011A"/>
    <w:rsid w:val="00E9453C"/>
    <w:rsid w:val="00EA5B3E"/>
    <w:rsid w:val="00EA79FB"/>
    <w:rsid w:val="00EB1137"/>
    <w:rsid w:val="00EB386B"/>
    <w:rsid w:val="00EB3BBC"/>
    <w:rsid w:val="00EC27A7"/>
    <w:rsid w:val="00EC5A1C"/>
    <w:rsid w:val="00EC7EFF"/>
    <w:rsid w:val="00ED6373"/>
    <w:rsid w:val="00ED708B"/>
    <w:rsid w:val="00F04F35"/>
    <w:rsid w:val="00F059A5"/>
    <w:rsid w:val="00F11487"/>
    <w:rsid w:val="00F11697"/>
    <w:rsid w:val="00F1573B"/>
    <w:rsid w:val="00F3421B"/>
    <w:rsid w:val="00F34FC6"/>
    <w:rsid w:val="00F40811"/>
    <w:rsid w:val="00F45CC3"/>
    <w:rsid w:val="00F5242A"/>
    <w:rsid w:val="00F5536A"/>
    <w:rsid w:val="00F56574"/>
    <w:rsid w:val="00F56F75"/>
    <w:rsid w:val="00F65AA6"/>
    <w:rsid w:val="00F66BDA"/>
    <w:rsid w:val="00F706BF"/>
    <w:rsid w:val="00F72A96"/>
    <w:rsid w:val="00F72B1F"/>
    <w:rsid w:val="00F72FF7"/>
    <w:rsid w:val="00F73112"/>
    <w:rsid w:val="00F73998"/>
    <w:rsid w:val="00F76DB3"/>
    <w:rsid w:val="00F81429"/>
    <w:rsid w:val="00F8331D"/>
    <w:rsid w:val="00F963AC"/>
    <w:rsid w:val="00FA0EA9"/>
    <w:rsid w:val="00FA21C6"/>
    <w:rsid w:val="00FB4924"/>
    <w:rsid w:val="00FB71C7"/>
    <w:rsid w:val="00FC0DDA"/>
    <w:rsid w:val="00FC0E22"/>
    <w:rsid w:val="00FC113B"/>
    <w:rsid w:val="00FC3EA4"/>
    <w:rsid w:val="00FC40C1"/>
    <w:rsid w:val="00FC684D"/>
    <w:rsid w:val="00FD53FE"/>
    <w:rsid w:val="00FE313C"/>
    <w:rsid w:val="00FE5392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FC443E2"/>
  <w15:docId w15:val="{AEBD5DAF-7FF3-4FF3-A537-B817FD3E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5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73B"/>
  </w:style>
  <w:style w:type="paragraph" w:styleId="Footer">
    <w:name w:val="footer"/>
    <w:basedOn w:val="Normal"/>
    <w:link w:val="FooterChar"/>
    <w:uiPriority w:val="99"/>
    <w:semiHidden/>
    <w:unhideWhenUsed/>
    <w:rsid w:val="00F15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73B"/>
  </w:style>
  <w:style w:type="paragraph" w:styleId="BalloonText">
    <w:name w:val="Balloon Text"/>
    <w:basedOn w:val="Normal"/>
    <w:link w:val="BalloonTextChar"/>
    <w:uiPriority w:val="99"/>
    <w:semiHidden/>
    <w:unhideWhenUsed/>
    <w:rsid w:val="00F1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71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1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71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C11D3-941B-4D3D-BA00-42DAAAAA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</dc:creator>
  <cp:lastModifiedBy>Madison Door</cp:lastModifiedBy>
  <cp:revision>5</cp:revision>
  <cp:lastPrinted>2017-04-12T22:59:00Z</cp:lastPrinted>
  <dcterms:created xsi:type="dcterms:W3CDTF">2017-04-13T16:42:00Z</dcterms:created>
  <dcterms:modified xsi:type="dcterms:W3CDTF">2021-07-14T21:13:00Z</dcterms:modified>
</cp:coreProperties>
</file>