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1B" w:rsidRDefault="00DD721B"/>
    <w:p w:rsidR="00FA6489" w:rsidRPr="00075491" w:rsidRDefault="00FA6489" w:rsidP="00075491">
      <w:pPr>
        <w:jc w:val="center"/>
        <w:rPr>
          <w:b/>
          <w:sz w:val="32"/>
        </w:rPr>
      </w:pPr>
      <w:r w:rsidRPr="00075491">
        <w:rPr>
          <w:b/>
          <w:sz w:val="32"/>
        </w:rPr>
        <w:t xml:space="preserve">Violation </w:t>
      </w:r>
      <w:r w:rsidR="000D60F5" w:rsidRPr="00075491">
        <w:rPr>
          <w:b/>
          <w:sz w:val="32"/>
        </w:rPr>
        <w:t>Policy</w:t>
      </w:r>
      <w:r w:rsidRPr="00075491">
        <w:rPr>
          <w:b/>
          <w:sz w:val="32"/>
        </w:rPr>
        <w:t xml:space="preserve"> and Fine Schedule</w:t>
      </w:r>
    </w:p>
    <w:p w:rsidR="00FA6489" w:rsidRDefault="00FA6489" w:rsidP="00FA6489"/>
    <w:p w:rsidR="00FA6489" w:rsidRPr="00075491" w:rsidRDefault="00FA6489" w:rsidP="00FA6489">
      <w:pPr>
        <w:rPr>
          <w:b/>
          <w:sz w:val="24"/>
        </w:rPr>
      </w:pPr>
      <w:r w:rsidRPr="00075491">
        <w:rPr>
          <w:b/>
          <w:sz w:val="24"/>
        </w:rPr>
        <w:t>Background</w:t>
      </w:r>
    </w:p>
    <w:p w:rsidR="00FA6489" w:rsidRDefault="00075491" w:rsidP="00075491">
      <w:r>
        <w:t>The purchase of a parcel within the Wolf Hollow development imposes a legal obligation on all homeowners to adhere to the protective covenants, local regulations, and related policies (</w:t>
      </w:r>
      <w:r w:rsidR="000D60F5">
        <w:t>referred</w:t>
      </w:r>
      <w:r>
        <w:t xml:space="preserve"> to as CCRs from here onward). </w:t>
      </w:r>
      <w:r w:rsidR="00FA6489">
        <w:t xml:space="preserve">The purchase of a home in this development comes with a clear </w:t>
      </w:r>
      <w:r w:rsidR="000D60F5">
        <w:t>expectation</w:t>
      </w:r>
      <w:r w:rsidR="00FA6489">
        <w:t xml:space="preserve"> that all covenant and associated regulations will be enforces on all </w:t>
      </w:r>
      <w:r w:rsidR="000D60F5">
        <w:t>homeowners</w:t>
      </w:r>
      <w:r w:rsidR="00FA6489">
        <w:t xml:space="preserve"> in order to maintain an attractive and well-kept neighborhood with common amenities and, as far as possible, to maintain and/or </w:t>
      </w:r>
      <w:r w:rsidR="000D60F5">
        <w:t>increase</w:t>
      </w:r>
      <w:r w:rsidR="00FA6489">
        <w:t xml:space="preserve"> property values. </w:t>
      </w:r>
    </w:p>
    <w:p w:rsidR="00FA6489" w:rsidRDefault="00FA6489" w:rsidP="00FA6489">
      <w:r>
        <w:t>The Board of</w:t>
      </w:r>
      <w:r w:rsidR="00075491">
        <w:t xml:space="preserve"> Directors (Board) of the Wolf Hollow </w:t>
      </w:r>
      <w:r w:rsidR="000D60F5">
        <w:t>HomeownersAssociation</w:t>
      </w:r>
      <w:r>
        <w:t xml:space="preserve"> (</w:t>
      </w:r>
      <w:r w:rsidR="00075491">
        <w:t>WH</w:t>
      </w:r>
      <w:r>
        <w:t xml:space="preserve">HOA) has a legal obligation to exercise reasonable </w:t>
      </w:r>
      <w:r w:rsidR="000D60F5">
        <w:t>business</w:t>
      </w:r>
      <w:r>
        <w:t xml:space="preserve"> judgement and act in the best interest of the entire community. Th</w:t>
      </w:r>
      <w:r w:rsidR="00075491">
        <w:t>erefore</w:t>
      </w:r>
      <w:r>
        <w:t xml:space="preserve">, the </w:t>
      </w:r>
      <w:r w:rsidR="00075491">
        <w:t xml:space="preserve">WHHOA Board </w:t>
      </w:r>
      <w:r>
        <w:t>members have an affirmative duty to enforce the covenants and policies</w:t>
      </w:r>
      <w:r w:rsidR="00075491">
        <w:t>. However, occasionally</w:t>
      </w:r>
      <w:r>
        <w:t xml:space="preserve"> the only </w:t>
      </w:r>
      <w:r w:rsidR="00075491">
        <w:t xml:space="preserve">practical enforcement tool is monetary </w:t>
      </w:r>
      <w:r w:rsidR="000D60F5">
        <w:t>penalties</w:t>
      </w:r>
      <w:r>
        <w:t xml:space="preserve">or the threat of </w:t>
      </w:r>
      <w:r w:rsidR="00075491">
        <w:t>monetary penalties</w:t>
      </w:r>
      <w:r>
        <w:t xml:space="preserve">. </w:t>
      </w:r>
      <w:r w:rsidR="00075491">
        <w:t xml:space="preserve">The guidelines established in this policy serve to form a framework to ensure </w:t>
      </w:r>
      <w:r>
        <w:t xml:space="preserve">that the </w:t>
      </w:r>
      <w:r w:rsidR="00075491">
        <w:t>Board is</w:t>
      </w:r>
      <w:r>
        <w:t xml:space="preserve"> not capricious, elective, or </w:t>
      </w:r>
      <w:r w:rsidR="000D60F5">
        <w:t>arbitrary</w:t>
      </w:r>
      <w:r>
        <w:t xml:space="preserve"> in enforcing the covenants and related policies.</w:t>
      </w:r>
    </w:p>
    <w:p w:rsidR="00075491" w:rsidRDefault="00075491" w:rsidP="00FA6489"/>
    <w:p w:rsidR="00FA6489" w:rsidRPr="00075491" w:rsidRDefault="00FA6489" w:rsidP="00FA6489">
      <w:pPr>
        <w:rPr>
          <w:b/>
          <w:sz w:val="24"/>
        </w:rPr>
      </w:pPr>
      <w:r w:rsidRPr="00075491">
        <w:rPr>
          <w:b/>
          <w:sz w:val="24"/>
        </w:rPr>
        <w:t>Policy Statement</w:t>
      </w:r>
    </w:p>
    <w:p w:rsidR="00353FBE" w:rsidRDefault="00353FBE" w:rsidP="00FA6489">
      <w:r>
        <w:t xml:space="preserve">The WHHOA Board has established the following Enforcement Policy for governing CCRs. This policy </w:t>
      </w:r>
      <w:proofErr w:type="gramStart"/>
      <w:r>
        <w:t>will be deemed</w:t>
      </w:r>
      <w:proofErr w:type="gramEnd"/>
      <w:r>
        <w:t xml:space="preserve"> part of the WHHOA regulations and is subject to amendment or modification at any time by majority vote of the Board.</w:t>
      </w:r>
    </w:p>
    <w:p w:rsidR="00FA6489" w:rsidRDefault="00FA6489" w:rsidP="00FA6489">
      <w:r>
        <w:t xml:space="preserve">The </w:t>
      </w:r>
      <w:r w:rsidR="00075491">
        <w:t xml:space="preserve">included </w:t>
      </w:r>
      <w:r w:rsidRPr="00075491">
        <w:rPr>
          <w:i/>
        </w:rPr>
        <w:t>Schedule of Fines</w:t>
      </w:r>
      <w:r>
        <w:t xml:space="preserve"> has been adopted by the </w:t>
      </w:r>
      <w:r w:rsidR="00075491">
        <w:t xml:space="preserve">WHHOA Board and will go into effect on </w:t>
      </w:r>
      <w:r w:rsidR="00AE02A9">
        <w:t>March</w:t>
      </w:r>
      <w:r w:rsidR="00075491">
        <w:t xml:space="preserve"> </w:t>
      </w:r>
      <w:proofErr w:type="gramStart"/>
      <w:r w:rsidR="00075491">
        <w:t>1</w:t>
      </w:r>
      <w:r w:rsidR="00075491" w:rsidRPr="00075491">
        <w:rPr>
          <w:vertAlign w:val="superscript"/>
        </w:rPr>
        <w:t>st</w:t>
      </w:r>
      <w:proofErr w:type="gramEnd"/>
      <w:r w:rsidR="00075491">
        <w:t xml:space="preserve">, 2017. The below sections outline specific violations of CCRs and lists the penalties resulting from such violations. It </w:t>
      </w:r>
      <w:proofErr w:type="gramStart"/>
      <w:r w:rsidR="00075491">
        <w:t>should be stated</w:t>
      </w:r>
      <w:proofErr w:type="gramEnd"/>
      <w:r w:rsidR="00075491">
        <w:t xml:space="preserve">, that the </w:t>
      </w:r>
      <w:r>
        <w:t xml:space="preserve">purpose of </w:t>
      </w:r>
      <w:r w:rsidR="00075491">
        <w:t xml:space="preserve">monetary </w:t>
      </w:r>
      <w:r w:rsidR="000D60F5">
        <w:t>penalties</w:t>
      </w:r>
      <w:r w:rsidR="00075491">
        <w:t xml:space="preserve"> is to encourage compliance with </w:t>
      </w:r>
      <w:r w:rsidR="000D60F5">
        <w:t>governing</w:t>
      </w:r>
      <w:r w:rsidR="00075491">
        <w:t xml:space="preserve"> CCRs. </w:t>
      </w:r>
      <w:r w:rsidR="00560531">
        <w:t xml:space="preserve">The Board understands that circumstances </w:t>
      </w:r>
      <w:r w:rsidR="000D60F5">
        <w:t>occasionally</w:t>
      </w:r>
      <w:r w:rsidR="00560531">
        <w:t xml:space="preserve"> occur that places a Homeowner </w:t>
      </w:r>
      <w:r w:rsidR="00AA7021">
        <w:t xml:space="preserve">outside of compliance with </w:t>
      </w:r>
      <w:r w:rsidR="000D60F5">
        <w:t>CCRs, which</w:t>
      </w:r>
      <w:r w:rsidR="00AA7021">
        <w:t xml:space="preserve"> i</w:t>
      </w:r>
      <w:r w:rsidR="00560531">
        <w:t xml:space="preserve">s okay. The purpose of this policy is to correct the ongoing, continual, and habitual violations of the CCRs, </w:t>
      </w:r>
      <w:r w:rsidR="00AA7021">
        <w:t>informing h</w:t>
      </w:r>
      <w:r w:rsidR="00560531">
        <w:t xml:space="preserve">omeowners of the expectation of compliance. </w:t>
      </w:r>
      <w:r w:rsidR="00075491">
        <w:t>The</w:t>
      </w:r>
      <w:r>
        <w:t xml:space="preserve"> schedule of fines serves to provide each </w:t>
      </w:r>
      <w:r w:rsidR="000D60F5">
        <w:t>homeowner</w:t>
      </w:r>
      <w:r w:rsidR="00075491">
        <w:t xml:space="preserve">with </w:t>
      </w:r>
      <w:r>
        <w:t xml:space="preserve">a clear understanding of </w:t>
      </w:r>
      <w:r w:rsidR="00075491">
        <w:t>consequences involved in actions not in compliance with CCRs, and f</w:t>
      </w:r>
      <w:r>
        <w:t xml:space="preserve">or failure to respond to notice of alleged violations. </w:t>
      </w:r>
    </w:p>
    <w:p w:rsidR="0006341E" w:rsidRPr="0006341E" w:rsidRDefault="0006341E" w:rsidP="00FA6489">
      <w:pPr>
        <w:rPr>
          <w:sz w:val="6"/>
        </w:rPr>
      </w:pPr>
    </w:p>
    <w:p w:rsidR="00FA6489" w:rsidRPr="00075491" w:rsidRDefault="00075491" w:rsidP="00FA6489">
      <w:pPr>
        <w:rPr>
          <w:b/>
          <w:sz w:val="24"/>
        </w:rPr>
      </w:pPr>
      <w:r w:rsidRPr="00075491">
        <w:rPr>
          <w:b/>
          <w:sz w:val="24"/>
        </w:rPr>
        <w:t>Notice of Right of Self-Help</w:t>
      </w:r>
    </w:p>
    <w:p w:rsidR="00FA6489" w:rsidRDefault="00FA6489" w:rsidP="00FA6489">
      <w:r>
        <w:t xml:space="preserve">The </w:t>
      </w:r>
      <w:r w:rsidR="00075491">
        <w:t xml:space="preserve">WHHOA </w:t>
      </w:r>
      <w:r>
        <w:t xml:space="preserve">has </w:t>
      </w:r>
      <w:r w:rsidR="000D60F5">
        <w:t>the</w:t>
      </w:r>
      <w:r>
        <w:t xml:space="preserve"> right (but not the obligation) to enter the Owner's property and to </w:t>
      </w:r>
      <w:r w:rsidR="000D60F5">
        <w:t>provide</w:t>
      </w:r>
      <w:r>
        <w:t xml:space="preserve"> all </w:t>
      </w:r>
      <w:r w:rsidR="000D60F5">
        <w:t>maintenance</w:t>
      </w:r>
      <w:r>
        <w:t xml:space="preserve"> and repairs that are necessary to </w:t>
      </w:r>
      <w:r w:rsidR="00353FBE">
        <w:t>achieve compliance with CCRs.</w:t>
      </w:r>
      <w:r>
        <w:t xml:space="preserve"> Entry by </w:t>
      </w:r>
      <w:r w:rsidR="000D60F5">
        <w:t>the</w:t>
      </w:r>
      <w:r w:rsidR="00353FBE">
        <w:t>WHHOA</w:t>
      </w:r>
      <w:r>
        <w:t xml:space="preserve"> and any of its agents is not an actionable trespass. The </w:t>
      </w:r>
      <w:r w:rsidR="00353FBE">
        <w:t xml:space="preserve">WHHOA </w:t>
      </w:r>
      <w:r>
        <w:t xml:space="preserve">may assess the Owner for the costs of all maintenance and repairs performed by the </w:t>
      </w:r>
      <w:r w:rsidR="00353FBE">
        <w:t xml:space="preserve">WHHOA, and may </w:t>
      </w:r>
      <w:r>
        <w:t xml:space="preserve">seek to recover </w:t>
      </w:r>
      <w:r w:rsidR="000D60F5">
        <w:t>reasonable</w:t>
      </w:r>
      <w:r>
        <w:t xml:space="preserve"> attorney fees and court costs </w:t>
      </w:r>
      <w:r w:rsidR="000D60F5">
        <w:t>associated</w:t>
      </w:r>
      <w:r>
        <w:t xml:space="preserve"> with </w:t>
      </w:r>
      <w:r w:rsidR="000D60F5">
        <w:t>penalties</w:t>
      </w:r>
      <w:r>
        <w:t xml:space="preserve"> or damages assessed. </w:t>
      </w:r>
    </w:p>
    <w:p w:rsidR="006A71B7" w:rsidRPr="0006341E" w:rsidRDefault="006A71B7" w:rsidP="00FA6489">
      <w:pPr>
        <w:rPr>
          <w:sz w:val="16"/>
        </w:rPr>
      </w:pPr>
    </w:p>
    <w:p w:rsidR="00FA6489" w:rsidRPr="00353FBE" w:rsidRDefault="00353FBE" w:rsidP="00FA6489">
      <w:pPr>
        <w:rPr>
          <w:b/>
          <w:sz w:val="24"/>
        </w:rPr>
      </w:pPr>
      <w:r w:rsidRPr="00353FBE">
        <w:rPr>
          <w:b/>
          <w:sz w:val="24"/>
        </w:rPr>
        <w:lastRenderedPageBreak/>
        <w:t>Enforcement Procedures</w:t>
      </w:r>
    </w:p>
    <w:p w:rsidR="00596AC2" w:rsidRDefault="00353FBE" w:rsidP="00FA6489">
      <w:r>
        <w:t xml:space="preserve">The WHHOA Board is comprised of residents, elected </w:t>
      </w:r>
      <w:r w:rsidR="00596AC2">
        <w:t xml:space="preserve">representativesthat are not responsible for </w:t>
      </w:r>
      <w:r>
        <w:t xml:space="preserve">policing the development. </w:t>
      </w:r>
      <w:r w:rsidR="0045464E">
        <w:t xml:space="preserve">To this end, the Board has decided that enforcement proceedings will be complaint based. If a homeowner would like to report a violation, the </w:t>
      </w:r>
      <w:r w:rsidR="0045464E">
        <w:rPr>
          <w:i/>
        </w:rPr>
        <w:t xml:space="preserve">Complain Form </w:t>
      </w:r>
      <w:r w:rsidR="0045464E">
        <w:t xml:space="preserve">(located on the WHHOA website) </w:t>
      </w:r>
      <w:proofErr w:type="gramStart"/>
      <w:r w:rsidR="0045464E">
        <w:t>should be filled out a</w:t>
      </w:r>
      <w:r w:rsidR="00596AC2">
        <w:t>nd submitted to a Board member</w:t>
      </w:r>
      <w:proofErr w:type="gramEnd"/>
      <w:r w:rsidR="00596AC2">
        <w:t xml:space="preserve">. This form will serve as a record of complaint and </w:t>
      </w:r>
      <w:proofErr w:type="gramStart"/>
      <w:r w:rsidR="00596AC2">
        <w:t>will be maintained</w:t>
      </w:r>
      <w:proofErr w:type="gramEnd"/>
      <w:r w:rsidR="00596AC2">
        <w:t xml:space="preserve"> by the Board. </w:t>
      </w:r>
    </w:p>
    <w:p w:rsidR="00AA7021" w:rsidRDefault="00596AC2" w:rsidP="00FA6489">
      <w:r>
        <w:t xml:space="preserve">Further, the Board has adopted a 12-month rolling record for violations. This 12-month rolling record applies to each section of the CCRs. </w:t>
      </w:r>
    </w:p>
    <w:p w:rsidR="00AA7021" w:rsidRDefault="00596AC2" w:rsidP="00AA7021">
      <w:pPr>
        <w:ind w:left="720"/>
      </w:pPr>
      <w:r>
        <w:t xml:space="preserve">For example, if a Homeowner parks a work vehicle in the driveway for more than 72 hours, they would receive a “first violation” notice. </w:t>
      </w:r>
      <w:r w:rsidR="00AA7021">
        <w:t xml:space="preserve">If that instance occurs within the next 12 months, they would receive a “second violation” notice immediately upon the receipt of a complaint. However, if a </w:t>
      </w:r>
      <w:proofErr w:type="gramStart"/>
      <w:r w:rsidR="00AA7021">
        <w:t>12 month</w:t>
      </w:r>
      <w:proofErr w:type="gramEnd"/>
      <w:r w:rsidR="00AA7021">
        <w:t xml:space="preserve"> period lapses, they are back to a “first violation” notice. </w:t>
      </w:r>
    </w:p>
    <w:p w:rsidR="00AA7021" w:rsidRDefault="00AA7021" w:rsidP="00AA7021">
      <w:pPr>
        <w:ind w:left="720"/>
      </w:pPr>
      <w:r>
        <w:t xml:space="preserve">In the event that the same homeowner receives a notice for leaving garbage cans outside after the vehicle related “first notice”, they would then receive a garbage related “first notice.” </w:t>
      </w:r>
    </w:p>
    <w:p w:rsidR="00AA7021" w:rsidRDefault="00AA7021" w:rsidP="00AA7021">
      <w:r>
        <w:t xml:space="preserve">The notices and rolling </w:t>
      </w:r>
      <w:proofErr w:type="gramStart"/>
      <w:r>
        <w:t>12 month</w:t>
      </w:r>
      <w:proofErr w:type="gramEnd"/>
      <w:r>
        <w:t xml:space="preserve"> validation period are applied to individual CCRs, not the document as a whole. This distinction is in place to provide a buffer for </w:t>
      </w:r>
      <w:r w:rsidR="000D60F5">
        <w:t>Homeowners</w:t>
      </w:r>
      <w:r>
        <w:t xml:space="preserve">. </w:t>
      </w:r>
    </w:p>
    <w:p w:rsidR="006A71B7" w:rsidRDefault="00AA7021" w:rsidP="00AA7021">
      <w:r>
        <w:t xml:space="preserve">Once a complaint </w:t>
      </w:r>
      <w:proofErr w:type="gramStart"/>
      <w:r>
        <w:t>is brought</w:t>
      </w:r>
      <w:proofErr w:type="gramEnd"/>
      <w:r>
        <w:t xml:space="preserve"> to the attention of the Board, the Board has a duty to investigate and respond. Actions to </w:t>
      </w:r>
      <w:proofErr w:type="gramStart"/>
      <w:r>
        <w:t>be taken</w:t>
      </w:r>
      <w:proofErr w:type="gramEnd"/>
      <w:r>
        <w:t xml:space="preserve"> are </w:t>
      </w:r>
      <w:r w:rsidR="000D60F5">
        <w:t>identified</w:t>
      </w:r>
      <w:r>
        <w:t xml:space="preserve"> below: </w:t>
      </w:r>
    </w:p>
    <w:p w:rsidR="006A71B7" w:rsidRPr="0006341E" w:rsidRDefault="006A71B7" w:rsidP="00AA7021">
      <w:pPr>
        <w:rPr>
          <w:sz w:val="2"/>
        </w:rPr>
      </w:pPr>
    </w:p>
    <w:tbl>
      <w:tblPr>
        <w:tblStyle w:val="TableGrid"/>
        <w:tblW w:w="8856" w:type="dxa"/>
        <w:tblInd w:w="60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67"/>
        <w:gridCol w:w="6389"/>
      </w:tblGrid>
      <w:tr w:rsidR="00FA6489" w:rsidTr="00C00DA7">
        <w:trPr>
          <w:cantSplit/>
        </w:trPr>
        <w:tc>
          <w:tcPr>
            <w:tcW w:w="2467" w:type="dxa"/>
          </w:tcPr>
          <w:p w:rsidR="00FA6489" w:rsidRPr="00AA7021" w:rsidRDefault="00FA6489" w:rsidP="00086731">
            <w:pPr>
              <w:rPr>
                <w:b/>
              </w:rPr>
            </w:pPr>
            <w:r w:rsidRPr="00AA7021">
              <w:rPr>
                <w:b/>
              </w:rPr>
              <w:t>First Violation:</w:t>
            </w:r>
          </w:p>
        </w:tc>
        <w:tc>
          <w:tcPr>
            <w:tcW w:w="6389" w:type="dxa"/>
          </w:tcPr>
          <w:p w:rsidR="00FA6489" w:rsidRDefault="00FA6489" w:rsidP="00086731">
            <w:r>
              <w:t xml:space="preserve">A courtesy letter </w:t>
            </w:r>
            <w:proofErr w:type="gramStart"/>
            <w:r>
              <w:t>is mailed</w:t>
            </w:r>
            <w:proofErr w:type="gramEnd"/>
            <w:r>
              <w:t xml:space="preserve"> to the </w:t>
            </w:r>
            <w:r w:rsidR="000D60F5">
              <w:t>homeowners</w:t>
            </w:r>
            <w:r>
              <w:t>' last mail</w:t>
            </w:r>
            <w:r w:rsidR="00AA7021">
              <w:t>ing address on file citing the s</w:t>
            </w:r>
            <w:r>
              <w:t>pecific violation(s) and requesting correction of said violation(s)</w:t>
            </w:r>
            <w:r w:rsidR="00596AC2">
              <w:t xml:space="preserve"> within 15 days from the date the letter was generated. </w:t>
            </w:r>
          </w:p>
          <w:p w:rsidR="00C00DA7" w:rsidRPr="00C00DA7" w:rsidRDefault="00C00DA7" w:rsidP="00086731">
            <w:pPr>
              <w:rPr>
                <w:sz w:val="18"/>
              </w:rPr>
            </w:pPr>
          </w:p>
        </w:tc>
      </w:tr>
      <w:tr w:rsidR="00FA6489" w:rsidTr="00C00DA7">
        <w:trPr>
          <w:cantSplit/>
        </w:trPr>
        <w:tc>
          <w:tcPr>
            <w:tcW w:w="2467" w:type="dxa"/>
          </w:tcPr>
          <w:p w:rsidR="00FA6489" w:rsidRPr="00AA7021" w:rsidRDefault="00FA6489" w:rsidP="00086731">
            <w:pPr>
              <w:rPr>
                <w:b/>
              </w:rPr>
            </w:pPr>
            <w:r w:rsidRPr="00AA7021">
              <w:rPr>
                <w:b/>
              </w:rPr>
              <w:t>Second Violation:</w:t>
            </w:r>
          </w:p>
        </w:tc>
        <w:tc>
          <w:tcPr>
            <w:tcW w:w="6389" w:type="dxa"/>
          </w:tcPr>
          <w:p w:rsidR="00FA6489" w:rsidRDefault="00FA6489" w:rsidP="00AA7021">
            <w:r>
              <w:t xml:space="preserve">A letter </w:t>
            </w:r>
            <w:proofErr w:type="gramStart"/>
            <w:r>
              <w:t>is mailed</w:t>
            </w:r>
            <w:proofErr w:type="gramEnd"/>
            <w:r>
              <w:t xml:space="preserve"> to the </w:t>
            </w:r>
            <w:r w:rsidR="000D60F5">
              <w:t>homeowner</w:t>
            </w:r>
            <w:r>
              <w:t xml:space="preserve"> requesting compliance with a covenant requirement</w:t>
            </w:r>
            <w:r w:rsidR="00AA7021">
              <w:t xml:space="preserve"> within 5 days from the generation of the letter. A notice of potential fine for non-compliance is included. </w:t>
            </w:r>
          </w:p>
          <w:p w:rsidR="00C00DA7" w:rsidRPr="00C00DA7" w:rsidRDefault="00C00DA7" w:rsidP="00AA7021">
            <w:pPr>
              <w:rPr>
                <w:sz w:val="18"/>
              </w:rPr>
            </w:pPr>
          </w:p>
        </w:tc>
      </w:tr>
      <w:tr w:rsidR="00FA6489" w:rsidTr="00C00DA7">
        <w:trPr>
          <w:cantSplit/>
        </w:trPr>
        <w:tc>
          <w:tcPr>
            <w:tcW w:w="2467" w:type="dxa"/>
          </w:tcPr>
          <w:p w:rsidR="00FA6489" w:rsidRPr="00AA7021" w:rsidRDefault="00FA6489" w:rsidP="00086731">
            <w:pPr>
              <w:rPr>
                <w:b/>
              </w:rPr>
            </w:pPr>
            <w:r w:rsidRPr="00AA7021">
              <w:rPr>
                <w:b/>
              </w:rPr>
              <w:t>Continuing Violation:</w:t>
            </w:r>
          </w:p>
        </w:tc>
        <w:tc>
          <w:tcPr>
            <w:tcW w:w="6389" w:type="dxa"/>
          </w:tcPr>
          <w:p w:rsidR="00FA6489" w:rsidRDefault="00FA6489" w:rsidP="00086731">
            <w:r>
              <w:t xml:space="preserve">The Board may impose a continuing monetary penalty without additional notice until the infraction or violation </w:t>
            </w:r>
            <w:proofErr w:type="gramStart"/>
            <w:r>
              <w:t>has been remedied</w:t>
            </w:r>
            <w:proofErr w:type="gramEnd"/>
            <w:r>
              <w:t xml:space="preserve">. (A continuing violation is a violation of an </w:t>
            </w:r>
            <w:r w:rsidR="000D60F5">
              <w:t>ongoing</w:t>
            </w:r>
            <w:r>
              <w:t xml:space="preserve"> </w:t>
            </w:r>
            <w:proofErr w:type="gramStart"/>
            <w:r>
              <w:t>nature which</w:t>
            </w:r>
            <w:proofErr w:type="gramEnd"/>
            <w:r>
              <w:t xml:space="preserve"> has not been corrected). </w:t>
            </w:r>
          </w:p>
          <w:p w:rsidR="00C00DA7" w:rsidRPr="00C00DA7" w:rsidRDefault="00C00DA7" w:rsidP="00086731">
            <w:pPr>
              <w:rPr>
                <w:sz w:val="18"/>
              </w:rPr>
            </w:pPr>
          </w:p>
        </w:tc>
      </w:tr>
      <w:tr w:rsidR="00FA6489" w:rsidTr="00C00DA7">
        <w:trPr>
          <w:cantSplit/>
        </w:trPr>
        <w:tc>
          <w:tcPr>
            <w:tcW w:w="2467" w:type="dxa"/>
          </w:tcPr>
          <w:p w:rsidR="00FA6489" w:rsidRPr="00AA7021" w:rsidRDefault="00FA6489" w:rsidP="00086731">
            <w:pPr>
              <w:rPr>
                <w:b/>
              </w:rPr>
            </w:pPr>
            <w:r w:rsidRPr="00AA7021">
              <w:rPr>
                <w:b/>
              </w:rPr>
              <w:t>Repeat Violation:</w:t>
            </w:r>
          </w:p>
        </w:tc>
        <w:tc>
          <w:tcPr>
            <w:tcW w:w="6389" w:type="dxa"/>
          </w:tcPr>
          <w:p w:rsidR="00C00DA7" w:rsidRDefault="00FA6489" w:rsidP="006A71B7">
            <w:r>
              <w:t xml:space="preserve">Repeat letter mailed to homeowner. (A repeat </w:t>
            </w:r>
            <w:r w:rsidR="000D60F5">
              <w:t>violation</w:t>
            </w:r>
            <w:r>
              <w:t xml:space="preserve"> occurs when a person violates the same provision of the Association's go</w:t>
            </w:r>
            <w:r w:rsidR="00AA7021">
              <w:t>verning documents more than twice</w:t>
            </w:r>
            <w:r>
              <w:t xml:space="preserve"> and </w:t>
            </w:r>
            <w:proofErr w:type="gramStart"/>
            <w:r>
              <w:t xml:space="preserve">has </w:t>
            </w:r>
            <w:r w:rsidR="000D60F5">
              <w:t>already</w:t>
            </w:r>
            <w:r>
              <w:t xml:space="preserve"> been given</w:t>
            </w:r>
            <w:proofErr w:type="gramEnd"/>
            <w:r>
              <w:t xml:space="preserve"> the </w:t>
            </w:r>
            <w:r w:rsidR="000D60F5">
              <w:t>appropriate</w:t>
            </w:r>
            <w:r>
              <w:t xml:space="preserve"> warnings. A repeated </w:t>
            </w:r>
            <w:r w:rsidR="000D60F5">
              <w:t>violation</w:t>
            </w:r>
            <w:r>
              <w:t xml:space="preserve"> may result in an </w:t>
            </w:r>
            <w:r w:rsidR="000D60F5">
              <w:t>immediate</w:t>
            </w:r>
            <w:r>
              <w:t xml:space="preserve"> doubling of fines).</w:t>
            </w:r>
            <w:r w:rsidR="00AA7021">
              <w:t xml:space="preserve"> In the case of a repeat, continuing violation, fines (which </w:t>
            </w:r>
            <w:proofErr w:type="gramStart"/>
            <w:r w:rsidR="00AA7021">
              <w:t>have already been doubled</w:t>
            </w:r>
            <w:proofErr w:type="gramEnd"/>
            <w:r w:rsidR="00AA7021">
              <w:t>) may be assessed on a weekly basis until the violation is corrected.</w:t>
            </w:r>
          </w:p>
          <w:p w:rsidR="006A71B7" w:rsidRPr="006A71B7" w:rsidRDefault="006A71B7" w:rsidP="006A71B7">
            <w:pPr>
              <w:rPr>
                <w:sz w:val="12"/>
              </w:rPr>
            </w:pPr>
          </w:p>
        </w:tc>
      </w:tr>
    </w:tbl>
    <w:p w:rsidR="00C00DA7" w:rsidRDefault="00C00DA7" w:rsidP="00FA6489"/>
    <w:p w:rsidR="00AA7021" w:rsidRDefault="00AA7021" w:rsidP="00FA6489">
      <w:r>
        <w:t xml:space="preserve">Upon the receipt of a violation letter, a Homeowner can reach out to the Board for clarification if needed. Further, the Homeowner has the right to view the complaint submitted, however, the form </w:t>
      </w:r>
      <w:proofErr w:type="gramStart"/>
      <w:r>
        <w:t>will be redacted</w:t>
      </w:r>
      <w:proofErr w:type="gramEnd"/>
      <w:r>
        <w:t xml:space="preserve"> to preserve the </w:t>
      </w:r>
      <w:r w:rsidR="005F0528">
        <w:t>anonymity</w:t>
      </w:r>
      <w:r>
        <w:t xml:space="preserve"> of the </w:t>
      </w:r>
      <w:r w:rsidR="005F0528">
        <w:t xml:space="preserve">individual reporting the violation. </w:t>
      </w:r>
    </w:p>
    <w:p w:rsidR="005F0528" w:rsidRPr="00C00DA7" w:rsidRDefault="005F0528" w:rsidP="00FA6489">
      <w:pPr>
        <w:rPr>
          <w:sz w:val="12"/>
        </w:rPr>
      </w:pPr>
    </w:p>
    <w:p w:rsidR="00FA6489" w:rsidRPr="005F0528" w:rsidRDefault="005F0528" w:rsidP="00FA6489">
      <w:pPr>
        <w:rPr>
          <w:b/>
          <w:sz w:val="24"/>
        </w:rPr>
      </w:pPr>
      <w:bookmarkStart w:id="0" w:name="OLE_LINK1"/>
      <w:bookmarkStart w:id="1" w:name="OLE_LINK2"/>
      <w:r w:rsidRPr="005F0528">
        <w:rPr>
          <w:b/>
          <w:sz w:val="24"/>
        </w:rPr>
        <w:t>Schedule of Fines</w:t>
      </w:r>
    </w:p>
    <w:bookmarkEnd w:id="0"/>
    <w:bookmarkEnd w:id="1"/>
    <w:p w:rsidR="00FA6489" w:rsidRDefault="005F0528" w:rsidP="00C00DA7">
      <w:pPr>
        <w:spacing w:after="120"/>
      </w:pPr>
      <w:r>
        <w:t xml:space="preserve">The below schedule of fines </w:t>
      </w:r>
      <w:proofErr w:type="gramStart"/>
      <w:r>
        <w:t>has been adopted</w:t>
      </w:r>
      <w:proofErr w:type="gramEnd"/>
      <w:r>
        <w:t xml:space="preserve"> by the WHHOA Board to provide a framework to the application of monetary penalties:</w:t>
      </w:r>
    </w:p>
    <w:p w:rsidR="00F47F47" w:rsidRPr="00C00DA7" w:rsidRDefault="00F47F47" w:rsidP="00FA6489">
      <w:pPr>
        <w:rPr>
          <w:sz w:val="16"/>
        </w:rPr>
      </w:pPr>
    </w:p>
    <w:tbl>
      <w:tblPr>
        <w:tblStyle w:val="TableGrid"/>
        <w:tblW w:w="4756" w:type="pct"/>
        <w:tblInd w:w="60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611"/>
        <w:gridCol w:w="770"/>
        <w:gridCol w:w="5198"/>
      </w:tblGrid>
      <w:tr w:rsidR="005F0528" w:rsidTr="00C00DA7">
        <w:tc>
          <w:tcPr>
            <w:tcW w:w="1885" w:type="pct"/>
          </w:tcPr>
          <w:p w:rsidR="005F0528" w:rsidRDefault="005F0528" w:rsidP="00086731">
            <w:r w:rsidRPr="005F0528">
              <w:t>Repair and Upkeep of Property</w:t>
            </w:r>
          </w:p>
          <w:p w:rsidR="007973C3" w:rsidRDefault="007973C3" w:rsidP="00086731">
            <w:r>
              <w:t>Parking Violations (Over 72 hours)</w:t>
            </w:r>
          </w:p>
          <w:p w:rsidR="007973C3" w:rsidRDefault="007973C3" w:rsidP="00086731">
            <w:r>
              <w:t xml:space="preserve">All other </w:t>
            </w:r>
            <w:r w:rsidRPr="007973C3">
              <w:rPr>
                <w:b/>
              </w:rPr>
              <w:t>significant</w:t>
            </w:r>
            <w:r w:rsidRPr="007973C3">
              <w:rPr>
                <w:b/>
                <w:vertAlign w:val="superscript"/>
              </w:rPr>
              <w:t>1</w:t>
            </w:r>
            <w:r>
              <w:t xml:space="preserve"> violations</w:t>
            </w:r>
          </w:p>
          <w:p w:rsidR="00C00DA7" w:rsidRPr="00C00DA7" w:rsidRDefault="00C00DA7" w:rsidP="00086731">
            <w:pPr>
              <w:rPr>
                <w:sz w:val="18"/>
              </w:rPr>
            </w:pPr>
          </w:p>
        </w:tc>
        <w:tc>
          <w:tcPr>
            <w:tcW w:w="402" w:type="pct"/>
          </w:tcPr>
          <w:p w:rsidR="005F0528" w:rsidRDefault="005F0528" w:rsidP="00086731"/>
        </w:tc>
        <w:tc>
          <w:tcPr>
            <w:tcW w:w="2713" w:type="pct"/>
          </w:tcPr>
          <w:p w:rsidR="005F0528" w:rsidRDefault="005F0528" w:rsidP="005F0528">
            <w:r>
              <w:t>2</w:t>
            </w:r>
            <w:r w:rsidRPr="005F0528">
              <w:rPr>
                <w:vertAlign w:val="superscript"/>
              </w:rPr>
              <w:t>nd</w:t>
            </w:r>
            <w:r>
              <w:t xml:space="preserve"> Notice Penalty - $25.00 per instance</w:t>
            </w:r>
          </w:p>
          <w:p w:rsidR="007973C3" w:rsidRDefault="005F0528" w:rsidP="005F0528">
            <w:r>
              <w:t>Continuing Violation Penalty - $25.00 weekly</w:t>
            </w:r>
          </w:p>
          <w:p w:rsidR="007973C3" w:rsidRDefault="007973C3" w:rsidP="005F0528"/>
        </w:tc>
      </w:tr>
      <w:tr w:rsidR="005F0528" w:rsidTr="00C00DA7">
        <w:tc>
          <w:tcPr>
            <w:tcW w:w="1885" w:type="pct"/>
          </w:tcPr>
          <w:p w:rsidR="005F0528" w:rsidRDefault="005F0528" w:rsidP="00086731">
            <w:r w:rsidRPr="005F0528">
              <w:t>Garbage Cans Improperly Stored</w:t>
            </w:r>
          </w:p>
          <w:p w:rsidR="007973C3" w:rsidRDefault="007973C3" w:rsidP="00086731">
            <w:r>
              <w:t>Unauthorized Signage</w:t>
            </w:r>
          </w:p>
          <w:p w:rsidR="007973C3" w:rsidRPr="007973C3" w:rsidRDefault="007973C3" w:rsidP="00086731">
            <w:pPr>
              <w:rPr>
                <w:b/>
              </w:rPr>
            </w:pPr>
            <w:r>
              <w:t xml:space="preserve">All other </w:t>
            </w:r>
            <w:r w:rsidRPr="007973C3">
              <w:rPr>
                <w:b/>
              </w:rPr>
              <w:t>minor</w:t>
            </w:r>
            <w:r w:rsidRPr="007973C3">
              <w:rPr>
                <w:b/>
                <w:vertAlign w:val="superscript"/>
              </w:rPr>
              <w:t>2</w:t>
            </w:r>
            <w:r>
              <w:t xml:space="preserve"> violations</w:t>
            </w:r>
          </w:p>
        </w:tc>
        <w:tc>
          <w:tcPr>
            <w:tcW w:w="402" w:type="pct"/>
          </w:tcPr>
          <w:p w:rsidR="005F0528" w:rsidRDefault="005F0528" w:rsidP="00086731"/>
        </w:tc>
        <w:tc>
          <w:tcPr>
            <w:tcW w:w="2713" w:type="pct"/>
          </w:tcPr>
          <w:p w:rsidR="007973C3" w:rsidRDefault="007973C3" w:rsidP="007973C3">
            <w:r>
              <w:t>2</w:t>
            </w:r>
            <w:r w:rsidRPr="005F0528">
              <w:rPr>
                <w:vertAlign w:val="superscript"/>
              </w:rPr>
              <w:t>nd</w:t>
            </w:r>
            <w:r>
              <w:t xml:space="preserve"> Notice Penalty - $10.00 per instance</w:t>
            </w:r>
          </w:p>
          <w:p w:rsidR="005F0528" w:rsidRDefault="007973C3" w:rsidP="007973C3">
            <w:r>
              <w:t>Continuing Violation Penalty - $10.00 weekly</w:t>
            </w:r>
          </w:p>
          <w:p w:rsidR="007973C3" w:rsidRDefault="007973C3" w:rsidP="007973C3"/>
          <w:p w:rsidR="00F47F47" w:rsidRPr="00C00DA7" w:rsidRDefault="00F47F47" w:rsidP="007973C3">
            <w:pPr>
              <w:rPr>
                <w:sz w:val="18"/>
              </w:rPr>
            </w:pPr>
          </w:p>
        </w:tc>
      </w:tr>
      <w:tr w:rsidR="00F47F47" w:rsidTr="00C00DA7">
        <w:tc>
          <w:tcPr>
            <w:tcW w:w="1885" w:type="pct"/>
          </w:tcPr>
          <w:p w:rsidR="00F47F47" w:rsidRPr="005F0528" w:rsidRDefault="00F47F47" w:rsidP="00086731">
            <w:r>
              <w:t>Architectural Design Violation</w:t>
            </w:r>
          </w:p>
        </w:tc>
        <w:tc>
          <w:tcPr>
            <w:tcW w:w="402" w:type="pct"/>
          </w:tcPr>
          <w:p w:rsidR="00F47F47" w:rsidRDefault="00F47F47" w:rsidP="00086731"/>
        </w:tc>
        <w:tc>
          <w:tcPr>
            <w:tcW w:w="2713" w:type="pct"/>
          </w:tcPr>
          <w:p w:rsidR="00F47F47" w:rsidRDefault="00F47F47" w:rsidP="007973C3">
            <w:r>
              <w:t>2</w:t>
            </w:r>
            <w:r w:rsidRPr="00F47F47">
              <w:rPr>
                <w:vertAlign w:val="superscript"/>
              </w:rPr>
              <w:t>nd</w:t>
            </w:r>
            <w:r>
              <w:t xml:space="preserve"> Notice Penalty - $50.00 per instance</w:t>
            </w:r>
          </w:p>
          <w:p w:rsidR="00F47F47" w:rsidRDefault="00F47F47" w:rsidP="007973C3">
            <w:r>
              <w:t>Continual Violation Penalty - $200.00 monthly</w:t>
            </w:r>
          </w:p>
          <w:p w:rsidR="00F47F47" w:rsidRPr="00C00DA7" w:rsidRDefault="00F47F47" w:rsidP="007973C3">
            <w:pPr>
              <w:rPr>
                <w:sz w:val="18"/>
              </w:rPr>
            </w:pPr>
          </w:p>
        </w:tc>
      </w:tr>
      <w:tr w:rsidR="007973C3" w:rsidTr="00C00DA7">
        <w:tc>
          <w:tcPr>
            <w:tcW w:w="1885" w:type="pct"/>
          </w:tcPr>
          <w:p w:rsidR="007973C3" w:rsidRDefault="00F47F47" w:rsidP="00086731">
            <w:r>
              <w:t>Failure to obtain Architectural Approval prior to beginning work</w:t>
            </w:r>
          </w:p>
          <w:p w:rsidR="00F47F47" w:rsidRPr="00C00DA7" w:rsidRDefault="00F47F47" w:rsidP="00086731">
            <w:pPr>
              <w:rPr>
                <w:sz w:val="18"/>
              </w:rPr>
            </w:pPr>
          </w:p>
        </w:tc>
        <w:tc>
          <w:tcPr>
            <w:tcW w:w="402" w:type="pct"/>
          </w:tcPr>
          <w:p w:rsidR="007973C3" w:rsidRDefault="007973C3" w:rsidP="00086731"/>
        </w:tc>
        <w:tc>
          <w:tcPr>
            <w:tcW w:w="2713" w:type="pct"/>
          </w:tcPr>
          <w:p w:rsidR="007973C3" w:rsidRDefault="00F47F47" w:rsidP="007973C3">
            <w:r>
              <w:t>2</w:t>
            </w:r>
            <w:r w:rsidRPr="005F0528">
              <w:rPr>
                <w:vertAlign w:val="superscript"/>
              </w:rPr>
              <w:t>nd</w:t>
            </w:r>
            <w:r>
              <w:t xml:space="preserve"> Notice Penalty - $100.00 per instance</w:t>
            </w:r>
          </w:p>
        </w:tc>
      </w:tr>
      <w:tr w:rsidR="005F0528" w:rsidTr="00C00DA7">
        <w:trPr>
          <w:cantSplit/>
        </w:trPr>
        <w:tc>
          <w:tcPr>
            <w:tcW w:w="1885" w:type="pct"/>
          </w:tcPr>
          <w:p w:rsidR="005F0528" w:rsidRPr="005F0528" w:rsidRDefault="005F0528" w:rsidP="00086731">
            <w:r w:rsidRPr="005F0528">
              <w:t>Mailbox Design Violation</w:t>
            </w:r>
          </w:p>
        </w:tc>
        <w:tc>
          <w:tcPr>
            <w:tcW w:w="402" w:type="pct"/>
          </w:tcPr>
          <w:p w:rsidR="005F0528" w:rsidRDefault="005F0528" w:rsidP="00086731"/>
        </w:tc>
        <w:tc>
          <w:tcPr>
            <w:tcW w:w="2713" w:type="pct"/>
          </w:tcPr>
          <w:p w:rsidR="005F0528" w:rsidRDefault="00F47F47" w:rsidP="00086731">
            <w:r>
              <w:t>2</w:t>
            </w:r>
            <w:r w:rsidRPr="00F47F47">
              <w:rPr>
                <w:vertAlign w:val="superscript"/>
              </w:rPr>
              <w:t>nd</w:t>
            </w:r>
            <w:r>
              <w:t xml:space="preserve"> Notice Penalty - $50.00 one time</w:t>
            </w:r>
          </w:p>
          <w:p w:rsidR="00F47F47" w:rsidRDefault="00F47F47" w:rsidP="00086731">
            <w:r>
              <w:t>Continual Violation Penalty – see below section</w:t>
            </w:r>
          </w:p>
          <w:p w:rsidR="0052220B" w:rsidRDefault="0052220B" w:rsidP="00086731"/>
        </w:tc>
      </w:tr>
    </w:tbl>
    <w:p w:rsidR="00C00DA7" w:rsidRDefault="00C00DA7" w:rsidP="00C00DA7">
      <w:pPr>
        <w:pStyle w:val="ListParagraph"/>
        <w:ind w:left="1080"/>
        <w:rPr>
          <w:sz w:val="18"/>
        </w:rPr>
      </w:pPr>
    </w:p>
    <w:p w:rsidR="00FA6489" w:rsidRPr="007973C3" w:rsidRDefault="007973C3" w:rsidP="007973C3">
      <w:pPr>
        <w:pStyle w:val="ListParagraph"/>
        <w:numPr>
          <w:ilvl w:val="0"/>
          <w:numId w:val="1"/>
        </w:numPr>
        <w:rPr>
          <w:sz w:val="18"/>
        </w:rPr>
      </w:pPr>
      <w:r w:rsidRPr="007973C3">
        <w:rPr>
          <w:sz w:val="18"/>
        </w:rPr>
        <w:t xml:space="preserve">A significant violation </w:t>
      </w:r>
      <w:proofErr w:type="gramStart"/>
      <w:r w:rsidRPr="007973C3">
        <w:rPr>
          <w:sz w:val="18"/>
        </w:rPr>
        <w:t>is categorized</w:t>
      </w:r>
      <w:proofErr w:type="gramEnd"/>
      <w:r w:rsidRPr="007973C3">
        <w:rPr>
          <w:sz w:val="18"/>
        </w:rPr>
        <w:t xml:space="preserve"> as those </w:t>
      </w:r>
      <w:r w:rsidR="000D60F5">
        <w:rPr>
          <w:sz w:val="18"/>
        </w:rPr>
        <w:t>affect</w:t>
      </w:r>
      <w:r w:rsidR="000D60F5" w:rsidRPr="007973C3">
        <w:rPr>
          <w:sz w:val="18"/>
        </w:rPr>
        <w:t>ing</w:t>
      </w:r>
      <w:r w:rsidRPr="007973C3">
        <w:rPr>
          <w:sz w:val="18"/>
        </w:rPr>
        <w:t xml:space="preserve"> the safety or </w:t>
      </w:r>
      <w:r w:rsidR="000D60F5" w:rsidRPr="007973C3">
        <w:rPr>
          <w:sz w:val="18"/>
        </w:rPr>
        <w:t>aesthetics</w:t>
      </w:r>
      <w:r w:rsidRPr="007973C3">
        <w:rPr>
          <w:sz w:val="18"/>
        </w:rPr>
        <w:t xml:space="preserve"> of the community. The definition </w:t>
      </w:r>
      <w:proofErr w:type="gramStart"/>
      <w:r w:rsidRPr="007973C3">
        <w:rPr>
          <w:sz w:val="18"/>
        </w:rPr>
        <w:t>will be applied</w:t>
      </w:r>
      <w:proofErr w:type="gramEnd"/>
      <w:r w:rsidRPr="007973C3">
        <w:rPr>
          <w:sz w:val="18"/>
        </w:rPr>
        <w:t xml:space="preserve"> at the </w:t>
      </w:r>
      <w:r w:rsidR="000D60F5" w:rsidRPr="007973C3">
        <w:rPr>
          <w:sz w:val="18"/>
        </w:rPr>
        <w:t>discretion</w:t>
      </w:r>
      <w:r w:rsidRPr="007973C3">
        <w:rPr>
          <w:sz w:val="18"/>
        </w:rPr>
        <w:t xml:space="preserve"> of the Board.</w:t>
      </w:r>
    </w:p>
    <w:p w:rsidR="007973C3" w:rsidRDefault="007973C3" w:rsidP="007973C3">
      <w:pPr>
        <w:pStyle w:val="ListParagraph"/>
        <w:numPr>
          <w:ilvl w:val="0"/>
          <w:numId w:val="1"/>
        </w:numPr>
      </w:pPr>
      <w:r w:rsidRPr="007973C3">
        <w:rPr>
          <w:sz w:val="18"/>
        </w:rPr>
        <w:t xml:space="preserve">A minor violation </w:t>
      </w:r>
      <w:proofErr w:type="gramStart"/>
      <w:r w:rsidRPr="007973C3">
        <w:rPr>
          <w:sz w:val="18"/>
        </w:rPr>
        <w:t>is categorized</w:t>
      </w:r>
      <w:proofErr w:type="gramEnd"/>
      <w:r w:rsidRPr="007973C3">
        <w:rPr>
          <w:sz w:val="18"/>
        </w:rPr>
        <w:t xml:space="preserve"> as those involving only the homeowner. The definition </w:t>
      </w:r>
      <w:proofErr w:type="gramStart"/>
      <w:r w:rsidRPr="007973C3">
        <w:rPr>
          <w:sz w:val="18"/>
        </w:rPr>
        <w:t>will be applied</w:t>
      </w:r>
      <w:proofErr w:type="gramEnd"/>
      <w:r w:rsidRPr="007973C3">
        <w:rPr>
          <w:sz w:val="18"/>
        </w:rPr>
        <w:t xml:space="preserve"> at the discretion of the Board.</w:t>
      </w:r>
    </w:p>
    <w:p w:rsidR="007973C3" w:rsidRDefault="00F07FAE" w:rsidP="00FA6489">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407974</wp:posOffset>
            </wp:positionV>
            <wp:extent cx="1148080" cy="1606550"/>
            <wp:effectExtent l="0" t="0" r="0" b="0"/>
            <wp:wrapTight wrapText="bothSides">
              <wp:wrapPolygon edited="0">
                <wp:start x="0" y="0"/>
                <wp:lineTo x="0" y="21258"/>
                <wp:lineTo x="21146" y="21258"/>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825_143323_001_resized.jpg"/>
                    <pic:cNvPicPr/>
                  </pic:nvPicPr>
                  <pic:blipFill rotWithShape="1">
                    <a:blip r:embed="rId8" cstate="print">
                      <a:extLst>
                        <a:ext uri="{28A0092B-C50C-407E-A947-70E740481C1C}">
                          <a14:useLocalDpi xmlns:a14="http://schemas.microsoft.com/office/drawing/2010/main" val="0"/>
                        </a:ext>
                      </a:extLst>
                    </a:blip>
                    <a:srcRect l="41724" t="25778" b="28355"/>
                    <a:stretch/>
                  </pic:blipFill>
                  <pic:spPr bwMode="auto">
                    <a:xfrm>
                      <a:off x="0" y="0"/>
                      <a:ext cx="1148080" cy="1606550"/>
                    </a:xfrm>
                    <a:prstGeom prst="rect">
                      <a:avLst/>
                    </a:prstGeom>
                    <a:ln>
                      <a:noFill/>
                    </a:ln>
                    <a:extLst>
                      <a:ext uri="{53640926-AAD7-44D8-BBD7-CCE9431645EC}">
                        <a14:shadowObscured xmlns:a14="http://schemas.microsoft.com/office/drawing/2010/main"/>
                      </a:ext>
                    </a:extLst>
                  </pic:spPr>
                </pic:pic>
              </a:graphicData>
            </a:graphic>
          </wp:anchor>
        </w:drawing>
      </w:r>
      <w:r w:rsidR="00F47F47">
        <w:t xml:space="preserve">The one aspect of the fine schedule that </w:t>
      </w:r>
      <w:r w:rsidR="0052220B">
        <w:t xml:space="preserve">requires further </w:t>
      </w:r>
      <w:r w:rsidR="000D60F5">
        <w:t>clarification</w:t>
      </w:r>
      <w:r w:rsidR="0052220B">
        <w:t xml:space="preserve"> is </w:t>
      </w:r>
      <w:r w:rsidR="00F47F47">
        <w:t>mailbox design violation</w:t>
      </w:r>
      <w:r w:rsidR="0052220B">
        <w:t>s.</w:t>
      </w:r>
      <w:r w:rsidR="00F47F47">
        <w:t xml:space="preserve"> Section 3.25F of the CCRs state the following:</w:t>
      </w:r>
    </w:p>
    <w:p w:rsidR="00F47F47" w:rsidRPr="00F47F47" w:rsidRDefault="00F47F47" w:rsidP="00F47F47">
      <w:pPr>
        <w:ind w:left="720"/>
        <w:rPr>
          <w:sz w:val="20"/>
        </w:rPr>
      </w:pPr>
      <w:r w:rsidRPr="00F47F47">
        <w:rPr>
          <w:sz w:val="20"/>
        </w:rPr>
        <w:t xml:space="preserve">F) At the expense of the owner, the owner of each lot shall install a mailbox, newspaper tube, and pole for the </w:t>
      </w:r>
      <w:proofErr w:type="gramStart"/>
      <w:r w:rsidRPr="00F47F47">
        <w:rPr>
          <w:sz w:val="20"/>
        </w:rPr>
        <w:t>mailbox which conforms</w:t>
      </w:r>
      <w:proofErr w:type="gramEnd"/>
      <w:r w:rsidRPr="00F47F47">
        <w:rPr>
          <w:sz w:val="20"/>
        </w:rPr>
        <w:t xml:space="preserve"> to the specifications of the Developer, or the Committee, whichever is then applicable, including purchasing such items from the source designated by the Developer of the Committee. Any replacement of said mailbox, tube or post shall conform to the original specifications. </w:t>
      </w:r>
    </w:p>
    <w:p w:rsidR="007973C3" w:rsidRPr="0052220B" w:rsidRDefault="00F47F47" w:rsidP="00FA6489">
      <w:r>
        <w:t xml:space="preserve">The Board has decided that the “original specifications” are equivalent to the mailboxes installed by Tim Obrien Homes. </w:t>
      </w:r>
      <w:r w:rsidR="0052220B">
        <w:t xml:space="preserve">An example of such a mailbox </w:t>
      </w:r>
      <w:proofErr w:type="gramStart"/>
      <w:r w:rsidR="0052220B">
        <w:t>is shown</w:t>
      </w:r>
      <w:proofErr w:type="gramEnd"/>
      <w:r w:rsidR="0052220B">
        <w:t xml:space="preserve"> to the right. The Board understands that </w:t>
      </w:r>
      <w:r w:rsidR="000D60F5">
        <w:t>occasionally</w:t>
      </w:r>
      <w:r w:rsidR="0052220B">
        <w:t xml:space="preserve">, something may happen that forces a Homeowner to </w:t>
      </w:r>
      <w:r w:rsidR="0052220B">
        <w:lastRenderedPageBreak/>
        <w:t xml:space="preserve">replace their mailbox. Further, it can be difficult and expensive to obtain the exact mailbox as a replacement. Therefore, the requirements are that the mailbox be similar to the original. The critical components are that it is made of wood, has architectural appeal, in on a 4” x 4” post, and has the mailbox supported by </w:t>
      </w:r>
      <w:r w:rsidR="000D60F5">
        <w:t>aesthetically</w:t>
      </w:r>
      <w:r w:rsidR="0052220B">
        <w:t xml:space="preserve"> pleasing wood </w:t>
      </w:r>
      <w:r w:rsidR="000D60F5">
        <w:t>crossbeams</w:t>
      </w:r>
      <w:r w:rsidR="0052220B">
        <w:t xml:space="preserve">. Given the variety of mailbox designs, the Board has adopted the use of a </w:t>
      </w:r>
      <w:r w:rsidR="0052220B">
        <w:rPr>
          <w:i/>
        </w:rPr>
        <w:t xml:space="preserve">Decision </w:t>
      </w:r>
      <w:proofErr w:type="gramStart"/>
      <w:r w:rsidR="0052220B">
        <w:rPr>
          <w:i/>
        </w:rPr>
        <w:t xml:space="preserve">Matrix </w:t>
      </w:r>
      <w:r w:rsidR="0052220B">
        <w:t>which</w:t>
      </w:r>
      <w:proofErr w:type="gramEnd"/>
      <w:r w:rsidR="0052220B">
        <w:t xml:space="preserve"> will be applied as the discretion of the Board to determine if a design is out of compliance. If a mailbox has been determined to be out of compliance, per the procedures above, a notice letter </w:t>
      </w:r>
      <w:proofErr w:type="gramStart"/>
      <w:r w:rsidR="0052220B">
        <w:t>will be sent</w:t>
      </w:r>
      <w:proofErr w:type="gramEnd"/>
      <w:r w:rsidR="0052220B">
        <w:t xml:space="preserve">. If after the </w:t>
      </w:r>
      <w:proofErr w:type="gramStart"/>
      <w:r w:rsidR="0052220B">
        <w:t>2</w:t>
      </w:r>
      <w:r w:rsidR="0052220B" w:rsidRPr="0052220B">
        <w:rPr>
          <w:vertAlign w:val="superscript"/>
        </w:rPr>
        <w:t>nd</w:t>
      </w:r>
      <w:proofErr w:type="gramEnd"/>
      <w:r w:rsidR="0052220B">
        <w:t xml:space="preserve"> notice letter and assessed fine, it is still out of compliance, the WHHOA Board will contract the construction of a new mailbox meeting the original design specifications. This </w:t>
      </w:r>
      <w:proofErr w:type="gramStart"/>
      <w:r w:rsidR="0052220B">
        <w:t>will be installed</w:t>
      </w:r>
      <w:proofErr w:type="gramEnd"/>
      <w:r w:rsidR="0052220B">
        <w:t xml:space="preserve"> in the Owners lot at their expense. All mailboxes are to be incompliance with this requirement by </w:t>
      </w:r>
      <w:r w:rsidR="00AE02A9">
        <w:t>August</w:t>
      </w:r>
      <w:r w:rsidR="0052220B">
        <w:t xml:space="preserve"> </w:t>
      </w:r>
      <w:proofErr w:type="gramStart"/>
      <w:r w:rsidR="00AE02A9">
        <w:t>31</w:t>
      </w:r>
      <w:r w:rsidR="0052220B" w:rsidRPr="0052220B">
        <w:rPr>
          <w:vertAlign w:val="superscript"/>
        </w:rPr>
        <w:t>st</w:t>
      </w:r>
      <w:proofErr w:type="gramEnd"/>
      <w:r w:rsidR="0052220B">
        <w:t xml:space="preserve"> of 2017. </w:t>
      </w:r>
    </w:p>
    <w:p w:rsidR="0052220B" w:rsidRPr="0059265C" w:rsidRDefault="0059265C" w:rsidP="00FA6489">
      <w:pPr>
        <w:rPr>
          <w:sz w:val="24"/>
        </w:rPr>
      </w:pPr>
      <w:r>
        <w:rPr>
          <w:sz w:val="24"/>
        </w:rPr>
        <w:t xml:space="preserve">Lastly, the decision on whether to assess a monetary penalties lie </w:t>
      </w:r>
      <w:r w:rsidR="000D60F5">
        <w:rPr>
          <w:sz w:val="24"/>
        </w:rPr>
        <w:t>strictly</w:t>
      </w:r>
      <w:r>
        <w:rPr>
          <w:sz w:val="24"/>
        </w:rPr>
        <w:t xml:space="preserve"> with the Board. Mitigating circumstances regarding the violation in </w:t>
      </w:r>
      <w:r w:rsidR="000D60F5">
        <w:rPr>
          <w:sz w:val="24"/>
        </w:rPr>
        <w:t>question</w:t>
      </w:r>
      <w:r>
        <w:rPr>
          <w:sz w:val="24"/>
        </w:rPr>
        <w:t xml:space="preserve"> may include but are not limited too new resident settling periods, work/life changes, </w:t>
      </w:r>
      <w:r w:rsidR="00312870">
        <w:rPr>
          <w:sz w:val="24"/>
        </w:rPr>
        <w:t xml:space="preserve">extended leaves, and significant construction. If a homeowner elects to dispute or provide additional information, they should contact the Board. </w:t>
      </w:r>
    </w:p>
    <w:p w:rsidR="00560531" w:rsidRDefault="00560531" w:rsidP="00FA6489">
      <w:bookmarkStart w:id="2" w:name="_GoBack"/>
      <w:bookmarkEnd w:id="2"/>
    </w:p>
    <w:p w:rsidR="0006341E" w:rsidRDefault="0006341E" w:rsidP="0006341E">
      <w:pPr>
        <w:rPr>
          <w:b/>
          <w:sz w:val="24"/>
        </w:rPr>
      </w:pPr>
      <w:bookmarkStart w:id="3" w:name="OLE_LINK3"/>
      <w:bookmarkStart w:id="4" w:name="OLE_LINK4"/>
      <w:r>
        <w:rPr>
          <w:b/>
          <w:sz w:val="24"/>
        </w:rPr>
        <w:t>Document Revision Log</w:t>
      </w:r>
    </w:p>
    <w:tbl>
      <w:tblPr>
        <w:tblStyle w:val="TableGrid"/>
        <w:tblW w:w="0" w:type="auto"/>
        <w:tblLook w:val="04A0" w:firstRow="1" w:lastRow="0" w:firstColumn="1" w:lastColumn="0" w:noHBand="0" w:noVBand="1"/>
      </w:tblPr>
      <w:tblGrid>
        <w:gridCol w:w="759"/>
        <w:gridCol w:w="1324"/>
        <w:gridCol w:w="1091"/>
        <w:gridCol w:w="2904"/>
      </w:tblGrid>
      <w:tr w:rsidR="0006341E" w:rsidTr="0006341E">
        <w:tc>
          <w:tcPr>
            <w:tcW w:w="759" w:type="dxa"/>
          </w:tcPr>
          <w:p w:rsidR="0006341E" w:rsidRDefault="0006341E" w:rsidP="0006341E">
            <w:pPr>
              <w:rPr>
                <w:b/>
                <w:sz w:val="24"/>
              </w:rPr>
            </w:pPr>
            <w:r>
              <w:rPr>
                <w:b/>
                <w:sz w:val="24"/>
              </w:rPr>
              <w:t>No.</w:t>
            </w:r>
          </w:p>
        </w:tc>
        <w:tc>
          <w:tcPr>
            <w:tcW w:w="1324" w:type="dxa"/>
          </w:tcPr>
          <w:p w:rsidR="0006341E" w:rsidRDefault="0006341E" w:rsidP="0006341E">
            <w:pPr>
              <w:rPr>
                <w:b/>
                <w:sz w:val="24"/>
              </w:rPr>
            </w:pPr>
            <w:r>
              <w:rPr>
                <w:b/>
                <w:sz w:val="24"/>
              </w:rPr>
              <w:t>Date</w:t>
            </w:r>
          </w:p>
        </w:tc>
        <w:tc>
          <w:tcPr>
            <w:tcW w:w="1091" w:type="dxa"/>
          </w:tcPr>
          <w:p w:rsidR="0006341E" w:rsidRDefault="0006341E" w:rsidP="0006341E">
            <w:pPr>
              <w:rPr>
                <w:b/>
                <w:sz w:val="24"/>
              </w:rPr>
            </w:pPr>
            <w:r>
              <w:rPr>
                <w:b/>
                <w:sz w:val="24"/>
              </w:rPr>
              <w:t>Initials</w:t>
            </w:r>
          </w:p>
        </w:tc>
        <w:tc>
          <w:tcPr>
            <w:tcW w:w="2904" w:type="dxa"/>
          </w:tcPr>
          <w:p w:rsidR="0006341E" w:rsidRDefault="0006341E" w:rsidP="0006341E">
            <w:pPr>
              <w:rPr>
                <w:b/>
                <w:sz w:val="24"/>
              </w:rPr>
            </w:pPr>
            <w:r>
              <w:rPr>
                <w:b/>
                <w:sz w:val="24"/>
              </w:rPr>
              <w:t>Notes</w:t>
            </w:r>
          </w:p>
        </w:tc>
      </w:tr>
      <w:tr w:rsidR="0006341E" w:rsidTr="0006341E">
        <w:tc>
          <w:tcPr>
            <w:tcW w:w="759" w:type="dxa"/>
          </w:tcPr>
          <w:p w:rsidR="0006341E" w:rsidRPr="0006341E" w:rsidRDefault="0006341E" w:rsidP="0006341E">
            <w:pPr>
              <w:rPr>
                <w:sz w:val="24"/>
              </w:rPr>
            </w:pPr>
            <w:r w:rsidRPr="0006341E">
              <w:rPr>
                <w:sz w:val="24"/>
              </w:rPr>
              <w:t>1.0</w:t>
            </w:r>
          </w:p>
        </w:tc>
        <w:tc>
          <w:tcPr>
            <w:tcW w:w="1324" w:type="dxa"/>
          </w:tcPr>
          <w:p w:rsidR="0006341E" w:rsidRPr="0006341E" w:rsidRDefault="0006341E" w:rsidP="0006341E">
            <w:pPr>
              <w:rPr>
                <w:sz w:val="24"/>
              </w:rPr>
            </w:pPr>
            <w:r>
              <w:rPr>
                <w:sz w:val="24"/>
              </w:rPr>
              <w:t>1/30/2017</w:t>
            </w:r>
          </w:p>
        </w:tc>
        <w:tc>
          <w:tcPr>
            <w:tcW w:w="1091" w:type="dxa"/>
          </w:tcPr>
          <w:p w:rsidR="0006341E" w:rsidRPr="0006341E" w:rsidRDefault="0006341E" w:rsidP="0006341E">
            <w:pPr>
              <w:rPr>
                <w:sz w:val="24"/>
              </w:rPr>
            </w:pPr>
            <w:r>
              <w:rPr>
                <w:sz w:val="24"/>
              </w:rPr>
              <w:t>MPG</w:t>
            </w:r>
          </w:p>
        </w:tc>
        <w:tc>
          <w:tcPr>
            <w:tcW w:w="2904" w:type="dxa"/>
          </w:tcPr>
          <w:p w:rsidR="0006341E" w:rsidRPr="0006341E" w:rsidRDefault="0006341E" w:rsidP="0006341E">
            <w:pPr>
              <w:rPr>
                <w:sz w:val="24"/>
              </w:rPr>
            </w:pPr>
            <w:r>
              <w:rPr>
                <w:sz w:val="24"/>
              </w:rPr>
              <w:t>Initial creation and release</w:t>
            </w:r>
          </w:p>
        </w:tc>
      </w:tr>
      <w:bookmarkEnd w:id="3"/>
      <w:bookmarkEnd w:id="4"/>
    </w:tbl>
    <w:p w:rsidR="0006341E" w:rsidRPr="005F0528" w:rsidRDefault="0006341E" w:rsidP="0006341E">
      <w:pPr>
        <w:rPr>
          <w:b/>
          <w:sz w:val="24"/>
        </w:rPr>
      </w:pPr>
    </w:p>
    <w:p w:rsidR="006136D2" w:rsidRDefault="006136D2" w:rsidP="0006341E"/>
    <w:sectPr w:rsidR="006136D2" w:rsidSect="00F07FAE">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1C" w:rsidRDefault="00DC421C" w:rsidP="00DC421C">
      <w:pPr>
        <w:spacing w:after="0" w:line="240" w:lineRule="auto"/>
      </w:pPr>
      <w:r>
        <w:separator/>
      </w:r>
    </w:p>
  </w:endnote>
  <w:endnote w:type="continuationSeparator" w:id="0">
    <w:p w:rsidR="00DC421C" w:rsidRDefault="00DC421C" w:rsidP="00DC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1E" w:rsidRDefault="0006341E">
    <w:pPr>
      <w:pStyle w:val="Footer"/>
    </w:pPr>
    <w:r>
      <w:t>Covenant Violation Policy</w:t>
    </w:r>
    <w:r>
      <w:tab/>
      <w:t>Revision 1.0</w:t>
    </w:r>
    <w:r>
      <w:tab/>
      <w:t>1/30/2017</w:t>
    </w:r>
  </w:p>
  <w:p w:rsidR="0006341E" w:rsidRDefault="0006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1C" w:rsidRDefault="00DC421C" w:rsidP="00DC421C">
      <w:pPr>
        <w:spacing w:after="0" w:line="240" w:lineRule="auto"/>
      </w:pPr>
      <w:r>
        <w:separator/>
      </w:r>
    </w:p>
  </w:footnote>
  <w:footnote w:type="continuationSeparator" w:id="0">
    <w:p w:rsidR="00DC421C" w:rsidRDefault="00DC421C" w:rsidP="00DC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1C" w:rsidRDefault="00CD4178" w:rsidP="00DC421C">
    <w:pPr>
      <w:pStyle w:val="Header"/>
      <w:jc w:val="center"/>
      <w:rPr>
        <w:sz w:val="32"/>
      </w:rPr>
    </w:pPr>
    <w:r>
      <w:rPr>
        <w:caps/>
        <w:noProof/>
        <w:color w:val="808080" w:themeColor="background1" w:themeShade="80"/>
        <w:sz w:val="28"/>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9525" r="4445" b="4445"/>
              <wp:wrapNone/>
              <wp:docPr id="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3" name="Group 159"/>
                      <wpg:cNvGrpSpPr>
                        <a:grpSpLocks/>
                      </wpg:cNvGrpSpPr>
                      <wpg:grpSpPr bwMode="auto">
                        <a:xfrm>
                          <a:off x="0" y="0"/>
                          <a:ext cx="17007" cy="10241"/>
                          <a:chOff x="0" y="0"/>
                          <a:chExt cx="17007" cy="10241"/>
                        </a:xfrm>
                      </wpg:grpSpPr>
                      <wps:wsp>
                        <wps:cNvPr id="4"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2225" cap="rnd">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2225" cap="rnd">
                                <a:solidFill>
                                  <a:srgbClr val="000000"/>
                                </a:solidFill>
                                <a:round/>
                                <a:headEnd/>
                                <a:tailEnd/>
                              </a14:hiddenLine>
                            </a:ext>
                          </a:extLst>
                        </wps:spPr>
                        <wps:bodyPr rot="0" vert="horz" wrap="square" lIns="91440" tIns="45720" rIns="91440" bIns="45720" anchor="ctr" anchorCtr="0" upright="1">
                          <a:noAutofit/>
                        </wps:bodyPr>
                      </wps:wsp>
                      <wps:wsp>
                        <wps:cNvPr id="6"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2225" cap="rnd">
                                <a:solidFill>
                                  <a:srgbClr val="000000"/>
                                </a:solidFill>
                                <a:miter lim="800000"/>
                                <a:headEnd/>
                                <a:tailEnd/>
                              </a14:hiddenLine>
                            </a:ext>
                          </a:extLst>
                        </wps:spPr>
                        <wps:bodyPr rot="0" vert="horz" wrap="square" lIns="91440" tIns="45720" rIns="91440" bIns="45720" anchor="ctr" anchorCtr="0" upright="1">
                          <a:noAutofit/>
                        </wps:bodyPr>
                      </wps:wsp>
                    </wpg:grpSp>
                    <wps:wsp>
                      <wps:cNvPr id="7"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421C" w:rsidRDefault="0060635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DC421C">
                              <w:rPr>
                                <w:color w:val="FFFFFF" w:themeColor="background1"/>
                                <w:sz w:val="24"/>
                                <w:szCs w:val="24"/>
                              </w:rPr>
                              <w:instrText xml:space="preserve"> PAGE   \* MERGEFORMAT </w:instrText>
                            </w:r>
                            <w:r>
                              <w:rPr>
                                <w:color w:val="FFFFFF" w:themeColor="background1"/>
                                <w:sz w:val="24"/>
                                <w:szCs w:val="24"/>
                              </w:rPr>
                              <w:fldChar w:fldCharType="separate"/>
                            </w:r>
                            <w:r w:rsidR="0006341E">
                              <w:rPr>
                                <w:noProof/>
                                <w:color w:val="FFFFFF" w:themeColor="background1"/>
                                <w:sz w:val="24"/>
                                <w:szCs w:val="24"/>
                              </w:rPr>
                              <w:t>3</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iCMMA&#10;AADaAAAADwAAAGRycy9kb3ducmV2LnhtbESPQWsCMRSE70L/Q3gFbzXbUmxZjVK3FAo9aRU9PjbP&#10;3ejmJSZRt/++KRQ8DjPzDTOd97YTFwrROFbwOCpAENdOG24UrL8/Hl5BxISssXNMCn4ownx2N5hi&#10;qd2Vl3RZpUZkCMcSFbQp+VLKWLdkMY6cJ87e3gWLKcvQSB3wmuG2k09FMZYWDeeFFj1VLdXH1dkq&#10;WO6qja/Gp6M5bBfrxdd78CfzotTwvn+bgEjUp1v4v/2pFTzD35V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iCMMAAADaAAAADwAAAAAAAAAAAAAAAACYAgAAZHJzL2Rv&#10;d25yZXYueG1sUEsFBgAAAAAEAAQA9QAAAIgDAAAAAA==&#10;" fillcolor="white [3212]" stroked="f" strokeweight="1.75pt">
                  <v:fill opacity="0"/>
                  <v:stroke endcap="round"/>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JFcAA&#10;AADaAAAADwAAAGRycy9kb3ducmV2LnhtbESPQYvCMBSE78L+h/AW9qapgiLVKNpF2KvuCh4fzbMp&#10;Ni/dJNX6740geBxm5htmue5tI67kQ+1YwXiUgSAuna65UvD3uxvOQYSIrLFxTAruFGC9+hgsMdfu&#10;xnu6HmIlEoRDjgpMjG0uZSgNWQwj1xIn7+y8xZikr6T2eEtw28hJls2kxZrTgsGWCkPl5dBZBafx&#10;d/dfUXG8G9+dpq7Yltbvlfr67DcLEJH6+A6/2j9awRSeV9IN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rJFcAAAADaAAAADwAAAAAAAAAAAAAAAACYAgAAZHJzL2Rvd25y&#10;ZXYueG1sUEsFBgAAAAAEAAQA9QAAAIUDAAAAAA==&#10;" path="m,l1462822,,910372,376306,,1014481,,xe" fillcolor="#99cb38 [3204]" stroked="f" strokeweight="1.75pt">
                  <v:stroke endcap="round"/>
                  <v:path arrowok="t" o:connecttype="custom" o:connectlocs="0,0;14632,0;9106,3766;0,1015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kEcIA&#10;AADaAAAADwAAAGRycy9kb3ducmV2LnhtbESP0WrCQBRE3wX/YbmFvkizSUQp0VVsS62vJn7AJXtN&#10;UrN30+w2Sf++Wyj4OMzMGWa7n0wrBupdY1lBEsUgiEurG64UXIr3p2cQziNrbC2Tgh9ysN/NZ1vM&#10;tB35TEPuKxEg7DJUUHvfZVK6siaDLrIdcfCutjfog+wrqXscA9y0Mo3jtTTYcFiosaPXmspb/m0U&#10;HDn9WKTLlbz5r2REI4uXT/em1OPDdNiA8DT5e/i/fdIK1vB3Jd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KQRwgAAANoAAAAPAAAAAAAAAAAAAAAAAJgCAABkcnMvZG93&#10;bnJldi54bWxQSwUGAAAAAAQABAD1AAAAhwMAAAAA&#10;" stroked="f" strokeweight="1.75pt">
                  <v:fill r:id="rId2" o:title="" recolor="t" rotate="t" type="frame"/>
                  <v:stroke endcap="round"/>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rsidR="00DC421C" w:rsidRDefault="0060635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DC421C">
                        <w:rPr>
                          <w:color w:val="FFFFFF" w:themeColor="background1"/>
                          <w:sz w:val="24"/>
                          <w:szCs w:val="24"/>
                        </w:rPr>
                        <w:instrText xml:space="preserve"> PAGE   \* MERGEFORMAT </w:instrText>
                      </w:r>
                      <w:r>
                        <w:rPr>
                          <w:color w:val="FFFFFF" w:themeColor="background1"/>
                          <w:sz w:val="24"/>
                          <w:szCs w:val="24"/>
                        </w:rPr>
                        <w:fldChar w:fldCharType="separate"/>
                      </w:r>
                      <w:r w:rsidR="0006341E">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sidR="00DC421C" w:rsidRPr="00DC421C">
      <w:rPr>
        <w:sz w:val="32"/>
      </w:rPr>
      <w:t>Wolf Hollow Homeowners Association</w:t>
    </w:r>
  </w:p>
  <w:p w:rsidR="006136D2" w:rsidRDefault="006136D2" w:rsidP="00DC421C">
    <w:pPr>
      <w:pStyle w:val="Header"/>
      <w:jc w:val="center"/>
      <w:rPr>
        <w:sz w:val="24"/>
        <w:szCs w:val="24"/>
      </w:rPr>
    </w:pPr>
    <w:r>
      <w:rPr>
        <w:sz w:val="24"/>
        <w:szCs w:val="24"/>
      </w:rPr>
      <w:t>C/O Elite Property Management</w:t>
    </w:r>
  </w:p>
  <w:p w:rsidR="006136D2" w:rsidRDefault="00AE02A9" w:rsidP="00DC421C">
    <w:pPr>
      <w:pStyle w:val="Header"/>
      <w:jc w:val="center"/>
      <w:rPr>
        <w:sz w:val="24"/>
        <w:szCs w:val="24"/>
      </w:rPr>
    </w:pPr>
    <w:r>
      <w:rPr>
        <w:sz w:val="24"/>
        <w:szCs w:val="24"/>
      </w:rPr>
      <w:t>3415 N 127th Street Suite 300</w:t>
    </w:r>
  </w:p>
  <w:p w:rsidR="00AE02A9" w:rsidRDefault="00AE02A9" w:rsidP="00DC421C">
    <w:pPr>
      <w:pStyle w:val="Header"/>
      <w:jc w:val="center"/>
      <w:rPr>
        <w:sz w:val="24"/>
        <w:szCs w:val="24"/>
      </w:rPr>
    </w:pPr>
    <w:r>
      <w:rPr>
        <w:sz w:val="24"/>
        <w:szCs w:val="24"/>
      </w:rPr>
      <w:t>Brookfield, WI 53005</w:t>
    </w:r>
  </w:p>
  <w:p w:rsidR="006136D2" w:rsidRDefault="00AE02A9" w:rsidP="00DC421C">
    <w:pPr>
      <w:pStyle w:val="Header"/>
      <w:jc w:val="center"/>
      <w:rPr>
        <w:sz w:val="24"/>
        <w:szCs w:val="24"/>
      </w:rPr>
    </w:pPr>
    <w:r>
      <w:rPr>
        <w:sz w:val="24"/>
        <w:szCs w:val="24"/>
      </w:rPr>
      <w:t>(262) 373-1777 x229</w:t>
    </w:r>
  </w:p>
  <w:p w:rsidR="006A71B7" w:rsidRPr="006136D2" w:rsidRDefault="006A71B7" w:rsidP="00DC421C">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1292E"/>
    <w:multiLevelType w:val="hybridMultilevel"/>
    <w:tmpl w:val="1318C1EA"/>
    <w:lvl w:ilvl="0" w:tplc="D266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1C"/>
    <w:rsid w:val="0006341E"/>
    <w:rsid w:val="00075491"/>
    <w:rsid w:val="000B6782"/>
    <w:rsid w:val="000D60F5"/>
    <w:rsid w:val="002C5598"/>
    <w:rsid w:val="00312870"/>
    <w:rsid w:val="003516F1"/>
    <w:rsid w:val="00353FBE"/>
    <w:rsid w:val="0045464E"/>
    <w:rsid w:val="0052220B"/>
    <w:rsid w:val="00560531"/>
    <w:rsid w:val="0059265C"/>
    <w:rsid w:val="00596AC2"/>
    <w:rsid w:val="005F0528"/>
    <w:rsid w:val="0060635D"/>
    <w:rsid w:val="006121DD"/>
    <w:rsid w:val="006136D2"/>
    <w:rsid w:val="006A71B7"/>
    <w:rsid w:val="007973C3"/>
    <w:rsid w:val="009A79FF"/>
    <w:rsid w:val="00AA7021"/>
    <w:rsid w:val="00AE02A9"/>
    <w:rsid w:val="00C00DA7"/>
    <w:rsid w:val="00C604FC"/>
    <w:rsid w:val="00CD4178"/>
    <w:rsid w:val="00DC421C"/>
    <w:rsid w:val="00DD721B"/>
    <w:rsid w:val="00E01084"/>
    <w:rsid w:val="00F07FAE"/>
    <w:rsid w:val="00F47F47"/>
    <w:rsid w:val="00FA6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C6061A-B97D-451C-BA93-61932767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1C"/>
  </w:style>
  <w:style w:type="paragraph" w:styleId="Footer">
    <w:name w:val="footer"/>
    <w:basedOn w:val="Normal"/>
    <w:link w:val="FooterChar"/>
    <w:uiPriority w:val="99"/>
    <w:unhideWhenUsed/>
    <w:rsid w:val="00DC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1C"/>
  </w:style>
  <w:style w:type="character" w:styleId="Hyperlink">
    <w:name w:val="Hyperlink"/>
    <w:basedOn w:val="DefaultParagraphFont"/>
    <w:uiPriority w:val="99"/>
    <w:unhideWhenUsed/>
    <w:rsid w:val="002C5598"/>
    <w:rPr>
      <w:color w:val="EE7B08" w:themeColor="hyperlink"/>
      <w:u w:val="single"/>
    </w:rPr>
  </w:style>
  <w:style w:type="table" w:styleId="TableGrid">
    <w:name w:val="Table Grid"/>
    <w:basedOn w:val="TableNormal"/>
    <w:uiPriority w:val="59"/>
    <w:rsid w:val="00FA6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Dividen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067A-5887-4170-A879-42ED9BA8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Research Products</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Greuel</dc:creator>
  <cp:keywords/>
  <dc:description/>
  <cp:lastModifiedBy>Matt Greuel</cp:lastModifiedBy>
  <cp:revision>5</cp:revision>
  <dcterms:created xsi:type="dcterms:W3CDTF">2017-01-30T13:17:00Z</dcterms:created>
  <dcterms:modified xsi:type="dcterms:W3CDTF">2017-01-30T13:28:00Z</dcterms:modified>
</cp:coreProperties>
</file>