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744" w:rsidRPr="00475744" w:rsidRDefault="00F77F01" w:rsidP="00E414B0">
      <w:pPr>
        <w:rPr>
          <w:b/>
          <w:sz w:val="28"/>
          <w:szCs w:val="28"/>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4659C8">
        <w:rPr>
          <w:rFonts w:ascii="Verdana" w:hAnsi="Verdana"/>
          <w:i/>
          <w:color w:val="000000"/>
          <w:sz w:val="20"/>
          <w:szCs w:val="20"/>
        </w:rPr>
        <w:t>DATA SHEET</w:t>
      </w:r>
      <w:r w:rsidR="004659C8">
        <w:rPr>
          <w:b/>
        </w:rPr>
        <w:t xml:space="preserve"> </w:t>
      </w:r>
      <w:r w:rsidR="002A530F" w:rsidRPr="00F77F01">
        <w:rPr>
          <w:color w:val="FF0000"/>
          <w:sz w:val="28"/>
          <w:szCs w:val="28"/>
        </w:rPr>
        <w:t>Alpha-1-</w:t>
      </w:r>
      <w:r w:rsidR="0065277C" w:rsidRPr="00F77F01">
        <w:rPr>
          <w:color w:val="FF0000"/>
          <w:sz w:val="28"/>
          <w:szCs w:val="28"/>
        </w:rPr>
        <w:t>Antitrypsin (</w:t>
      </w:r>
      <w:r w:rsidR="001C4594" w:rsidRPr="00F77F01">
        <w:rPr>
          <w:color w:val="FF0000"/>
          <w:sz w:val="28"/>
          <w:szCs w:val="28"/>
        </w:rPr>
        <w:t>AAT)</w:t>
      </w:r>
      <w:r w:rsidR="0096778B" w:rsidRPr="00F77F01">
        <w:rPr>
          <w:color w:val="FF0000"/>
          <w:sz w:val="28"/>
          <w:szCs w:val="28"/>
        </w:rPr>
        <w:t>,</w:t>
      </w:r>
      <w:r w:rsidR="00DB6FD5" w:rsidRPr="00F77F01">
        <w:rPr>
          <w:color w:val="FF0000"/>
          <w:sz w:val="28"/>
          <w:szCs w:val="28"/>
        </w:rPr>
        <w:t xml:space="preserve"> Polyclonal r</w:t>
      </w:r>
      <w:r w:rsidR="005748C5" w:rsidRPr="00F77F01">
        <w:rPr>
          <w:color w:val="FF0000"/>
          <w:sz w:val="28"/>
          <w:szCs w:val="28"/>
        </w:rPr>
        <w:t>abbit-anti-human</w:t>
      </w:r>
    </w:p>
    <w:p w:rsidR="00511B7C" w:rsidRDefault="00511B7C" w:rsidP="00656BDC">
      <w:pPr>
        <w:rPr>
          <w:b/>
        </w:rPr>
      </w:pPr>
    </w:p>
    <w:p w:rsidR="00656BDC" w:rsidRPr="00273A77" w:rsidRDefault="00656BDC" w:rsidP="00656BDC">
      <w:pPr>
        <w:rPr>
          <w:u w:val="single"/>
        </w:rPr>
      </w:pPr>
      <w:r>
        <w:rPr>
          <w:b/>
        </w:rPr>
        <w:t>Catalog number</w:t>
      </w:r>
      <w:r w:rsidR="006C3838">
        <w:rPr>
          <w:b/>
        </w:rPr>
        <w:t>:</w:t>
      </w:r>
      <w:r w:rsidR="002A530F">
        <w:t xml:space="preserve"> RP-4019</w:t>
      </w:r>
      <w:r w:rsidR="00A24CD6">
        <w:t xml:space="preserve">-01    </w:t>
      </w:r>
      <w:r w:rsidR="00165F51">
        <w:t xml:space="preserve">0.5 ml    Concentrated          </w:t>
      </w:r>
      <w:r w:rsidR="00F63A2E">
        <w:t xml:space="preserve">  </w:t>
      </w:r>
      <w:r w:rsidR="0031515B">
        <w:t xml:space="preserve"> </w:t>
      </w:r>
      <w:r w:rsidR="005748C5">
        <w:t>Ig</w:t>
      </w:r>
      <w:r w:rsidR="007163C3">
        <w:t>G</w:t>
      </w:r>
      <w:r w:rsidR="00475744">
        <w:t xml:space="preserve"> </w:t>
      </w:r>
      <w:r w:rsidR="00165F51">
        <w:t xml:space="preserve">   </w:t>
      </w:r>
      <w:r w:rsidR="0096778B">
        <w:t>2</w:t>
      </w:r>
      <w:r w:rsidR="005748C5">
        <w:t>.0</w:t>
      </w:r>
      <w:r w:rsidR="00165F51">
        <w:t xml:space="preserve"> mg/ml</w:t>
      </w:r>
    </w:p>
    <w:p w:rsidR="00656BDC" w:rsidRDefault="00656BDC" w:rsidP="00656BDC">
      <w:r w:rsidRPr="00273A77">
        <w:t xml:space="preserve">        </w:t>
      </w:r>
      <w:r>
        <w:t xml:space="preserve">                     </w:t>
      </w:r>
      <w:r w:rsidR="00626B3A">
        <w:t xml:space="preserve"> </w:t>
      </w:r>
      <w:r w:rsidR="002A530F">
        <w:t>RP-4019</w:t>
      </w:r>
      <w:r w:rsidR="00A24CD6">
        <w:t xml:space="preserve">-02    </w:t>
      </w:r>
      <w:r w:rsidR="00165F51">
        <w:t xml:space="preserve">1.0 ml    Concentrated           </w:t>
      </w:r>
      <w:r w:rsidR="00F63A2E">
        <w:t xml:space="preserve"> </w:t>
      </w:r>
      <w:r w:rsidR="00626B3A">
        <w:t xml:space="preserve"> </w:t>
      </w:r>
      <w:r w:rsidR="005748C5">
        <w:t>Ig</w:t>
      </w:r>
      <w:r w:rsidR="007163C3">
        <w:t>G</w:t>
      </w:r>
      <w:r w:rsidR="00165F51">
        <w:t xml:space="preserve">   </w:t>
      </w:r>
      <w:r w:rsidR="0096778B">
        <w:t xml:space="preserve"> 2</w:t>
      </w:r>
      <w:r w:rsidR="005748C5">
        <w:t>.0</w:t>
      </w:r>
      <w:r w:rsidR="00165F51">
        <w:t>mg/ml</w:t>
      </w:r>
      <w:r>
        <w:t xml:space="preserve">   </w:t>
      </w:r>
    </w:p>
    <w:p w:rsidR="00656BDC" w:rsidRPr="00273A77" w:rsidRDefault="00A24CD6" w:rsidP="00656BDC">
      <w:r>
        <w:t xml:space="preserve">    </w:t>
      </w:r>
      <w:r w:rsidR="00EA1CD2">
        <w:t xml:space="preserve">                         </w:t>
      </w:r>
      <w:r w:rsidR="00626B3A">
        <w:t xml:space="preserve"> </w:t>
      </w:r>
      <w:r w:rsidR="00FD62CA">
        <w:t>RP-4</w:t>
      </w:r>
      <w:r w:rsidR="002A530F">
        <w:t>019</w:t>
      </w:r>
      <w:r w:rsidR="002E5B42">
        <w:t>-</w:t>
      </w:r>
      <w:r w:rsidR="00656BDC">
        <w:t xml:space="preserve">04 </w:t>
      </w:r>
      <w:r>
        <w:t xml:space="preserve">  </w:t>
      </w:r>
      <w:r w:rsidR="00656BDC">
        <w:t xml:space="preserve"> 7.0 ml    </w:t>
      </w:r>
      <w:r w:rsidR="00656BDC" w:rsidRPr="00273A77">
        <w:t xml:space="preserve">Prediluted for IHC  </w:t>
      </w:r>
      <w:r w:rsidR="006C3838">
        <w:t xml:space="preserve"> </w:t>
      </w:r>
      <w:r w:rsidR="00626B3A">
        <w:t xml:space="preserve">  </w:t>
      </w:r>
      <w:r w:rsidR="005748C5">
        <w:t>Ig</w:t>
      </w:r>
      <w:r w:rsidR="007163C3">
        <w:t>G</w:t>
      </w:r>
      <w:r w:rsidR="00165F51">
        <w:t xml:space="preserve">  </w:t>
      </w:r>
      <w:r w:rsidR="00D2397B">
        <w:t xml:space="preserve"> </w:t>
      </w:r>
      <w:r w:rsidR="0096778B">
        <w:t>8</w:t>
      </w:r>
      <w:r w:rsidR="00165F51">
        <w:t>µg/ml</w:t>
      </w:r>
    </w:p>
    <w:p w:rsidR="00E92FCF" w:rsidRDefault="00E92FCF" w:rsidP="00EA1CD2">
      <w:pPr>
        <w:rPr>
          <w:b/>
          <w:sz w:val="22"/>
          <w:szCs w:val="22"/>
        </w:rPr>
      </w:pPr>
    </w:p>
    <w:p w:rsidR="00EA1CD2" w:rsidRPr="00243651" w:rsidRDefault="00656BDC" w:rsidP="00EA1CD2">
      <w:pPr>
        <w:rPr>
          <w:sz w:val="22"/>
          <w:szCs w:val="22"/>
        </w:rPr>
      </w:pPr>
      <w:r w:rsidRPr="00243651">
        <w:rPr>
          <w:b/>
          <w:sz w:val="22"/>
          <w:szCs w:val="22"/>
        </w:rPr>
        <w:t>Buffer</w:t>
      </w:r>
      <w:r w:rsidR="00785F0B">
        <w:rPr>
          <w:sz w:val="22"/>
          <w:szCs w:val="22"/>
        </w:rPr>
        <w:t xml:space="preserve"> Total </w:t>
      </w:r>
      <w:proofErr w:type="gramStart"/>
      <w:r w:rsidR="00785F0B">
        <w:rPr>
          <w:sz w:val="22"/>
          <w:szCs w:val="22"/>
        </w:rPr>
        <w:t>Ig</w:t>
      </w:r>
      <w:r w:rsidR="00A04BEC">
        <w:rPr>
          <w:sz w:val="22"/>
          <w:szCs w:val="22"/>
        </w:rPr>
        <w:t xml:space="preserve">G </w:t>
      </w:r>
      <w:r w:rsidR="00785F0B">
        <w:rPr>
          <w:sz w:val="22"/>
          <w:szCs w:val="22"/>
        </w:rPr>
        <w:t xml:space="preserve"> is</w:t>
      </w:r>
      <w:proofErr w:type="gramEnd"/>
      <w:r w:rsidR="00785F0B">
        <w:rPr>
          <w:sz w:val="22"/>
          <w:szCs w:val="22"/>
        </w:rPr>
        <w:t xml:space="preserve"> purified by Protein A column and is supplied</w:t>
      </w:r>
      <w:r w:rsidR="00A04BEC">
        <w:rPr>
          <w:sz w:val="22"/>
          <w:szCs w:val="22"/>
        </w:rPr>
        <w:t xml:space="preserve"> is</w:t>
      </w:r>
      <w:r w:rsidR="00453DE3">
        <w:rPr>
          <w:sz w:val="22"/>
          <w:szCs w:val="22"/>
        </w:rPr>
        <w:t xml:space="preserve"> with</w:t>
      </w:r>
      <w:r w:rsidR="006C3838">
        <w:rPr>
          <w:sz w:val="22"/>
          <w:szCs w:val="22"/>
        </w:rPr>
        <w:t xml:space="preserve"> 1% </w:t>
      </w:r>
      <w:r w:rsidR="00453DE3">
        <w:rPr>
          <w:sz w:val="22"/>
          <w:szCs w:val="22"/>
        </w:rPr>
        <w:t xml:space="preserve">BSA </w:t>
      </w:r>
      <w:r w:rsidR="00453DE3" w:rsidRPr="00243651">
        <w:rPr>
          <w:sz w:val="22"/>
          <w:szCs w:val="22"/>
        </w:rPr>
        <w:t>in</w:t>
      </w:r>
      <w:r w:rsidR="00EA1CD2" w:rsidRPr="00243651">
        <w:rPr>
          <w:sz w:val="22"/>
          <w:szCs w:val="22"/>
        </w:rPr>
        <w:t xml:space="preserve"> PBS with 0.05% azide, pH 7.4. The Prediluted antibody</w:t>
      </w:r>
      <w:r w:rsidR="003132A3">
        <w:rPr>
          <w:sz w:val="22"/>
          <w:szCs w:val="22"/>
        </w:rPr>
        <w:t xml:space="preserve"> </w:t>
      </w:r>
      <w:r w:rsidR="00EA1CD2" w:rsidRPr="00243651">
        <w:rPr>
          <w:sz w:val="22"/>
          <w:szCs w:val="22"/>
        </w:rPr>
        <w:t xml:space="preserve">is </w:t>
      </w:r>
      <w:r w:rsidR="004716CF" w:rsidRPr="00243651">
        <w:rPr>
          <w:sz w:val="22"/>
          <w:szCs w:val="22"/>
        </w:rPr>
        <w:t>supplied</w:t>
      </w:r>
      <w:r w:rsidR="004716CF">
        <w:rPr>
          <w:sz w:val="22"/>
          <w:szCs w:val="22"/>
        </w:rPr>
        <w:t xml:space="preserve"> </w:t>
      </w:r>
      <w:r w:rsidR="004716CF" w:rsidRPr="00243651">
        <w:rPr>
          <w:sz w:val="22"/>
          <w:szCs w:val="22"/>
        </w:rPr>
        <w:t>in</w:t>
      </w:r>
      <w:r w:rsidR="00EA1CD2" w:rsidRPr="00243651">
        <w:rPr>
          <w:sz w:val="22"/>
          <w:szCs w:val="22"/>
        </w:rPr>
        <w:t xml:space="preserve"> our Universal antibody dilution buffer (AR-6526) green in color.</w:t>
      </w:r>
    </w:p>
    <w:p w:rsidR="002A530F" w:rsidRDefault="00656BDC" w:rsidP="002A530F">
      <w:pPr>
        <w:rPr>
          <w:bCs/>
          <w:sz w:val="22"/>
          <w:szCs w:val="22"/>
        </w:rPr>
      </w:pPr>
      <w:r w:rsidRPr="00EF7F1C">
        <w:rPr>
          <w:b/>
        </w:rPr>
        <w:t>Description</w:t>
      </w:r>
      <w:r w:rsidRPr="00EF7F1C">
        <w:t>:</w:t>
      </w:r>
      <w:r w:rsidR="004716CF">
        <w:rPr>
          <w:bCs/>
          <w:sz w:val="22"/>
          <w:szCs w:val="22"/>
        </w:rPr>
        <w:t xml:space="preserve"> </w:t>
      </w:r>
      <w:r w:rsidR="002A530F">
        <w:rPr>
          <w:bCs/>
          <w:sz w:val="22"/>
          <w:szCs w:val="22"/>
        </w:rPr>
        <w:t xml:space="preserve">Alpha-1-Antitrypsin (AAT) is a 51 kDa glycoprotein synthesized in the liver. It is a serum protease inhibitor in neutrophil elastase, collagenase and chymotrypsin. This protein </w:t>
      </w:r>
      <w:proofErr w:type="gramStart"/>
      <w:r w:rsidR="002A530F">
        <w:rPr>
          <w:bCs/>
          <w:sz w:val="22"/>
          <w:szCs w:val="22"/>
        </w:rPr>
        <w:t>is  a</w:t>
      </w:r>
      <w:proofErr w:type="gramEnd"/>
      <w:r w:rsidR="002A530F">
        <w:rPr>
          <w:bCs/>
          <w:sz w:val="22"/>
          <w:szCs w:val="22"/>
        </w:rPr>
        <w:t xml:space="preserve"> serum trypsin  inhibitor, the correct name is alpha-1-proteinase inhibitor (A1PI). Disorders of this</w:t>
      </w:r>
      <w:r w:rsidR="006E6EF9">
        <w:rPr>
          <w:bCs/>
          <w:sz w:val="22"/>
          <w:szCs w:val="22"/>
        </w:rPr>
        <w:t xml:space="preserve"> enzyme include, deficiency, </w:t>
      </w:r>
      <w:r w:rsidR="00483BCF">
        <w:rPr>
          <w:bCs/>
          <w:sz w:val="22"/>
          <w:szCs w:val="22"/>
        </w:rPr>
        <w:t xml:space="preserve">in </w:t>
      </w:r>
      <w:r w:rsidR="006E6EF9">
        <w:rPr>
          <w:bCs/>
          <w:sz w:val="22"/>
          <w:szCs w:val="22"/>
        </w:rPr>
        <w:t xml:space="preserve">a hereditary disorder, this causes degradation of lung tissue and causes pulmonary emphysema, </w:t>
      </w:r>
      <w:proofErr w:type="gramStart"/>
      <w:r w:rsidR="006E6EF9">
        <w:rPr>
          <w:bCs/>
          <w:sz w:val="22"/>
          <w:szCs w:val="22"/>
        </w:rPr>
        <w:t>it</w:t>
      </w:r>
      <w:proofErr w:type="gramEnd"/>
      <w:r w:rsidR="006E6EF9">
        <w:rPr>
          <w:bCs/>
          <w:sz w:val="22"/>
          <w:szCs w:val="22"/>
        </w:rPr>
        <w:t xml:space="preserve"> also causes chronic liver disease and hepatocarcinoma. AAT is present in normal liver cells, histocytes, monocytes and a variety of epithelial and mesenchymal tumors. Increase in serum levels of AAT</w:t>
      </w:r>
      <w:r w:rsidR="001C4594">
        <w:rPr>
          <w:bCs/>
          <w:sz w:val="22"/>
          <w:szCs w:val="22"/>
        </w:rPr>
        <w:t xml:space="preserve"> is also reported in rheumatoid arthritis, bacterial infection, vasculistis and carcinomatosis.</w:t>
      </w:r>
    </w:p>
    <w:p w:rsidR="00064B0F" w:rsidRDefault="002A530F" w:rsidP="002A530F">
      <w:r w:rsidRPr="002A530F">
        <w:rPr>
          <w:b/>
          <w:bCs/>
          <w:sz w:val="22"/>
          <w:szCs w:val="22"/>
        </w:rPr>
        <w:t xml:space="preserve"> Intended USE</w:t>
      </w:r>
      <w:r>
        <w:rPr>
          <w:bCs/>
          <w:sz w:val="22"/>
          <w:szCs w:val="22"/>
        </w:rPr>
        <w:t xml:space="preserve">: </w:t>
      </w:r>
      <w:r>
        <w:rPr>
          <w:b/>
        </w:rPr>
        <w:t xml:space="preserve"> </w:t>
      </w:r>
      <w:r w:rsidRPr="002A530F">
        <w:t>Immunohistochemistry</w:t>
      </w:r>
      <w:r w:rsidR="00656BDC" w:rsidRPr="00273A77">
        <w:t xml:space="preserve"> (IHC) and Immunocytchemistry</w:t>
      </w:r>
      <w:r w:rsidR="00656BDC" w:rsidRPr="00B3689C">
        <w:t xml:space="preserve"> </w:t>
      </w:r>
      <w:r w:rsidR="00656BDC" w:rsidRPr="009C2D95">
        <w:t>(ICC</w:t>
      </w:r>
      <w:r w:rsidR="006C0512">
        <w:t>)</w:t>
      </w:r>
    </w:p>
    <w:p w:rsidR="00064B0F" w:rsidRDefault="006C0512" w:rsidP="00E414B0">
      <w:pPr>
        <w:rPr>
          <w:b/>
        </w:rPr>
      </w:pPr>
      <w:r w:rsidRPr="00A83633">
        <w:rPr>
          <w:b/>
        </w:rPr>
        <w:t>Storage</w:t>
      </w:r>
      <w:r w:rsidRPr="00A05E6E">
        <w:t>:  2-8°C</w:t>
      </w:r>
    </w:p>
    <w:p w:rsidR="00236EC5" w:rsidRDefault="00656BDC" w:rsidP="00E414B0">
      <w:pPr>
        <w:rPr>
          <w:b/>
        </w:rPr>
      </w:pPr>
      <w:r w:rsidRPr="00FD1DDA">
        <w:rPr>
          <w:b/>
        </w:rPr>
        <w:t>Epitope:</w:t>
      </w:r>
      <w:r w:rsidR="008E408D">
        <w:rPr>
          <w:b/>
        </w:rPr>
        <w:t xml:space="preserve"> </w:t>
      </w:r>
      <w:r w:rsidR="004C67E1">
        <w:rPr>
          <w:sz w:val="22"/>
          <w:szCs w:val="22"/>
        </w:rPr>
        <w:t xml:space="preserve">not </w:t>
      </w:r>
      <w:r w:rsidR="00B41926">
        <w:rPr>
          <w:sz w:val="22"/>
          <w:szCs w:val="22"/>
        </w:rPr>
        <w:t>determined.</w:t>
      </w:r>
    </w:p>
    <w:p w:rsidR="004C67E1" w:rsidRPr="004C67E1" w:rsidRDefault="00656BDC" w:rsidP="00FB5BE6">
      <w:pPr>
        <w:rPr>
          <w:b/>
        </w:rPr>
      </w:pPr>
      <w:r w:rsidRPr="00FD1DDA">
        <w:rPr>
          <w:b/>
        </w:rPr>
        <w:t>Molecular weight of antigen</w:t>
      </w:r>
      <w:r w:rsidR="00BA5A66">
        <w:rPr>
          <w:b/>
        </w:rPr>
        <w:t>:</w:t>
      </w:r>
      <w:r w:rsidR="001C4594">
        <w:t xml:space="preserve"> 51 </w:t>
      </w:r>
      <w:r w:rsidR="00EE4D0E">
        <w:t>kDa.</w:t>
      </w:r>
    </w:p>
    <w:p w:rsidR="00656BDC" w:rsidRDefault="00656BDC" w:rsidP="00656BDC">
      <w:pPr>
        <w:jc w:val="both"/>
      </w:pPr>
      <w:r w:rsidRPr="003847D6">
        <w:rPr>
          <w:b/>
        </w:rPr>
        <w:t>Immunogen</w:t>
      </w:r>
      <w:r w:rsidR="00425A9A" w:rsidRPr="003847D6">
        <w:rPr>
          <w:b/>
        </w:rPr>
        <w:t>:</w:t>
      </w:r>
      <w:r w:rsidR="00425A9A">
        <w:t xml:space="preserve"> .</w:t>
      </w:r>
      <w:r w:rsidR="00A27774">
        <w:t xml:space="preserve">Purified human </w:t>
      </w:r>
      <w:r w:rsidR="009519DD">
        <w:t>ATT</w:t>
      </w:r>
    </w:p>
    <w:p w:rsidR="00656BDC" w:rsidRDefault="00656BDC" w:rsidP="00656BDC">
      <w:pPr>
        <w:jc w:val="both"/>
      </w:pPr>
      <w:r>
        <w:rPr>
          <w:b/>
        </w:rPr>
        <w:t xml:space="preserve">Species reactivity: </w:t>
      </w:r>
      <w:r w:rsidR="00050D98">
        <w:t>Human,</w:t>
      </w:r>
      <w:r w:rsidR="00EE4D0E">
        <w:t xml:space="preserve"> </w:t>
      </w:r>
      <w:r w:rsidR="00EA1CD2">
        <w:t>others not tested.</w:t>
      </w:r>
    </w:p>
    <w:p w:rsidR="00656BDC" w:rsidRDefault="00656BDC" w:rsidP="00656BDC">
      <w:pPr>
        <w:jc w:val="both"/>
      </w:pPr>
      <w:r>
        <w:rPr>
          <w:b/>
        </w:rPr>
        <w:t>Cellular Localization:</w:t>
      </w:r>
      <w:r w:rsidR="00B41926" w:rsidRPr="00B41926">
        <w:t xml:space="preserve"> Cytoplasmic</w:t>
      </w:r>
      <w:r w:rsidR="009519DD">
        <w:t xml:space="preserve"> staining of macrophages.</w:t>
      </w:r>
    </w:p>
    <w:p w:rsidR="00656BDC" w:rsidRDefault="00656BDC" w:rsidP="00656BDC">
      <w:pPr>
        <w:jc w:val="both"/>
      </w:pPr>
      <w:r w:rsidRPr="003847D6">
        <w:rPr>
          <w:b/>
        </w:rPr>
        <w:t>Recommended positive co</w:t>
      </w:r>
      <w:r>
        <w:rPr>
          <w:b/>
        </w:rPr>
        <w:t>ntrol:</w:t>
      </w:r>
      <w:r>
        <w:t xml:space="preserve"> </w:t>
      </w:r>
      <w:r w:rsidR="00B41926">
        <w:t>Human</w:t>
      </w:r>
      <w:r w:rsidR="00F6619B">
        <w:t xml:space="preserve"> tonsil, liver.</w:t>
      </w:r>
    </w:p>
    <w:p w:rsidR="00957C3F" w:rsidRDefault="00656BDC" w:rsidP="00656BDC">
      <w:pPr>
        <w:jc w:val="both"/>
        <w:rPr>
          <w:sz w:val="22"/>
          <w:szCs w:val="22"/>
        </w:rPr>
      </w:pPr>
      <w:r w:rsidRPr="006259E6">
        <w:rPr>
          <w:b/>
        </w:rPr>
        <w:t xml:space="preserve">Application: </w:t>
      </w:r>
      <w:r w:rsidR="0079342C" w:rsidRPr="00243651">
        <w:rPr>
          <w:sz w:val="22"/>
          <w:szCs w:val="22"/>
        </w:rPr>
        <w:t>IHC, ICC (frozen or formalin–fixed paraffin-embedded (FFPE) tissue</w:t>
      </w:r>
      <w:r w:rsidR="00050D98">
        <w:rPr>
          <w:sz w:val="22"/>
          <w:szCs w:val="22"/>
        </w:rPr>
        <w:t xml:space="preserve"> sections, cell smears) 1:50-1:2</w:t>
      </w:r>
      <w:r w:rsidR="0079342C" w:rsidRPr="00243651">
        <w:rPr>
          <w:sz w:val="22"/>
          <w:szCs w:val="22"/>
        </w:rPr>
        <w:t>00 using streptavidin-Biotin system or polymer system. Prediluted antibody is used directly withou</w:t>
      </w:r>
      <w:r w:rsidR="00050D98">
        <w:rPr>
          <w:sz w:val="22"/>
          <w:szCs w:val="22"/>
        </w:rPr>
        <w:t>t dilution.</w:t>
      </w:r>
      <w:r w:rsidR="00861F9E" w:rsidRPr="00243651">
        <w:rPr>
          <w:sz w:val="22"/>
          <w:szCs w:val="22"/>
        </w:rPr>
        <w:t xml:space="preserve"> </w:t>
      </w:r>
      <w:r w:rsidR="00F6619B">
        <w:rPr>
          <w:sz w:val="22"/>
          <w:szCs w:val="22"/>
        </w:rPr>
        <w:t>FFPE tissue sections require antigen retriever (boiling tissue in 10 mM citrate pH 6.0 for 10-20 minutes, followed by cooling at RT for 15-20 minutes).</w:t>
      </w:r>
    </w:p>
    <w:p w:rsidR="00656BDC" w:rsidRPr="00243651" w:rsidRDefault="00861F9E" w:rsidP="00656BDC">
      <w:pPr>
        <w:jc w:val="both"/>
        <w:rPr>
          <w:sz w:val="22"/>
          <w:szCs w:val="22"/>
        </w:rPr>
      </w:pPr>
      <w:r w:rsidRPr="00243651">
        <w:rPr>
          <w:sz w:val="22"/>
          <w:szCs w:val="22"/>
        </w:rPr>
        <w:t>The</w:t>
      </w:r>
      <w:r w:rsidR="0079342C" w:rsidRPr="00243651">
        <w:rPr>
          <w:sz w:val="22"/>
          <w:szCs w:val="22"/>
        </w:rPr>
        <w:t xml:space="preserve"> optimum dilution should be determined by the individual lab.</w:t>
      </w:r>
    </w:p>
    <w:p w:rsidR="00B40D20" w:rsidRDefault="00656BDC" w:rsidP="00236EC5">
      <w:pPr>
        <w:jc w:val="both"/>
      </w:pPr>
      <w:r w:rsidRPr="005E1A32">
        <w:rPr>
          <w:b/>
        </w:rPr>
        <w:t>General References</w:t>
      </w:r>
      <w:r w:rsidR="001354F9" w:rsidRPr="001354F9">
        <w:t xml:space="preserve"> </w:t>
      </w:r>
    </w:p>
    <w:p w:rsidR="002B736E" w:rsidRDefault="00F6619B" w:rsidP="00F6619B">
      <w:pPr>
        <w:pStyle w:val="ListParagraph"/>
        <w:numPr>
          <w:ilvl w:val="0"/>
          <w:numId w:val="14"/>
        </w:numPr>
        <w:jc w:val="both"/>
      </w:pPr>
      <w:r>
        <w:t xml:space="preserve">Clausen, P Acta. Path. Microbial. Scand. Sec. </w:t>
      </w:r>
      <w:proofErr w:type="gramStart"/>
      <w:r>
        <w:t>A</w:t>
      </w:r>
      <w:proofErr w:type="gramEnd"/>
      <w:r>
        <w:t xml:space="preserve"> 88:299-306, 1980.</w:t>
      </w:r>
    </w:p>
    <w:p w:rsidR="00F6619B" w:rsidRDefault="00F6619B" w:rsidP="00F6619B">
      <w:pPr>
        <w:pStyle w:val="ListParagraph"/>
        <w:numPr>
          <w:ilvl w:val="0"/>
          <w:numId w:val="14"/>
        </w:numPr>
        <w:jc w:val="both"/>
      </w:pPr>
      <w:r>
        <w:t xml:space="preserve">Krugliak, L </w:t>
      </w:r>
      <w:proofErr w:type="gramStart"/>
      <w:r>
        <w:t>et</w:t>
      </w:r>
      <w:proofErr w:type="gramEnd"/>
      <w:r>
        <w:t xml:space="preserve">. </w:t>
      </w:r>
      <w:proofErr w:type="gramStart"/>
      <w:r>
        <w:t>al</w:t>
      </w:r>
      <w:proofErr w:type="gramEnd"/>
      <w:r>
        <w:t>. Am. J. Hematol. 21:99-109,1986.</w:t>
      </w:r>
    </w:p>
    <w:p w:rsidR="00064B0F" w:rsidRPr="00861F9E" w:rsidRDefault="00064B0F" w:rsidP="00861F9E">
      <w:pPr>
        <w:jc w:val="both"/>
        <w:rPr>
          <w:sz w:val="20"/>
          <w:szCs w:val="20"/>
        </w:rPr>
      </w:pPr>
      <w:r w:rsidRPr="00861F9E">
        <w:rPr>
          <w:b/>
        </w:rPr>
        <w:t>Limitation and warranty:</w:t>
      </w:r>
      <w:r w:rsidRPr="00861F9E">
        <w:rPr>
          <w:sz w:val="20"/>
          <w:szCs w:val="20"/>
        </w:rPr>
        <w:t xml:space="preserve"> Our warranty is limited to the actual price paid for the product. We are not liable for any property damage, personnel injury, time, effort or economic loss due to our product.</w:t>
      </w:r>
    </w:p>
    <w:p w:rsidR="00064B0F" w:rsidRDefault="00064B0F" w:rsidP="00064B0F">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5748C5">
        <w:rPr>
          <w:sz w:val="20"/>
          <w:szCs w:val="20"/>
        </w:rPr>
        <w:t>plumbing</w:t>
      </w:r>
      <w:r>
        <w:rPr>
          <w:sz w:val="20"/>
          <w:szCs w:val="20"/>
        </w:rPr>
        <w:t xml:space="preserve"> system and </w:t>
      </w:r>
      <w:r w:rsidR="0065277C">
        <w:rPr>
          <w:sz w:val="20"/>
          <w:szCs w:val="20"/>
        </w:rPr>
        <w:t>forms hydrazoic</w:t>
      </w:r>
      <w:r>
        <w:rPr>
          <w:sz w:val="20"/>
          <w:szCs w:val="20"/>
        </w:rPr>
        <w:t xml:space="preserve"> </w:t>
      </w:r>
      <w:r w:rsidR="00930738">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064B0F" w:rsidRPr="009F08EA" w:rsidRDefault="00064B0F" w:rsidP="00064B0F">
      <w:pPr>
        <w:jc w:val="both"/>
        <w:rPr>
          <w:b/>
          <w:i/>
          <w:sz w:val="20"/>
          <w:szCs w:val="20"/>
        </w:rPr>
      </w:pPr>
      <w:r>
        <w:rPr>
          <w:sz w:val="20"/>
          <w:szCs w:val="20"/>
        </w:rPr>
        <w:t>---------------------------------------------------------------------------------------------------------------------------------</w:t>
      </w:r>
    </w:p>
    <w:p w:rsidR="005D039A" w:rsidRPr="00BA3EDA" w:rsidRDefault="005D039A" w:rsidP="005D039A">
      <w:pPr>
        <w:rPr>
          <w:sz w:val="18"/>
          <w:szCs w:val="18"/>
        </w:rPr>
      </w:pPr>
      <w:proofErr w:type="gramStart"/>
      <w:r w:rsidRPr="00BA3EDA">
        <w:rPr>
          <w:sz w:val="18"/>
          <w:szCs w:val="18"/>
        </w:rPr>
        <w:t>For research use only; not for use in diagnostic procedures.</w:t>
      </w:r>
      <w:proofErr w:type="gramEnd"/>
      <w:r w:rsidRPr="00BA3EDA">
        <w:rPr>
          <w:sz w:val="18"/>
          <w:szCs w:val="18"/>
        </w:rPr>
        <w:t xml:space="preserve"> FOR IN VITRO LABORATORY USE ONLY</w:t>
      </w:r>
    </w:p>
    <w:p w:rsidR="00CC64DA" w:rsidRPr="00BA3EDA" w:rsidRDefault="00CC64DA" w:rsidP="00CC64DA">
      <w:pPr>
        <w:rPr>
          <w:sz w:val="18"/>
          <w:szCs w:val="18"/>
        </w:rPr>
      </w:pPr>
      <w:r w:rsidRPr="00BA3EDA">
        <w:rPr>
          <w:sz w:val="18"/>
          <w:szCs w:val="18"/>
        </w:rPr>
        <w:t>“</w:t>
      </w:r>
      <w:r w:rsidRPr="00BA3EDA">
        <w:rPr>
          <w:i/>
          <w:sz w:val="18"/>
          <w:szCs w:val="18"/>
        </w:rPr>
        <w:t>In vitro</w:t>
      </w:r>
      <w:r w:rsidRPr="00BA3EDA">
        <w:rPr>
          <w:sz w:val="18"/>
          <w:szCs w:val="18"/>
        </w:rPr>
        <w:t xml:space="preserve"> laboratory products for research”</w:t>
      </w:r>
    </w:p>
    <w:p w:rsidR="005D039A" w:rsidRDefault="005D039A" w:rsidP="005D039A">
      <w:pPr>
        <w:rPr>
          <w:sz w:val="20"/>
          <w:szCs w:val="20"/>
        </w:rPr>
      </w:pPr>
      <w:r w:rsidRPr="00BA3EDA">
        <w:rPr>
          <w:sz w:val="20"/>
          <w:szCs w:val="20"/>
        </w:rPr>
        <w:t xml:space="preserve">Phone: </w:t>
      </w:r>
      <w:r w:rsidR="00836FD2" w:rsidRPr="00BA3EDA">
        <w:rPr>
          <w:sz w:val="20"/>
          <w:szCs w:val="20"/>
        </w:rPr>
        <w:t xml:space="preserve">+ </w:t>
      </w:r>
      <w:r w:rsidR="00AD5E83" w:rsidRPr="00BA3EDA">
        <w:rPr>
          <w:sz w:val="20"/>
          <w:szCs w:val="20"/>
        </w:rPr>
        <w:t xml:space="preserve">1 </w:t>
      </w:r>
      <w:r w:rsidR="00836FD2" w:rsidRPr="00BA3EDA">
        <w:rPr>
          <w:sz w:val="20"/>
          <w:szCs w:val="20"/>
        </w:rPr>
        <w:t xml:space="preserve">425 367 4601; </w:t>
      </w:r>
      <w:r w:rsidRPr="00BA3EDA">
        <w:rPr>
          <w:sz w:val="20"/>
          <w:szCs w:val="20"/>
        </w:rPr>
        <w:t xml:space="preserve">Fax: + </w:t>
      </w:r>
      <w:r w:rsidR="00AD5E83" w:rsidRPr="00BA3EDA">
        <w:rPr>
          <w:sz w:val="20"/>
          <w:szCs w:val="20"/>
        </w:rPr>
        <w:t xml:space="preserve">1 </w:t>
      </w:r>
      <w:r w:rsidRPr="00BA3EDA">
        <w:rPr>
          <w:sz w:val="20"/>
          <w:szCs w:val="20"/>
        </w:rPr>
        <w:t>425 367 4817; cell</w:t>
      </w:r>
      <w:r>
        <w:rPr>
          <w:sz w:val="20"/>
          <w:szCs w:val="20"/>
        </w:rPr>
        <w:t xml:space="preserve"> (mobile) phone: + </w:t>
      </w:r>
      <w:r w:rsidR="00AD5E83">
        <w:rPr>
          <w:sz w:val="20"/>
          <w:szCs w:val="20"/>
        </w:rPr>
        <w:t xml:space="preserve">1 </w:t>
      </w:r>
      <w:r>
        <w:rPr>
          <w:sz w:val="20"/>
          <w:szCs w:val="20"/>
        </w:rPr>
        <w:t>425 314 0199</w:t>
      </w:r>
    </w:p>
    <w:p w:rsidR="005D039A" w:rsidRDefault="005D039A" w:rsidP="005D039A">
      <w:pPr>
        <w:rPr>
          <w:sz w:val="20"/>
          <w:szCs w:val="20"/>
        </w:rPr>
      </w:pPr>
      <w:r>
        <w:rPr>
          <w:sz w:val="20"/>
          <w:szCs w:val="20"/>
        </w:rPr>
        <w:t xml:space="preserve">Marketing phone: + </w:t>
      </w:r>
      <w:r w:rsidR="00AD5E83">
        <w:rPr>
          <w:sz w:val="20"/>
          <w:szCs w:val="20"/>
        </w:rPr>
        <w:t xml:space="preserve">1 </w:t>
      </w:r>
      <w:r>
        <w:rPr>
          <w:sz w:val="20"/>
          <w:szCs w:val="20"/>
        </w:rPr>
        <w:t>650 343 IBSC (4272); e-mail:anitaIBSC@aol.com</w:t>
      </w:r>
    </w:p>
    <w:p w:rsidR="005D039A" w:rsidRDefault="005D039A" w:rsidP="005D039A">
      <w:pPr>
        <w:rPr>
          <w:sz w:val="20"/>
          <w:szCs w:val="20"/>
        </w:rPr>
      </w:pPr>
      <w:r>
        <w:rPr>
          <w:sz w:val="20"/>
          <w:szCs w:val="20"/>
        </w:rPr>
        <w:t xml:space="preserve">Web site: </w:t>
      </w:r>
      <w:hyperlink r:id="rId6" w:history="1">
        <w:r w:rsidRPr="00F77F01">
          <w:rPr>
            <w:rStyle w:val="Hyperlink"/>
            <w:color w:val="auto"/>
            <w:sz w:val="20"/>
            <w:szCs w:val="20"/>
          </w:rPr>
          <w:t>www.immunobioscience.com</w:t>
        </w:r>
      </w:hyperlink>
      <w:r w:rsidRPr="00F77F01">
        <w:t>;</w:t>
      </w:r>
      <w:r w:rsidRPr="00F77F01">
        <w:rPr>
          <w:sz w:val="20"/>
          <w:szCs w:val="20"/>
        </w:rPr>
        <w:t xml:space="preserve"> E-mail: </w:t>
      </w:r>
      <w:hyperlink r:id="rId7" w:history="1">
        <w:r w:rsidRPr="00F77F01">
          <w:rPr>
            <w:rStyle w:val="Hyperlink"/>
            <w:color w:val="auto"/>
            <w:sz w:val="20"/>
            <w:szCs w:val="20"/>
          </w:rPr>
          <w:t>baderbo@gmail.com</w:t>
        </w:r>
      </w:hyperlink>
    </w:p>
    <w:p w:rsidR="00064B0F" w:rsidRPr="00064B0F" w:rsidRDefault="005D039A" w:rsidP="005D039A">
      <w:r>
        <w:rPr>
          <w:sz w:val="20"/>
          <w:szCs w:val="20"/>
        </w:rPr>
        <w:t>PRODUCT OF USA</w:t>
      </w:r>
    </w:p>
    <w:sectPr w:rsidR="00064B0F" w:rsidRPr="00064B0F"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5A64FA"/>
    <w:multiLevelType w:val="hybridMultilevel"/>
    <w:tmpl w:val="08A2A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EB5533"/>
    <w:multiLevelType w:val="hybridMultilevel"/>
    <w:tmpl w:val="BA0AADD4"/>
    <w:lvl w:ilvl="0" w:tplc="D180D0E0">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AC6CB9"/>
    <w:multiLevelType w:val="hybridMultilevel"/>
    <w:tmpl w:val="4D203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553D2C"/>
    <w:multiLevelType w:val="hybridMultilevel"/>
    <w:tmpl w:val="31F28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D617A2"/>
    <w:multiLevelType w:val="hybridMultilevel"/>
    <w:tmpl w:val="1D92B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1"/>
  </w:num>
  <w:num w:numId="3">
    <w:abstractNumId w:val="9"/>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8"/>
  </w:num>
  <w:num w:numId="8">
    <w:abstractNumId w:val="10"/>
  </w:num>
  <w:num w:numId="9">
    <w:abstractNumId w:val="12"/>
  </w:num>
  <w:num w:numId="10">
    <w:abstractNumId w:val="4"/>
  </w:num>
  <w:num w:numId="11">
    <w:abstractNumId w:val="5"/>
  </w:num>
  <w:num w:numId="12">
    <w:abstractNumId w:val="6"/>
  </w:num>
  <w:num w:numId="13">
    <w:abstractNumId w:val="1"/>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212C7"/>
    <w:rsid w:val="00032470"/>
    <w:rsid w:val="00033D0A"/>
    <w:rsid w:val="00045B1D"/>
    <w:rsid w:val="00050D98"/>
    <w:rsid w:val="00054152"/>
    <w:rsid w:val="00064B0F"/>
    <w:rsid w:val="000B33E1"/>
    <w:rsid w:val="000D101F"/>
    <w:rsid w:val="000F5D96"/>
    <w:rsid w:val="00127449"/>
    <w:rsid w:val="001354F9"/>
    <w:rsid w:val="001360DD"/>
    <w:rsid w:val="00165F51"/>
    <w:rsid w:val="00172DA4"/>
    <w:rsid w:val="001C0091"/>
    <w:rsid w:val="001C0DC7"/>
    <w:rsid w:val="001C4594"/>
    <w:rsid w:val="001D5E25"/>
    <w:rsid w:val="001F77ED"/>
    <w:rsid w:val="00236EC5"/>
    <w:rsid w:val="00243651"/>
    <w:rsid w:val="00244946"/>
    <w:rsid w:val="002642A9"/>
    <w:rsid w:val="00264778"/>
    <w:rsid w:val="0028621A"/>
    <w:rsid w:val="0029428F"/>
    <w:rsid w:val="002A530F"/>
    <w:rsid w:val="002B736E"/>
    <w:rsid w:val="002E1C0E"/>
    <w:rsid w:val="002E5B42"/>
    <w:rsid w:val="003032E5"/>
    <w:rsid w:val="003132A3"/>
    <w:rsid w:val="0031515B"/>
    <w:rsid w:val="00322D6B"/>
    <w:rsid w:val="00344218"/>
    <w:rsid w:val="003455AC"/>
    <w:rsid w:val="003472A9"/>
    <w:rsid w:val="00380421"/>
    <w:rsid w:val="003A09C3"/>
    <w:rsid w:val="003C00FD"/>
    <w:rsid w:val="003C7E0B"/>
    <w:rsid w:val="003E7F0B"/>
    <w:rsid w:val="003F304D"/>
    <w:rsid w:val="0041044E"/>
    <w:rsid w:val="00425A9A"/>
    <w:rsid w:val="00440257"/>
    <w:rsid w:val="004452FE"/>
    <w:rsid w:val="004478C6"/>
    <w:rsid w:val="00453DE3"/>
    <w:rsid w:val="004659C8"/>
    <w:rsid w:val="00465E93"/>
    <w:rsid w:val="0047026C"/>
    <w:rsid w:val="004716CF"/>
    <w:rsid w:val="0047273E"/>
    <w:rsid w:val="00474156"/>
    <w:rsid w:val="00475744"/>
    <w:rsid w:val="00483BCF"/>
    <w:rsid w:val="00484FCE"/>
    <w:rsid w:val="00487D1F"/>
    <w:rsid w:val="004C67E1"/>
    <w:rsid w:val="004F146E"/>
    <w:rsid w:val="00511B7C"/>
    <w:rsid w:val="00516769"/>
    <w:rsid w:val="00531538"/>
    <w:rsid w:val="005748C5"/>
    <w:rsid w:val="00583663"/>
    <w:rsid w:val="005876AD"/>
    <w:rsid w:val="005B4607"/>
    <w:rsid w:val="005C204C"/>
    <w:rsid w:val="005C564D"/>
    <w:rsid w:val="005D039A"/>
    <w:rsid w:val="005D0EC7"/>
    <w:rsid w:val="005D207B"/>
    <w:rsid w:val="005E0165"/>
    <w:rsid w:val="005E7813"/>
    <w:rsid w:val="005E7E3B"/>
    <w:rsid w:val="00616743"/>
    <w:rsid w:val="00626B3A"/>
    <w:rsid w:val="00640C3C"/>
    <w:rsid w:val="00645FD2"/>
    <w:rsid w:val="0065277C"/>
    <w:rsid w:val="00656BDC"/>
    <w:rsid w:val="0066637F"/>
    <w:rsid w:val="006B7189"/>
    <w:rsid w:val="006C0512"/>
    <w:rsid w:val="006C1AF7"/>
    <w:rsid w:val="006C3838"/>
    <w:rsid w:val="006C53B9"/>
    <w:rsid w:val="006D2EB4"/>
    <w:rsid w:val="006E6EF9"/>
    <w:rsid w:val="00702DF0"/>
    <w:rsid w:val="007163C3"/>
    <w:rsid w:val="00751496"/>
    <w:rsid w:val="00765AEA"/>
    <w:rsid w:val="00785F0B"/>
    <w:rsid w:val="0079342C"/>
    <w:rsid w:val="007C0BEB"/>
    <w:rsid w:val="007E1A38"/>
    <w:rsid w:val="00800F16"/>
    <w:rsid w:val="00836FD2"/>
    <w:rsid w:val="00861F9E"/>
    <w:rsid w:val="0086506A"/>
    <w:rsid w:val="00876E3C"/>
    <w:rsid w:val="0089249E"/>
    <w:rsid w:val="008A2927"/>
    <w:rsid w:val="008A7BAF"/>
    <w:rsid w:val="008D1B41"/>
    <w:rsid w:val="008E408D"/>
    <w:rsid w:val="008F3D03"/>
    <w:rsid w:val="00917CCC"/>
    <w:rsid w:val="00930738"/>
    <w:rsid w:val="00941D50"/>
    <w:rsid w:val="00943EB4"/>
    <w:rsid w:val="009519DD"/>
    <w:rsid w:val="00957C3F"/>
    <w:rsid w:val="0096778B"/>
    <w:rsid w:val="00976004"/>
    <w:rsid w:val="00995586"/>
    <w:rsid w:val="0099681E"/>
    <w:rsid w:val="009B1E92"/>
    <w:rsid w:val="00A04BEC"/>
    <w:rsid w:val="00A05460"/>
    <w:rsid w:val="00A05E6E"/>
    <w:rsid w:val="00A118BE"/>
    <w:rsid w:val="00A16806"/>
    <w:rsid w:val="00A20BC7"/>
    <w:rsid w:val="00A24CD6"/>
    <w:rsid w:val="00A27774"/>
    <w:rsid w:val="00A5529E"/>
    <w:rsid w:val="00A56A97"/>
    <w:rsid w:val="00A91402"/>
    <w:rsid w:val="00AD5E83"/>
    <w:rsid w:val="00AD6997"/>
    <w:rsid w:val="00AE07BF"/>
    <w:rsid w:val="00AE3B68"/>
    <w:rsid w:val="00AF62C5"/>
    <w:rsid w:val="00B40D20"/>
    <w:rsid w:val="00B41926"/>
    <w:rsid w:val="00B60D6B"/>
    <w:rsid w:val="00B75205"/>
    <w:rsid w:val="00B93C29"/>
    <w:rsid w:val="00BA3EDA"/>
    <w:rsid w:val="00BA4A17"/>
    <w:rsid w:val="00BA5A66"/>
    <w:rsid w:val="00BB7514"/>
    <w:rsid w:val="00BD3D19"/>
    <w:rsid w:val="00BF25E3"/>
    <w:rsid w:val="00C04578"/>
    <w:rsid w:val="00C04ACA"/>
    <w:rsid w:val="00C211E2"/>
    <w:rsid w:val="00C3058B"/>
    <w:rsid w:val="00C34677"/>
    <w:rsid w:val="00C34DFF"/>
    <w:rsid w:val="00C35DA3"/>
    <w:rsid w:val="00C36D8B"/>
    <w:rsid w:val="00C622D5"/>
    <w:rsid w:val="00CB6907"/>
    <w:rsid w:val="00CC64DA"/>
    <w:rsid w:val="00CD5623"/>
    <w:rsid w:val="00D00EE6"/>
    <w:rsid w:val="00D123A8"/>
    <w:rsid w:val="00D2397B"/>
    <w:rsid w:val="00D61A22"/>
    <w:rsid w:val="00D72E6C"/>
    <w:rsid w:val="00D76AF2"/>
    <w:rsid w:val="00D94AA2"/>
    <w:rsid w:val="00D96217"/>
    <w:rsid w:val="00DA2BB8"/>
    <w:rsid w:val="00DA6864"/>
    <w:rsid w:val="00DB6FD5"/>
    <w:rsid w:val="00DC665C"/>
    <w:rsid w:val="00DF5597"/>
    <w:rsid w:val="00E029E8"/>
    <w:rsid w:val="00E03CFF"/>
    <w:rsid w:val="00E33CFF"/>
    <w:rsid w:val="00E414B0"/>
    <w:rsid w:val="00E92FCF"/>
    <w:rsid w:val="00EA1CD2"/>
    <w:rsid w:val="00EC6616"/>
    <w:rsid w:val="00EE4D0E"/>
    <w:rsid w:val="00EE71D9"/>
    <w:rsid w:val="00EF3BCB"/>
    <w:rsid w:val="00EF7F1C"/>
    <w:rsid w:val="00F06700"/>
    <w:rsid w:val="00F34A53"/>
    <w:rsid w:val="00F47816"/>
    <w:rsid w:val="00F63A2E"/>
    <w:rsid w:val="00F6619B"/>
    <w:rsid w:val="00F7546E"/>
    <w:rsid w:val="00F77297"/>
    <w:rsid w:val="00F77F01"/>
    <w:rsid w:val="00F960B1"/>
    <w:rsid w:val="00FB5BE6"/>
    <w:rsid w:val="00FC2776"/>
    <w:rsid w:val="00FD238E"/>
    <w:rsid w:val="00FD5216"/>
    <w:rsid w:val="00FD54AF"/>
    <w:rsid w:val="00FD62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0B33E1"/>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149592329">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275989141">
      <w:bodyDiv w:val="1"/>
      <w:marLeft w:val="0"/>
      <w:marRight w:val="0"/>
      <w:marTop w:val="0"/>
      <w:marBottom w:val="0"/>
      <w:divBdr>
        <w:top w:val="none" w:sz="0" w:space="0" w:color="auto"/>
        <w:left w:val="none" w:sz="0" w:space="0" w:color="auto"/>
        <w:bottom w:val="none" w:sz="0" w:space="0" w:color="auto"/>
        <w:right w:val="none" w:sz="0" w:space="0" w:color="auto"/>
      </w:divBdr>
    </w:div>
    <w:div w:id="1701781459">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C3D52-D9A7-4E74-AA7D-F6123F823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547</Words>
  <Characters>3123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11</cp:revision>
  <cp:lastPrinted>2014-09-04T20:57:00Z</cp:lastPrinted>
  <dcterms:created xsi:type="dcterms:W3CDTF">2010-07-05T21:55:00Z</dcterms:created>
  <dcterms:modified xsi:type="dcterms:W3CDTF">2014-09-04T20:57:00Z</dcterms:modified>
</cp:coreProperties>
</file>