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8DB4" w14:textId="77777777" w:rsidR="00873190" w:rsidRPr="00396051" w:rsidRDefault="00873190" w:rsidP="00D77B9E">
      <w:pPr>
        <w:jc w:val="center"/>
        <w:rPr>
          <w:b/>
          <w:color w:val="17365D" w:themeColor="text2" w:themeShade="BF"/>
          <w:sz w:val="40"/>
          <w:szCs w:val="40"/>
        </w:rPr>
      </w:pPr>
      <w:r w:rsidRPr="00396051">
        <w:rPr>
          <w:rFonts w:ascii="Castellar" w:hAnsi="Castellar"/>
          <w:b/>
          <w:color w:val="17365D" w:themeColor="text2" w:themeShade="BF"/>
          <w:sz w:val="48"/>
          <w:szCs w:val="48"/>
        </w:rPr>
        <w:t>JSB</w:t>
      </w:r>
      <w:r w:rsidRPr="00396051">
        <w:rPr>
          <w:rFonts w:ascii="Times New (W1)" w:hint="cs"/>
          <w:b/>
          <w:color w:val="17365D" w:themeColor="text2" w:themeShade="BF"/>
          <w:sz w:val="40"/>
          <w:szCs w:val="40"/>
        </w:rPr>
        <w:t xml:space="preserve"> Capital Management, LLC</w:t>
      </w:r>
    </w:p>
    <w:p w14:paraId="6BC2216F" w14:textId="77777777" w:rsidR="00D77B9E" w:rsidRDefault="00873190" w:rsidP="00D77B9E">
      <w:pPr>
        <w:tabs>
          <w:tab w:val="left" w:pos="8460"/>
        </w:tabs>
        <w:jc w:val="center"/>
        <w:rPr>
          <w:rFonts w:ascii="Times" w:hAnsi="Times"/>
          <w:b/>
          <w:color w:val="BC8F00"/>
        </w:rPr>
      </w:pPr>
      <w:r>
        <w:rPr>
          <w:rFonts w:ascii="Times" w:hAnsi="Times"/>
          <w:b/>
          <w:color w:val="BC8F00"/>
        </w:rPr>
        <w:t>Pro-active Wealth Management</w:t>
      </w:r>
    </w:p>
    <w:p w14:paraId="11898082" w14:textId="77777777" w:rsidR="00D77B9E" w:rsidRDefault="00D77B9E" w:rsidP="00D77B9E"/>
    <w:p w14:paraId="6313C554" w14:textId="6F90C257" w:rsidR="00093038" w:rsidRDefault="00A82716" w:rsidP="00D77B9E">
      <w:pPr>
        <w:rPr>
          <w:rFonts w:ascii="Arial" w:hAnsi="Arial" w:cs="Arial"/>
          <w:color w:val="17365D" w:themeColor="text2" w:themeShade="BF"/>
          <w:sz w:val="22"/>
          <w:szCs w:val="22"/>
        </w:rPr>
      </w:pPr>
      <w:r>
        <w:rPr>
          <w:rFonts w:ascii="Arial" w:hAnsi="Arial" w:cs="Arial"/>
          <w:color w:val="17365D" w:themeColor="text2" w:themeShade="BF"/>
          <w:sz w:val="22"/>
          <w:szCs w:val="22"/>
        </w:rPr>
        <w:t>January 26, 2022</w:t>
      </w:r>
    </w:p>
    <w:p w14:paraId="1F7C810A" w14:textId="77777777" w:rsidR="00EC32A2" w:rsidRPr="006F1190" w:rsidRDefault="00EC32A2" w:rsidP="00D77B9E">
      <w:pPr>
        <w:rPr>
          <w:rFonts w:ascii="Arial" w:hAnsi="Arial" w:cs="Arial"/>
          <w:color w:val="17365D" w:themeColor="text2" w:themeShade="BF"/>
          <w:sz w:val="22"/>
          <w:szCs w:val="22"/>
        </w:rPr>
      </w:pPr>
    </w:p>
    <w:p w14:paraId="7F61E35F" w14:textId="77777777" w:rsidR="00A82716" w:rsidRPr="003B58CA" w:rsidRDefault="00A82716" w:rsidP="00A82716">
      <w:pPr>
        <w:spacing w:after="120" w:line="240" w:lineRule="atLeast"/>
        <w:textAlignment w:val="baseline"/>
        <w:outlineLvl w:val="0"/>
        <w:rPr>
          <w:rFonts w:ascii="var(--font-serif-display)" w:hAnsi="var(--font-serif-display)"/>
          <w:b/>
          <w:bCs/>
          <w:kern w:val="36"/>
          <w:sz w:val="40"/>
          <w:szCs w:val="40"/>
        </w:rPr>
      </w:pPr>
      <w:r w:rsidRPr="003B58CA">
        <w:rPr>
          <w:rFonts w:ascii="var(--font-serif-display)" w:hAnsi="var(--font-serif-display)"/>
          <w:b/>
          <w:bCs/>
          <w:kern w:val="36"/>
          <w:sz w:val="40"/>
          <w:szCs w:val="40"/>
        </w:rPr>
        <w:t xml:space="preserve">Fed Interest-Rate Decision </w:t>
      </w:r>
      <w:r w:rsidRPr="00CE4C05">
        <w:rPr>
          <w:rFonts w:ascii="var(--font-serif-display)" w:hAnsi="var(--font-serif-display)"/>
          <w:b/>
          <w:bCs/>
          <w:kern w:val="36"/>
          <w:sz w:val="40"/>
          <w:szCs w:val="40"/>
        </w:rPr>
        <w:t>Targeted for March Meeting</w:t>
      </w:r>
    </w:p>
    <w:p w14:paraId="695CA327" w14:textId="77777777" w:rsidR="00A82716" w:rsidRPr="003B58CA" w:rsidRDefault="00A82716" w:rsidP="00A82716">
      <w:pPr>
        <w:spacing w:after="105"/>
        <w:textAlignment w:val="baseline"/>
        <w:rPr>
          <w:rFonts w:ascii="Arial" w:hAnsi="Arial" w:cs="Arial"/>
          <w:color w:val="333333"/>
          <w:sz w:val="24"/>
          <w:szCs w:val="24"/>
        </w:rPr>
      </w:pPr>
      <w:r w:rsidRPr="003B58CA">
        <w:rPr>
          <w:rFonts w:ascii="Arial" w:hAnsi="Arial" w:cs="Arial"/>
          <w:noProof/>
          <w:color w:val="333333"/>
          <w:sz w:val="24"/>
          <w:szCs w:val="24"/>
        </w:rPr>
        <w:drawing>
          <wp:inline distT="0" distB="0" distL="0" distR="0" wp14:anchorId="431264C4" wp14:editId="3DC8B1B6">
            <wp:extent cx="5705475" cy="3523928"/>
            <wp:effectExtent l="0" t="0" r="0" b="635"/>
            <wp:docPr id="6" name="Picture 6"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suit and ti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6575" cy="3536960"/>
                    </a:xfrm>
                    <a:prstGeom prst="rect">
                      <a:avLst/>
                    </a:prstGeom>
                    <a:noFill/>
                    <a:ln>
                      <a:noFill/>
                    </a:ln>
                  </pic:spPr>
                </pic:pic>
              </a:graphicData>
            </a:graphic>
          </wp:inline>
        </w:drawing>
      </w:r>
    </w:p>
    <w:p w14:paraId="21EC01E3" w14:textId="77777777" w:rsidR="00A82716" w:rsidRDefault="00A82716" w:rsidP="00A82716">
      <w:pPr>
        <w:spacing w:line="405" w:lineRule="atLeast"/>
        <w:textAlignment w:val="baseline"/>
        <w:rPr>
          <w:rFonts w:ascii="Arial" w:hAnsi="Arial" w:cs="Arial"/>
          <w:color w:val="1F497D" w:themeColor="text2"/>
          <w:sz w:val="24"/>
          <w:szCs w:val="24"/>
        </w:rPr>
      </w:pPr>
    </w:p>
    <w:p w14:paraId="76111876" w14:textId="77777777" w:rsidR="00A82716" w:rsidRDefault="00A82716" w:rsidP="00A82716">
      <w:pPr>
        <w:spacing w:line="405" w:lineRule="atLeast"/>
        <w:textAlignment w:val="baseline"/>
        <w:rPr>
          <w:rFonts w:ascii="var(--font-serif)" w:hAnsi="var(--font-serif)" w:cs="Arial"/>
          <w:color w:val="333333"/>
          <w:sz w:val="26"/>
          <w:szCs w:val="26"/>
        </w:rPr>
      </w:pPr>
      <w:r w:rsidRPr="00CE4C05">
        <w:rPr>
          <w:rFonts w:ascii="Arial" w:hAnsi="Arial" w:cs="Arial"/>
          <w:color w:val="1F497D" w:themeColor="text2"/>
          <w:sz w:val="24"/>
          <w:szCs w:val="24"/>
        </w:rPr>
        <w:t xml:space="preserve">While </w:t>
      </w:r>
      <w:r w:rsidRPr="003B58CA">
        <w:rPr>
          <w:rFonts w:ascii="Arial" w:hAnsi="Arial" w:cs="Arial"/>
          <w:color w:val="1F497D" w:themeColor="text2"/>
          <w:sz w:val="24"/>
          <w:szCs w:val="24"/>
        </w:rPr>
        <w:t xml:space="preserve">The Federal Reserve </w:t>
      </w:r>
      <w:r w:rsidRPr="00CE4C05">
        <w:rPr>
          <w:rFonts w:ascii="Arial" w:hAnsi="Arial" w:cs="Arial"/>
          <w:color w:val="1F497D" w:themeColor="text2"/>
          <w:sz w:val="24"/>
          <w:szCs w:val="24"/>
        </w:rPr>
        <w:t xml:space="preserve">Bank’s Open Market Committee (FOMC) </w:t>
      </w:r>
      <w:r w:rsidRPr="003B58CA">
        <w:rPr>
          <w:rFonts w:ascii="Arial" w:hAnsi="Arial" w:cs="Arial"/>
          <w:color w:val="1F497D" w:themeColor="text2"/>
          <w:sz w:val="24"/>
          <w:szCs w:val="24"/>
        </w:rPr>
        <w:t xml:space="preserve">held short-term interest rates steady </w:t>
      </w:r>
      <w:r w:rsidRPr="00CE4C05">
        <w:rPr>
          <w:rFonts w:ascii="Arial" w:hAnsi="Arial" w:cs="Arial"/>
          <w:color w:val="1F497D" w:themeColor="text2"/>
          <w:sz w:val="24"/>
          <w:szCs w:val="24"/>
        </w:rPr>
        <w:t>at the end of its two-day meeting today,</w:t>
      </w:r>
      <w:r w:rsidRPr="003B58CA">
        <w:rPr>
          <w:rFonts w:ascii="Arial" w:hAnsi="Arial" w:cs="Arial"/>
          <w:color w:val="1F497D" w:themeColor="text2"/>
          <w:sz w:val="24"/>
          <w:szCs w:val="24"/>
        </w:rPr>
        <w:t xml:space="preserve"> </w:t>
      </w:r>
      <w:r w:rsidRPr="00CE4C05">
        <w:rPr>
          <w:rFonts w:ascii="Arial" w:hAnsi="Arial" w:cs="Arial"/>
          <w:color w:val="1F497D" w:themeColor="text2"/>
          <w:sz w:val="24"/>
          <w:szCs w:val="24"/>
        </w:rPr>
        <w:t>they definitively</w:t>
      </w:r>
      <w:r w:rsidRPr="003B58CA">
        <w:rPr>
          <w:rFonts w:ascii="Arial" w:hAnsi="Arial" w:cs="Arial"/>
          <w:color w:val="1F497D" w:themeColor="text2"/>
          <w:sz w:val="24"/>
          <w:szCs w:val="24"/>
        </w:rPr>
        <w:t> </w:t>
      </w:r>
      <w:hyperlink r:id="rId6" w:tgtFrame="_blank" w:history="1">
        <w:r w:rsidRPr="003B58CA">
          <w:rPr>
            <w:rFonts w:ascii="Arial" w:hAnsi="Arial" w:cs="Arial"/>
            <w:color w:val="1F497D" w:themeColor="text2"/>
            <w:sz w:val="24"/>
            <w:szCs w:val="24"/>
          </w:rPr>
          <w:t>signaled intentions to raise them</w:t>
        </w:r>
      </w:hyperlink>
      <w:r w:rsidRPr="003B58CA">
        <w:rPr>
          <w:rFonts w:ascii="Arial" w:hAnsi="Arial" w:cs="Arial"/>
          <w:color w:val="1F497D" w:themeColor="text2"/>
          <w:sz w:val="24"/>
          <w:szCs w:val="24"/>
        </w:rPr>
        <w:t> in mid-March, the latest turn </w:t>
      </w:r>
      <w:hyperlink r:id="rId7" w:tgtFrame="_blank" w:history="1">
        <w:r w:rsidRPr="003B58CA">
          <w:rPr>
            <w:rFonts w:ascii="Arial" w:hAnsi="Arial" w:cs="Arial"/>
            <w:color w:val="1F497D" w:themeColor="text2"/>
            <w:sz w:val="24"/>
            <w:szCs w:val="24"/>
          </w:rPr>
          <w:t>toward removing stimulus</w:t>
        </w:r>
      </w:hyperlink>
      <w:r w:rsidRPr="003B58CA">
        <w:rPr>
          <w:rFonts w:ascii="Arial" w:hAnsi="Arial" w:cs="Arial"/>
          <w:color w:val="1F497D" w:themeColor="text2"/>
          <w:sz w:val="24"/>
          <w:szCs w:val="24"/>
        </w:rPr>
        <w:t> to temper elevated inflation.</w:t>
      </w:r>
      <w:r>
        <w:rPr>
          <w:rFonts w:ascii="Arial" w:hAnsi="Arial" w:cs="Arial"/>
          <w:color w:val="1F497D" w:themeColor="text2"/>
          <w:sz w:val="24"/>
          <w:szCs w:val="24"/>
        </w:rPr>
        <w:t xml:space="preserve"> </w:t>
      </w:r>
      <w:r w:rsidRPr="003B58CA">
        <w:rPr>
          <w:rFonts w:ascii="Arial" w:hAnsi="Arial" w:cs="Arial"/>
          <w:color w:val="1F497D" w:themeColor="text2"/>
          <w:sz w:val="24"/>
          <w:szCs w:val="24"/>
        </w:rPr>
        <w:t>“It will soon be appropriate to raise the target range for the federal-funds rate,” the Fed </w:t>
      </w:r>
      <w:hyperlink r:id="rId8" w:tgtFrame="_blank" w:history="1">
        <w:r w:rsidRPr="003B58CA">
          <w:rPr>
            <w:rFonts w:ascii="Arial" w:hAnsi="Arial" w:cs="Arial"/>
            <w:color w:val="1F497D" w:themeColor="text2"/>
            <w:sz w:val="24"/>
            <w:szCs w:val="24"/>
          </w:rPr>
          <w:t>said in its post</w:t>
        </w:r>
        <w:r>
          <w:rPr>
            <w:rFonts w:ascii="Arial" w:hAnsi="Arial" w:cs="Arial"/>
            <w:color w:val="1F497D" w:themeColor="text2"/>
            <w:sz w:val="24"/>
            <w:szCs w:val="24"/>
          </w:rPr>
          <w:t>-</w:t>
        </w:r>
        <w:r w:rsidRPr="003B58CA">
          <w:rPr>
            <w:rFonts w:ascii="Arial" w:hAnsi="Arial" w:cs="Arial"/>
            <w:color w:val="1F497D" w:themeColor="text2"/>
            <w:sz w:val="24"/>
            <w:szCs w:val="24"/>
          </w:rPr>
          <w:t>meeting statement</w:t>
        </w:r>
      </w:hyperlink>
      <w:r w:rsidRPr="003B58CA">
        <w:rPr>
          <w:rFonts w:ascii="var(--font-serif)" w:hAnsi="var(--font-serif)" w:cs="Arial"/>
          <w:color w:val="333333"/>
          <w:sz w:val="26"/>
          <w:szCs w:val="26"/>
        </w:rPr>
        <w:t>.</w:t>
      </w:r>
    </w:p>
    <w:p w14:paraId="08E44D26" w14:textId="77777777" w:rsidR="00A82716" w:rsidRPr="003B58CA" w:rsidRDefault="00A82716" w:rsidP="00A82716">
      <w:pPr>
        <w:spacing w:line="405" w:lineRule="atLeast"/>
        <w:textAlignment w:val="baseline"/>
        <w:rPr>
          <w:rFonts w:ascii="var(--font-serif)" w:hAnsi="var(--font-serif)" w:cs="Arial"/>
          <w:color w:val="333333"/>
          <w:sz w:val="26"/>
          <w:szCs w:val="26"/>
        </w:rPr>
      </w:pPr>
    </w:p>
    <w:p w14:paraId="39705C09" w14:textId="4FF0748C" w:rsidR="00A82716" w:rsidRDefault="00A82716" w:rsidP="00A82716">
      <w:pPr>
        <w:spacing w:line="405" w:lineRule="atLeast"/>
        <w:textAlignment w:val="baseline"/>
        <w:rPr>
          <w:rFonts w:ascii="Arial" w:hAnsi="Arial" w:cs="Arial"/>
          <w:color w:val="1F497D" w:themeColor="text2"/>
          <w:sz w:val="24"/>
          <w:szCs w:val="24"/>
        </w:rPr>
      </w:pPr>
      <w:r w:rsidRPr="00AA44ED">
        <w:rPr>
          <w:rFonts w:ascii="Arial" w:hAnsi="Arial" w:cs="Arial"/>
          <w:color w:val="1F497D" w:themeColor="text2"/>
          <w:sz w:val="24"/>
          <w:szCs w:val="24"/>
        </w:rPr>
        <w:t>In addition, Fed</w:t>
      </w:r>
      <w:r w:rsidRPr="003B58CA">
        <w:rPr>
          <w:rFonts w:ascii="Arial" w:hAnsi="Arial" w:cs="Arial"/>
          <w:color w:val="1F497D" w:themeColor="text2"/>
          <w:sz w:val="24"/>
          <w:szCs w:val="24"/>
        </w:rPr>
        <w:t xml:space="preserve"> Officials continued deliberations at their two-day meeting over </w:t>
      </w:r>
      <w:hyperlink r:id="rId9" w:tgtFrame="_blank" w:history="1">
        <w:r w:rsidRPr="003B58CA">
          <w:rPr>
            <w:rFonts w:ascii="Arial" w:hAnsi="Arial" w:cs="Arial"/>
            <w:color w:val="1F497D" w:themeColor="text2"/>
            <w:sz w:val="24"/>
            <w:szCs w:val="24"/>
          </w:rPr>
          <w:t>how and when to shrink the Fed’s $9 trillion securities portfolio</w:t>
        </w:r>
      </w:hyperlink>
      <w:r w:rsidRPr="003B58CA">
        <w:rPr>
          <w:rFonts w:ascii="Arial" w:hAnsi="Arial" w:cs="Arial"/>
          <w:color w:val="1F497D" w:themeColor="text2"/>
          <w:sz w:val="24"/>
          <w:szCs w:val="24"/>
        </w:rPr>
        <w:t>, which has more than doubled since March 2020</w:t>
      </w:r>
      <w:r>
        <w:rPr>
          <w:rFonts w:ascii="Arial" w:hAnsi="Arial" w:cs="Arial"/>
          <w:color w:val="1F497D" w:themeColor="text2"/>
          <w:sz w:val="24"/>
          <w:szCs w:val="24"/>
        </w:rPr>
        <w:t xml:space="preserve"> in response to the pandemic. As you can see on the chart below, monetary stimulus added to the economy since the 2008 financial crisis has been </w:t>
      </w:r>
      <w:r w:rsidR="00164B39">
        <w:rPr>
          <w:rFonts w:ascii="Arial" w:hAnsi="Arial" w:cs="Arial"/>
          <w:color w:val="1F497D"/>
          <w:sz w:val="24"/>
          <w:szCs w:val="24"/>
        </w:rPr>
        <w:t xml:space="preserve">huge, </w:t>
      </w:r>
      <w:r w:rsidR="00164B39">
        <w:rPr>
          <w:rFonts w:ascii="Arial" w:hAnsi="Arial" w:cs="Arial"/>
          <w:color w:val="1F497D"/>
          <w:sz w:val="24"/>
          <w:szCs w:val="24"/>
        </w:rPr>
        <w:lastRenderedPageBreak/>
        <w:t>but the doubling in response to the Covid pandemic in such a short time period</w:t>
      </w:r>
      <w:r w:rsidR="00164B39">
        <w:rPr>
          <w:rFonts w:ascii="Arial" w:hAnsi="Arial" w:cs="Arial"/>
          <w:color w:val="1F497D"/>
          <w:sz w:val="24"/>
          <w:szCs w:val="24"/>
        </w:rPr>
        <w:t xml:space="preserve"> is astounding</w:t>
      </w:r>
      <w:r>
        <w:rPr>
          <w:rFonts w:ascii="Arial" w:hAnsi="Arial" w:cs="Arial"/>
          <w:color w:val="1F497D" w:themeColor="text2"/>
          <w:sz w:val="24"/>
          <w:szCs w:val="24"/>
        </w:rPr>
        <w:t>. Walking this back without causing a recession is going to be a delicate balancing act for the Federal Reserve.</w:t>
      </w:r>
    </w:p>
    <w:p w14:paraId="2B2892F6" w14:textId="77777777" w:rsidR="00A82716" w:rsidRDefault="00A82716" w:rsidP="00A82716">
      <w:pPr>
        <w:spacing w:line="405" w:lineRule="atLeast"/>
        <w:textAlignment w:val="baseline"/>
        <w:rPr>
          <w:rFonts w:ascii="Arial" w:hAnsi="Arial" w:cs="Arial"/>
          <w:color w:val="1F497D" w:themeColor="text2"/>
          <w:sz w:val="24"/>
          <w:szCs w:val="24"/>
        </w:rPr>
      </w:pPr>
    </w:p>
    <w:p w14:paraId="268785B6" w14:textId="77777777" w:rsidR="00A82716" w:rsidRPr="003B58CA" w:rsidRDefault="00A82716" w:rsidP="00A82716">
      <w:pPr>
        <w:spacing w:line="405" w:lineRule="atLeast"/>
        <w:textAlignment w:val="baseline"/>
        <w:rPr>
          <w:rFonts w:ascii="Arial" w:hAnsi="Arial" w:cs="Arial"/>
          <w:color w:val="1F497D" w:themeColor="text2"/>
          <w:sz w:val="24"/>
          <w:szCs w:val="24"/>
        </w:rPr>
      </w:pPr>
      <w:r w:rsidRPr="001300A9">
        <w:rPr>
          <w:rFonts w:ascii="Arial" w:hAnsi="Arial" w:cs="Arial"/>
          <w:noProof/>
          <w:color w:val="1F497D" w:themeColor="text2"/>
          <w:sz w:val="24"/>
          <w:szCs w:val="24"/>
        </w:rPr>
        <w:drawing>
          <wp:inline distT="0" distB="0" distL="0" distR="0" wp14:anchorId="18B21E91" wp14:editId="044B5235">
            <wp:extent cx="6057900" cy="2912983"/>
            <wp:effectExtent l="0" t="0" r="0" b="190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9922" cy="2937998"/>
                    </a:xfrm>
                    <a:prstGeom prst="rect">
                      <a:avLst/>
                    </a:prstGeom>
                    <a:noFill/>
                    <a:ln>
                      <a:noFill/>
                    </a:ln>
                  </pic:spPr>
                </pic:pic>
              </a:graphicData>
            </a:graphic>
          </wp:inline>
        </w:drawing>
      </w:r>
    </w:p>
    <w:p w14:paraId="382152B0" w14:textId="77777777" w:rsidR="00A82716" w:rsidRPr="003B58CA" w:rsidRDefault="00A82716" w:rsidP="00A82716">
      <w:pPr>
        <w:textAlignment w:val="baseline"/>
        <w:rPr>
          <w:rFonts w:ascii="Arial" w:hAnsi="Arial" w:cs="Arial"/>
          <w:color w:val="1F497D" w:themeColor="text2"/>
          <w:sz w:val="24"/>
          <w:szCs w:val="24"/>
        </w:rPr>
      </w:pPr>
    </w:p>
    <w:p w14:paraId="716DECEC" w14:textId="77777777" w:rsidR="00A82716" w:rsidRDefault="00A82716" w:rsidP="00A82716">
      <w:pPr>
        <w:spacing w:line="405" w:lineRule="atLeast"/>
        <w:textAlignment w:val="baseline"/>
        <w:rPr>
          <w:rFonts w:ascii="Arial" w:hAnsi="Arial" w:cs="Arial"/>
          <w:color w:val="1F497D" w:themeColor="text2"/>
          <w:sz w:val="24"/>
          <w:szCs w:val="24"/>
        </w:rPr>
      </w:pPr>
      <w:r w:rsidRPr="003B58CA">
        <w:rPr>
          <w:rFonts w:ascii="Arial" w:hAnsi="Arial" w:cs="Arial"/>
          <w:color w:val="1F497D" w:themeColor="text2"/>
          <w:sz w:val="24"/>
          <w:szCs w:val="24"/>
        </w:rPr>
        <w:t>The Fed </w:t>
      </w:r>
      <w:hyperlink r:id="rId11" w:tgtFrame="_blank" w:history="1">
        <w:r w:rsidRPr="003B58CA">
          <w:rPr>
            <w:rFonts w:ascii="Arial" w:hAnsi="Arial" w:cs="Arial"/>
            <w:color w:val="1F497D" w:themeColor="text2"/>
            <w:sz w:val="24"/>
            <w:szCs w:val="24"/>
          </w:rPr>
          <w:t>released a separate one-page statement</w:t>
        </w:r>
      </w:hyperlink>
      <w:r w:rsidRPr="003B58CA">
        <w:rPr>
          <w:rFonts w:ascii="Arial" w:hAnsi="Arial" w:cs="Arial"/>
          <w:color w:val="1F497D" w:themeColor="text2"/>
          <w:sz w:val="24"/>
          <w:szCs w:val="24"/>
        </w:rPr>
        <w:t> that spelled out high-level principles to guide a process for “significantly reducing” those holdings.</w:t>
      </w:r>
    </w:p>
    <w:p w14:paraId="21270269" w14:textId="77777777" w:rsidR="00A82716" w:rsidRPr="003B58CA" w:rsidRDefault="00A82716" w:rsidP="00A82716">
      <w:pPr>
        <w:spacing w:line="405" w:lineRule="atLeast"/>
        <w:textAlignment w:val="baseline"/>
        <w:rPr>
          <w:rFonts w:ascii="Arial" w:hAnsi="Arial" w:cs="Arial"/>
          <w:color w:val="1F497D" w:themeColor="text2"/>
          <w:sz w:val="24"/>
          <w:szCs w:val="24"/>
        </w:rPr>
      </w:pPr>
    </w:p>
    <w:p w14:paraId="7094468A" w14:textId="77777777" w:rsidR="00A82716" w:rsidRDefault="00A82716" w:rsidP="00A82716">
      <w:pPr>
        <w:spacing w:line="405" w:lineRule="atLeast"/>
        <w:textAlignment w:val="baseline"/>
        <w:rPr>
          <w:rFonts w:ascii="Arial" w:hAnsi="Arial" w:cs="Arial"/>
          <w:color w:val="1F497D" w:themeColor="text2"/>
          <w:sz w:val="24"/>
          <w:szCs w:val="24"/>
        </w:rPr>
      </w:pPr>
      <w:r w:rsidRPr="003B58CA">
        <w:rPr>
          <w:rFonts w:ascii="Arial" w:hAnsi="Arial" w:cs="Arial"/>
          <w:color w:val="1F497D" w:themeColor="text2"/>
          <w:sz w:val="24"/>
          <w:szCs w:val="24"/>
        </w:rPr>
        <w:t>Stocks </w:t>
      </w:r>
      <w:hyperlink r:id="rId12" w:tgtFrame="_blank" w:history="1">
        <w:r w:rsidRPr="003B58CA">
          <w:rPr>
            <w:rFonts w:ascii="Arial" w:hAnsi="Arial" w:cs="Arial"/>
            <w:color w:val="1F497D" w:themeColor="text2"/>
            <w:sz w:val="24"/>
            <w:szCs w:val="24"/>
          </w:rPr>
          <w:t>sold off during Mr. Powell’s press conference</w:t>
        </w:r>
      </w:hyperlink>
      <w:r w:rsidRPr="003B58CA">
        <w:rPr>
          <w:rFonts w:ascii="Arial" w:hAnsi="Arial" w:cs="Arial"/>
          <w:color w:val="1F497D" w:themeColor="text2"/>
          <w:sz w:val="24"/>
          <w:szCs w:val="24"/>
        </w:rPr>
        <w:t> on Wednesday afternoon, and </w:t>
      </w:r>
      <w:hyperlink r:id="rId13" w:tgtFrame="_blank" w:history="1">
        <w:r w:rsidRPr="003B58CA">
          <w:rPr>
            <w:rFonts w:ascii="Arial" w:hAnsi="Arial" w:cs="Arial"/>
            <w:color w:val="1F497D" w:themeColor="text2"/>
            <w:sz w:val="24"/>
            <w:szCs w:val="24"/>
          </w:rPr>
          <w:t xml:space="preserve">yields on 10-year Treasury securities </w:t>
        </w:r>
        <w:r w:rsidRPr="00AA44ED">
          <w:rPr>
            <w:rFonts w:ascii="Arial" w:hAnsi="Arial" w:cs="Arial"/>
            <w:color w:val="1F497D" w:themeColor="text2"/>
            <w:sz w:val="24"/>
            <w:szCs w:val="24"/>
          </w:rPr>
          <w:t xml:space="preserve">increased </w:t>
        </w:r>
      </w:hyperlink>
      <w:r w:rsidRPr="003B58CA">
        <w:rPr>
          <w:rFonts w:ascii="Arial" w:hAnsi="Arial" w:cs="Arial"/>
          <w:color w:val="1F497D" w:themeColor="text2"/>
          <w:sz w:val="24"/>
          <w:szCs w:val="24"/>
        </w:rPr>
        <w:t>as investors anticipated a more aggressive path of rate rises.</w:t>
      </w:r>
      <w:r>
        <w:rPr>
          <w:rFonts w:ascii="Arial" w:hAnsi="Arial" w:cs="Arial"/>
          <w:color w:val="1F497D" w:themeColor="text2"/>
          <w:sz w:val="24"/>
          <w:szCs w:val="24"/>
        </w:rPr>
        <w:t xml:space="preserve"> Some investors had also hoped Mr. Powell would signal a slower move in view of recent stock market volatility.</w:t>
      </w:r>
    </w:p>
    <w:p w14:paraId="03631885" w14:textId="77777777" w:rsidR="00A82716" w:rsidRPr="003B58CA" w:rsidRDefault="00A82716" w:rsidP="00A82716">
      <w:pPr>
        <w:spacing w:line="405" w:lineRule="atLeast"/>
        <w:textAlignment w:val="baseline"/>
        <w:rPr>
          <w:rFonts w:ascii="Arial" w:hAnsi="Arial" w:cs="Arial"/>
          <w:color w:val="1F497D" w:themeColor="text2"/>
          <w:sz w:val="24"/>
          <w:szCs w:val="24"/>
        </w:rPr>
      </w:pPr>
    </w:p>
    <w:p w14:paraId="0BB04783" w14:textId="77777777" w:rsidR="00A82716" w:rsidRPr="003B58CA" w:rsidRDefault="00A82716" w:rsidP="00A82716">
      <w:pPr>
        <w:spacing w:after="255" w:line="405" w:lineRule="atLeast"/>
        <w:textAlignment w:val="baseline"/>
        <w:rPr>
          <w:rFonts w:ascii="Arial" w:hAnsi="Arial" w:cs="Arial"/>
          <w:color w:val="1F497D" w:themeColor="text2"/>
          <w:sz w:val="24"/>
          <w:szCs w:val="24"/>
        </w:rPr>
      </w:pPr>
      <w:r w:rsidRPr="003B58CA">
        <w:rPr>
          <w:rFonts w:ascii="Arial" w:hAnsi="Arial" w:cs="Arial"/>
          <w:color w:val="1F497D" w:themeColor="text2"/>
          <w:sz w:val="24"/>
          <w:szCs w:val="24"/>
        </w:rPr>
        <w:t>Mr. Powell indicated he and his colleagues believe th</w:t>
      </w:r>
      <w:r w:rsidRPr="00AA44ED">
        <w:rPr>
          <w:rFonts w:ascii="Arial" w:hAnsi="Arial" w:cs="Arial"/>
          <w:color w:val="1F497D" w:themeColor="text2"/>
          <w:sz w:val="24"/>
          <w:szCs w:val="24"/>
        </w:rPr>
        <w:t>e two</w:t>
      </w:r>
      <w:r w:rsidRPr="003B58CA">
        <w:rPr>
          <w:rFonts w:ascii="Arial" w:hAnsi="Arial" w:cs="Arial"/>
          <w:color w:val="1F497D" w:themeColor="text2"/>
          <w:sz w:val="24"/>
          <w:szCs w:val="24"/>
        </w:rPr>
        <w:t xml:space="preserve"> goals</w:t>
      </w:r>
      <w:r w:rsidRPr="00AA44ED">
        <w:rPr>
          <w:rFonts w:ascii="Arial" w:hAnsi="Arial" w:cs="Arial"/>
          <w:color w:val="1F497D" w:themeColor="text2"/>
          <w:sz w:val="24"/>
          <w:szCs w:val="24"/>
        </w:rPr>
        <w:t xml:space="preserve"> of higher inflation that appears persistent </w:t>
      </w:r>
      <w:r>
        <w:rPr>
          <w:rFonts w:ascii="Arial" w:hAnsi="Arial" w:cs="Arial"/>
          <w:color w:val="1F497D" w:themeColor="text2"/>
          <w:sz w:val="24"/>
          <w:szCs w:val="24"/>
        </w:rPr>
        <w:t xml:space="preserve">(they have been unsuccessfully targeting 2% for a couple years) </w:t>
      </w:r>
      <w:r w:rsidRPr="00AA44ED">
        <w:rPr>
          <w:rFonts w:ascii="Arial" w:hAnsi="Arial" w:cs="Arial"/>
          <w:color w:val="1F497D" w:themeColor="text2"/>
          <w:sz w:val="24"/>
          <w:szCs w:val="24"/>
        </w:rPr>
        <w:t>and favorable employment data</w:t>
      </w:r>
      <w:r w:rsidRPr="003B58CA">
        <w:rPr>
          <w:rFonts w:ascii="Arial" w:hAnsi="Arial" w:cs="Arial"/>
          <w:color w:val="1F497D" w:themeColor="text2"/>
          <w:sz w:val="24"/>
          <w:szCs w:val="24"/>
        </w:rPr>
        <w:t xml:space="preserve"> have been met. Both inflation and employment “are calling for us to move steadily away from the very highly accommodative policies we put in place during the challenging economic conditions that the economy faced earlier in the pandemic,” he said.</w:t>
      </w:r>
      <w:r>
        <w:rPr>
          <w:rFonts w:ascii="Arial" w:hAnsi="Arial" w:cs="Arial"/>
          <w:color w:val="1F497D" w:themeColor="text2"/>
          <w:sz w:val="24"/>
          <w:szCs w:val="24"/>
        </w:rPr>
        <w:t xml:space="preserve"> Declining supply chain constraints and an improving pandemic outlook are expected to temper inflation later in the year.</w:t>
      </w:r>
    </w:p>
    <w:p w14:paraId="04B431FA" w14:textId="12B4A9A6" w:rsidR="00A82716" w:rsidRPr="003B58CA" w:rsidRDefault="00E579B5" w:rsidP="00A82716">
      <w:pPr>
        <w:spacing w:after="255" w:line="405" w:lineRule="atLeast"/>
        <w:textAlignment w:val="baseline"/>
        <w:rPr>
          <w:rFonts w:ascii="Arial" w:hAnsi="Arial" w:cs="Arial"/>
          <w:color w:val="1F497D" w:themeColor="text2"/>
          <w:sz w:val="24"/>
          <w:szCs w:val="24"/>
        </w:rPr>
      </w:pPr>
      <w:r>
        <w:rPr>
          <w:rFonts w:ascii="Arial" w:hAnsi="Arial" w:cs="Arial"/>
          <w:color w:val="1F497D"/>
          <w:sz w:val="24"/>
          <w:szCs w:val="24"/>
        </w:rPr>
        <w:lastRenderedPageBreak/>
        <w:t xml:space="preserve">In the labor market, good job gains, low unemployment and a strong economy provided greater </w:t>
      </w:r>
      <w:r w:rsidR="00A82716" w:rsidRPr="003B58CA">
        <w:rPr>
          <w:rFonts w:ascii="Arial" w:hAnsi="Arial" w:cs="Arial"/>
          <w:color w:val="1F497D" w:themeColor="text2"/>
          <w:sz w:val="24"/>
          <w:szCs w:val="24"/>
        </w:rPr>
        <w:t>urgency in recent weeks for the Fed to accelerate plans to raise rates much faster than officials anticipated last summer.</w:t>
      </w:r>
    </w:p>
    <w:p w14:paraId="0FEDFEF1" w14:textId="77777777" w:rsidR="00A82716" w:rsidRPr="003B58CA" w:rsidRDefault="00A82716" w:rsidP="00A82716">
      <w:pPr>
        <w:spacing w:after="255" w:line="405" w:lineRule="atLeast"/>
        <w:textAlignment w:val="baseline"/>
        <w:rPr>
          <w:rFonts w:ascii="Arial" w:hAnsi="Arial" w:cs="Arial"/>
          <w:color w:val="1F497D" w:themeColor="text2"/>
          <w:sz w:val="24"/>
          <w:szCs w:val="24"/>
        </w:rPr>
      </w:pPr>
      <w:r w:rsidRPr="003B58CA">
        <w:rPr>
          <w:rFonts w:ascii="Arial" w:hAnsi="Arial" w:cs="Arial"/>
          <w:color w:val="1F497D" w:themeColor="text2"/>
          <w:sz w:val="24"/>
          <w:szCs w:val="24"/>
        </w:rPr>
        <w:t xml:space="preserve">Mr. Powell and </w:t>
      </w:r>
      <w:r w:rsidRPr="00F218DF">
        <w:rPr>
          <w:rFonts w:ascii="Arial" w:hAnsi="Arial" w:cs="Arial"/>
          <w:color w:val="1F497D" w:themeColor="text2"/>
          <w:sz w:val="24"/>
          <w:szCs w:val="24"/>
        </w:rPr>
        <w:t>the FOMC members</w:t>
      </w:r>
      <w:r w:rsidRPr="003B58CA">
        <w:rPr>
          <w:rFonts w:ascii="Arial" w:hAnsi="Arial" w:cs="Arial"/>
          <w:color w:val="1F497D" w:themeColor="text2"/>
          <w:sz w:val="24"/>
          <w:szCs w:val="24"/>
        </w:rPr>
        <w:t xml:space="preserve"> have indicated they will start the process of shrinking their asset holdings sooner than they did after the central bank stopped buying bonds in 2014. They have also indicated that the process of shrinking those holdings—by allowing securities to mature without reinvesting their proceeds into new ones—is likely to proceed faster than it did the last time the Fed reduced its holdings in 2017.</w:t>
      </w:r>
    </w:p>
    <w:p w14:paraId="385A2317" w14:textId="77777777" w:rsidR="00A82716" w:rsidRDefault="00A82716" w:rsidP="00A82716">
      <w:pPr>
        <w:spacing w:after="255" w:line="405" w:lineRule="atLeast"/>
        <w:textAlignment w:val="baseline"/>
        <w:rPr>
          <w:rFonts w:ascii="Arial" w:hAnsi="Arial" w:cs="Arial"/>
          <w:color w:val="1F497D" w:themeColor="text2"/>
          <w:sz w:val="24"/>
          <w:szCs w:val="24"/>
        </w:rPr>
      </w:pPr>
      <w:r w:rsidRPr="003B58CA">
        <w:rPr>
          <w:rFonts w:ascii="Arial" w:hAnsi="Arial" w:cs="Arial"/>
          <w:color w:val="1F497D" w:themeColor="text2"/>
          <w:sz w:val="24"/>
          <w:szCs w:val="24"/>
        </w:rPr>
        <w:t xml:space="preserve">The prospect of more interest-rate increases and a shrinking Fed portfolio to reduce inflation has led to heightened market volatility in recent </w:t>
      </w:r>
      <w:r w:rsidRPr="00F218DF">
        <w:rPr>
          <w:rFonts w:ascii="Arial" w:hAnsi="Arial" w:cs="Arial"/>
          <w:color w:val="1F497D" w:themeColor="text2"/>
          <w:sz w:val="24"/>
          <w:szCs w:val="24"/>
        </w:rPr>
        <w:t>weeks</w:t>
      </w:r>
      <w:r w:rsidRPr="003B58CA">
        <w:rPr>
          <w:rFonts w:ascii="Arial" w:hAnsi="Arial" w:cs="Arial"/>
          <w:color w:val="1F497D" w:themeColor="text2"/>
          <w:sz w:val="24"/>
          <w:szCs w:val="24"/>
        </w:rPr>
        <w:t>, prompting investors to sell shares of some technology companies, cryptocurrencies and other risky assets that enjoyed a boom last year.</w:t>
      </w:r>
    </w:p>
    <w:p w14:paraId="75010464" w14:textId="77777777" w:rsidR="00A82716" w:rsidRPr="003B58CA" w:rsidRDefault="00A82716" w:rsidP="00A82716">
      <w:pPr>
        <w:spacing w:after="255" w:line="405" w:lineRule="atLeast"/>
        <w:textAlignment w:val="baseline"/>
        <w:rPr>
          <w:rFonts w:ascii="Arial" w:hAnsi="Arial" w:cs="Arial"/>
          <w:color w:val="1F497D" w:themeColor="text2"/>
          <w:sz w:val="24"/>
          <w:szCs w:val="24"/>
        </w:rPr>
      </w:pPr>
      <w:r>
        <w:rPr>
          <w:rFonts w:ascii="Arial" w:hAnsi="Arial" w:cs="Arial"/>
          <w:color w:val="1F497D" w:themeColor="text2"/>
          <w:sz w:val="24"/>
          <w:szCs w:val="24"/>
        </w:rPr>
        <w:t>We look for The Fed to increase short-term interest rates at least three times during the next three FOMC meetings and then will likely pause to evaluate the corresponding effect on the inflation data. The portfolios are positioned well for this forecast, but there may be a few additions and subtractions as prices become more attractive.</w:t>
      </w:r>
    </w:p>
    <w:p w14:paraId="7A4A1D31" w14:textId="77777777" w:rsidR="00093038" w:rsidRPr="006F1190" w:rsidRDefault="00093038" w:rsidP="00A82716">
      <w:pPr>
        <w:rPr>
          <w:rFonts w:ascii="Arial" w:hAnsi="Arial" w:cs="Arial"/>
          <w:color w:val="17365D" w:themeColor="text2" w:themeShade="BF"/>
          <w:sz w:val="22"/>
          <w:szCs w:val="22"/>
        </w:rPr>
      </w:pPr>
    </w:p>
    <w:sectPr w:rsidR="00093038" w:rsidRPr="006F1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serif-display)">
    <w:altName w:val="Cambria"/>
    <w:panose1 w:val="00000000000000000000"/>
    <w:charset w:val="00"/>
    <w:family w:val="roman"/>
    <w:notTrueType/>
    <w:pitch w:val="default"/>
  </w:font>
  <w:font w:name="var(--font-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6B1B"/>
    <w:multiLevelType w:val="multilevel"/>
    <w:tmpl w:val="7298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C3103"/>
    <w:multiLevelType w:val="hybridMultilevel"/>
    <w:tmpl w:val="BE52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B251D"/>
    <w:multiLevelType w:val="hybridMultilevel"/>
    <w:tmpl w:val="02F6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305C3"/>
    <w:multiLevelType w:val="hybridMultilevel"/>
    <w:tmpl w:val="8E688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190"/>
    <w:rsid w:val="00065874"/>
    <w:rsid w:val="00093038"/>
    <w:rsid w:val="00104D86"/>
    <w:rsid w:val="00133CED"/>
    <w:rsid w:val="00164B39"/>
    <w:rsid w:val="001B4D52"/>
    <w:rsid w:val="00277539"/>
    <w:rsid w:val="00396051"/>
    <w:rsid w:val="003D52FA"/>
    <w:rsid w:val="00485C95"/>
    <w:rsid w:val="004F5F68"/>
    <w:rsid w:val="00677E05"/>
    <w:rsid w:val="006F1190"/>
    <w:rsid w:val="00873190"/>
    <w:rsid w:val="008F1168"/>
    <w:rsid w:val="00995DEE"/>
    <w:rsid w:val="00A703CD"/>
    <w:rsid w:val="00A82716"/>
    <w:rsid w:val="00C03B5C"/>
    <w:rsid w:val="00D77B9E"/>
    <w:rsid w:val="00E579B5"/>
    <w:rsid w:val="00E80412"/>
    <w:rsid w:val="00EC32A2"/>
    <w:rsid w:val="00F07F89"/>
    <w:rsid w:val="00F24EF8"/>
    <w:rsid w:val="00F6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4D8B"/>
  <w15:docId w15:val="{BA76B097-1799-4101-9C03-BFB4B867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1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04D86"/>
    <w:rPr>
      <w:rFonts w:asciiTheme="majorHAnsi" w:eastAsiaTheme="majorEastAsia" w:hAnsiTheme="majorHAnsi" w:cstheme="majorBidi"/>
      <w:color w:val="006F0D"/>
    </w:rPr>
  </w:style>
  <w:style w:type="paragraph" w:styleId="ListParagraph">
    <w:name w:val="List Paragraph"/>
    <w:basedOn w:val="Normal"/>
    <w:uiPriority w:val="34"/>
    <w:qFormat/>
    <w:rsid w:val="00D77B9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7B9E"/>
    <w:rPr>
      <w:rFonts w:ascii="Tahoma" w:hAnsi="Tahoma" w:cs="Tahoma"/>
      <w:sz w:val="16"/>
      <w:szCs w:val="16"/>
    </w:rPr>
  </w:style>
  <w:style w:type="character" w:customStyle="1" w:styleId="BalloonTextChar">
    <w:name w:val="Balloon Text Char"/>
    <w:basedOn w:val="DefaultParagraphFont"/>
    <w:link w:val="BalloonText"/>
    <w:uiPriority w:val="99"/>
    <w:semiHidden/>
    <w:rsid w:val="00D77B9E"/>
    <w:rPr>
      <w:rFonts w:ascii="Tahoma" w:eastAsia="Times New Roman" w:hAnsi="Tahoma" w:cs="Tahoma"/>
      <w:sz w:val="16"/>
      <w:szCs w:val="16"/>
    </w:rPr>
  </w:style>
  <w:style w:type="paragraph" w:styleId="NormalWeb">
    <w:name w:val="Normal (Web)"/>
    <w:basedOn w:val="Normal"/>
    <w:uiPriority w:val="99"/>
    <w:unhideWhenUsed/>
    <w:rsid w:val="00E80412"/>
    <w:pPr>
      <w:spacing w:before="100" w:beforeAutospacing="1" w:after="100" w:afterAutospacing="1"/>
    </w:pPr>
    <w:rPr>
      <w:sz w:val="24"/>
      <w:szCs w:val="24"/>
    </w:rPr>
  </w:style>
  <w:style w:type="character" w:styleId="Strong">
    <w:name w:val="Strong"/>
    <w:basedOn w:val="DefaultParagraphFont"/>
    <w:uiPriority w:val="22"/>
    <w:qFormat/>
    <w:rsid w:val="00E80412"/>
    <w:rPr>
      <w:b/>
      <w:bCs/>
    </w:rPr>
  </w:style>
  <w:style w:type="character" w:styleId="Hyperlink">
    <w:name w:val="Hyperlink"/>
    <w:basedOn w:val="DefaultParagraphFont"/>
    <w:uiPriority w:val="99"/>
    <w:semiHidden/>
    <w:unhideWhenUsed/>
    <w:rsid w:val="00E80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438">
      <w:bodyDiv w:val="1"/>
      <w:marLeft w:val="0"/>
      <w:marRight w:val="0"/>
      <w:marTop w:val="0"/>
      <w:marBottom w:val="0"/>
      <w:divBdr>
        <w:top w:val="none" w:sz="0" w:space="0" w:color="auto"/>
        <w:left w:val="none" w:sz="0" w:space="0" w:color="auto"/>
        <w:bottom w:val="none" w:sz="0" w:space="0" w:color="auto"/>
        <w:right w:val="none" w:sz="0" w:space="0" w:color="auto"/>
      </w:divBdr>
      <w:divsChild>
        <w:div w:id="540167781">
          <w:marLeft w:val="0"/>
          <w:marRight w:val="0"/>
          <w:marTop w:val="0"/>
          <w:marBottom w:val="0"/>
          <w:divBdr>
            <w:top w:val="none" w:sz="0" w:space="0" w:color="auto"/>
            <w:left w:val="none" w:sz="0" w:space="0" w:color="auto"/>
            <w:bottom w:val="none" w:sz="0" w:space="0" w:color="auto"/>
            <w:right w:val="none" w:sz="0" w:space="0" w:color="auto"/>
          </w:divBdr>
          <w:divsChild>
            <w:div w:id="244801016">
              <w:marLeft w:val="0"/>
              <w:marRight w:val="0"/>
              <w:marTop w:val="0"/>
              <w:marBottom w:val="0"/>
              <w:divBdr>
                <w:top w:val="none" w:sz="0" w:space="0" w:color="auto"/>
                <w:left w:val="none" w:sz="0" w:space="0" w:color="auto"/>
                <w:bottom w:val="none" w:sz="0" w:space="0" w:color="auto"/>
                <w:right w:val="none" w:sz="0" w:space="0" w:color="auto"/>
              </w:divBdr>
              <w:divsChild>
                <w:div w:id="2058315146">
                  <w:marLeft w:val="0"/>
                  <w:marRight w:val="0"/>
                  <w:marTop w:val="0"/>
                  <w:marBottom w:val="0"/>
                  <w:divBdr>
                    <w:top w:val="none" w:sz="0" w:space="0" w:color="auto"/>
                    <w:left w:val="none" w:sz="0" w:space="0" w:color="auto"/>
                    <w:bottom w:val="none" w:sz="0" w:space="0" w:color="auto"/>
                    <w:right w:val="none" w:sz="0" w:space="0" w:color="auto"/>
                  </w:divBdr>
                  <w:divsChild>
                    <w:div w:id="1405378116">
                      <w:marLeft w:val="0"/>
                      <w:marRight w:val="0"/>
                      <w:marTop w:val="0"/>
                      <w:marBottom w:val="0"/>
                      <w:divBdr>
                        <w:top w:val="none" w:sz="0" w:space="0" w:color="auto"/>
                        <w:left w:val="none" w:sz="0" w:space="0" w:color="auto"/>
                        <w:bottom w:val="none" w:sz="0" w:space="0" w:color="auto"/>
                        <w:right w:val="none" w:sz="0" w:space="0" w:color="auto"/>
                      </w:divBdr>
                      <w:divsChild>
                        <w:div w:id="1183933562">
                          <w:marLeft w:val="0"/>
                          <w:marRight w:val="0"/>
                          <w:marTop w:val="0"/>
                          <w:marBottom w:val="0"/>
                          <w:divBdr>
                            <w:top w:val="none" w:sz="0" w:space="0" w:color="auto"/>
                            <w:left w:val="none" w:sz="0" w:space="0" w:color="auto"/>
                            <w:bottom w:val="none" w:sz="0" w:space="0" w:color="auto"/>
                            <w:right w:val="none" w:sz="0" w:space="0" w:color="auto"/>
                          </w:divBdr>
                          <w:divsChild>
                            <w:div w:id="498034327">
                              <w:marLeft w:val="0"/>
                              <w:marRight w:val="0"/>
                              <w:marTop w:val="0"/>
                              <w:marBottom w:val="0"/>
                              <w:divBdr>
                                <w:top w:val="none" w:sz="0" w:space="0" w:color="auto"/>
                                <w:left w:val="none" w:sz="0" w:space="0" w:color="auto"/>
                                <w:bottom w:val="none" w:sz="0" w:space="0" w:color="auto"/>
                                <w:right w:val="none" w:sz="0" w:space="0" w:color="auto"/>
                              </w:divBdr>
                              <w:divsChild>
                                <w:div w:id="1497570880">
                                  <w:marLeft w:val="0"/>
                                  <w:marRight w:val="0"/>
                                  <w:marTop w:val="0"/>
                                  <w:marBottom w:val="0"/>
                                  <w:divBdr>
                                    <w:top w:val="none" w:sz="0" w:space="0" w:color="auto"/>
                                    <w:left w:val="none" w:sz="0" w:space="0" w:color="auto"/>
                                    <w:bottom w:val="none" w:sz="0" w:space="0" w:color="auto"/>
                                    <w:right w:val="none" w:sz="0" w:space="0" w:color="auto"/>
                                  </w:divBdr>
                                  <w:divsChild>
                                    <w:div w:id="844590941">
                                      <w:marLeft w:val="0"/>
                                      <w:marRight w:val="0"/>
                                      <w:marTop w:val="0"/>
                                      <w:marBottom w:val="0"/>
                                      <w:divBdr>
                                        <w:top w:val="none" w:sz="0" w:space="0" w:color="auto"/>
                                        <w:left w:val="none" w:sz="0" w:space="0" w:color="auto"/>
                                        <w:bottom w:val="none" w:sz="0" w:space="0" w:color="auto"/>
                                        <w:right w:val="none" w:sz="0" w:space="0" w:color="auto"/>
                                      </w:divBdr>
                                      <w:divsChild>
                                        <w:div w:id="1633244607">
                                          <w:marLeft w:val="0"/>
                                          <w:marRight w:val="0"/>
                                          <w:marTop w:val="0"/>
                                          <w:marBottom w:val="0"/>
                                          <w:divBdr>
                                            <w:top w:val="none" w:sz="0" w:space="0" w:color="auto"/>
                                            <w:left w:val="none" w:sz="0" w:space="0" w:color="auto"/>
                                            <w:bottom w:val="none" w:sz="0" w:space="0" w:color="auto"/>
                                            <w:right w:val="none" w:sz="0" w:space="0" w:color="auto"/>
                                          </w:divBdr>
                                          <w:divsChild>
                                            <w:div w:id="9478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375586">
      <w:bodyDiv w:val="1"/>
      <w:marLeft w:val="0"/>
      <w:marRight w:val="0"/>
      <w:marTop w:val="0"/>
      <w:marBottom w:val="0"/>
      <w:divBdr>
        <w:top w:val="none" w:sz="0" w:space="0" w:color="auto"/>
        <w:left w:val="none" w:sz="0" w:space="0" w:color="auto"/>
        <w:bottom w:val="none" w:sz="0" w:space="0" w:color="auto"/>
        <w:right w:val="none" w:sz="0" w:space="0" w:color="auto"/>
      </w:divBdr>
    </w:div>
    <w:div w:id="439836379">
      <w:bodyDiv w:val="1"/>
      <w:marLeft w:val="0"/>
      <w:marRight w:val="0"/>
      <w:marTop w:val="0"/>
      <w:marBottom w:val="0"/>
      <w:divBdr>
        <w:top w:val="none" w:sz="0" w:space="0" w:color="auto"/>
        <w:left w:val="none" w:sz="0" w:space="0" w:color="auto"/>
        <w:bottom w:val="none" w:sz="0" w:space="0" w:color="auto"/>
        <w:right w:val="none" w:sz="0" w:space="0" w:color="auto"/>
      </w:divBdr>
    </w:div>
    <w:div w:id="688532459">
      <w:bodyDiv w:val="1"/>
      <w:marLeft w:val="0"/>
      <w:marRight w:val="0"/>
      <w:marTop w:val="0"/>
      <w:marBottom w:val="0"/>
      <w:divBdr>
        <w:top w:val="none" w:sz="0" w:space="0" w:color="auto"/>
        <w:left w:val="none" w:sz="0" w:space="0" w:color="auto"/>
        <w:bottom w:val="none" w:sz="0" w:space="0" w:color="auto"/>
        <w:right w:val="none" w:sz="0" w:space="0" w:color="auto"/>
      </w:divBdr>
    </w:div>
    <w:div w:id="724336559">
      <w:bodyDiv w:val="1"/>
      <w:marLeft w:val="0"/>
      <w:marRight w:val="0"/>
      <w:marTop w:val="0"/>
      <w:marBottom w:val="0"/>
      <w:divBdr>
        <w:top w:val="none" w:sz="0" w:space="0" w:color="auto"/>
        <w:left w:val="none" w:sz="0" w:space="0" w:color="auto"/>
        <w:bottom w:val="none" w:sz="0" w:space="0" w:color="auto"/>
        <w:right w:val="none" w:sz="0" w:space="0" w:color="auto"/>
      </w:divBdr>
    </w:div>
    <w:div w:id="9763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serve.gov/newsevents/pressreleases/monetary20220126a.htm" TargetMode="External"/><Relationship Id="rId13" Type="http://schemas.openxmlformats.org/officeDocument/2006/relationships/hyperlink" Target="https://www.wsj.com/articles/u-s-government-bond-yields-stable-ahead-of-fed-announcement-11643214357?mod=article_inline" TargetMode="External"/><Relationship Id="rId3" Type="http://schemas.openxmlformats.org/officeDocument/2006/relationships/settings" Target="settings.xml"/><Relationship Id="rId7" Type="http://schemas.openxmlformats.org/officeDocument/2006/relationships/hyperlink" Target="https://www.wsj.com/articles/inflation-poses-risks-of-faster-less-predictable-fed-rate-increases-11642946403?mod=article_inline" TargetMode="External"/><Relationship Id="rId12" Type="http://schemas.openxmlformats.org/officeDocument/2006/relationships/hyperlink" Target="https://www.wsj.com/articles/global-stocks-markets-dow-update-01-26-2022-11643185943?mod=article_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j.com/articles/fed-minutes-reflect-growing-unease-over-high-inflation-11641409628?mod=article_inline" TargetMode="External"/><Relationship Id="rId11" Type="http://schemas.openxmlformats.org/officeDocument/2006/relationships/hyperlink" Target="https://www.federalreserve.gov/newsevents/pressreleases/monetary20220126a1.ht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wsj.com/articles/fed-steps-up-deliberations-on-shrinking-its-9-trillion-asset-portfolio-11643020203?mod=article_i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 Bussie</cp:lastModifiedBy>
  <cp:revision>5</cp:revision>
  <cp:lastPrinted>2019-05-01T20:09:00Z</cp:lastPrinted>
  <dcterms:created xsi:type="dcterms:W3CDTF">2022-01-26T23:24:00Z</dcterms:created>
  <dcterms:modified xsi:type="dcterms:W3CDTF">2022-01-26T23:43:00Z</dcterms:modified>
</cp:coreProperties>
</file>