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i/>
          <w:iCs/>
          <w:color w:val="000000"/>
          <w:sz w:val="24"/>
          <w:szCs w:val="24"/>
        </w:rPr>
      </w:pPr>
      <w:r>
        <w:rPr>
          <w:rFonts w:ascii="sans-serif" w:hAnsi="sans-serif" w:cs="sans-serif"/>
          <w:b/>
          <w:bCs/>
          <w:i/>
          <w:iCs/>
          <w:color w:val="000000"/>
          <w:sz w:val="24"/>
          <w:szCs w:val="24"/>
        </w:rPr>
        <w:t>Effective 5/13/2014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color w:val="000000"/>
          <w:sz w:val="24"/>
          <w:szCs w:val="24"/>
        </w:rPr>
      </w:pPr>
      <w:r>
        <w:rPr>
          <w:rFonts w:ascii="sans-serif" w:hAnsi="sans-serif" w:cs="sans-serif"/>
          <w:b/>
          <w:bCs/>
          <w:color w:val="000000"/>
          <w:sz w:val="24"/>
          <w:szCs w:val="24"/>
        </w:rPr>
        <w:t>10-3-301</w:t>
      </w:r>
      <w:r>
        <w:rPr>
          <w:rFonts w:ascii="sans-serif" w:hAnsi="sans-serif" w:cs="sans-serif"/>
          <w:b/>
          <w:bCs/>
          <w:color w:val="000000"/>
          <w:sz w:val="24"/>
          <w:szCs w:val="24"/>
        </w:rPr>
        <w:t> </w:t>
      </w:r>
      <w:r>
        <w:rPr>
          <w:rFonts w:ascii="sans-serif" w:hAnsi="sans-serif" w:cs="sans-serif"/>
          <w:b/>
          <w:bCs/>
          <w:color w:val="000000"/>
          <w:sz w:val="24"/>
          <w:szCs w:val="24"/>
        </w:rPr>
        <w:t>Notice -- Eligibility and residency requirements for elected municipal office -- Mayor and recorder limitations.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(1)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(a) On or before February 1 in a year in which there is a municipal general election, the municipal clerk shall publish a notice that identifies: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</w:t>
      </w:r>
      <w:proofErr w:type="spellStart"/>
      <w:r>
        <w:rPr>
          <w:rFonts w:ascii="sans-serif" w:hAnsi="sans-serif" w:cs="sans-serif"/>
          <w:color w:val="000000"/>
          <w:sz w:val="24"/>
          <w:szCs w:val="24"/>
        </w:rPr>
        <w:t>i</w:t>
      </w:r>
      <w:proofErr w:type="spellEnd"/>
      <w:r>
        <w:rPr>
          <w:rFonts w:ascii="sans-serif" w:hAnsi="sans-serif" w:cs="sans-serif"/>
          <w:color w:val="000000"/>
          <w:sz w:val="24"/>
          <w:szCs w:val="24"/>
        </w:rPr>
        <w:t>) the municipal offices to be voted on in the municipal general election; and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(ii) the dates for filing a de</w:t>
      </w:r>
      <w:r>
        <w:rPr>
          <w:rFonts w:ascii="sans-serif" w:hAnsi="sans-serif" w:cs="sans-serif"/>
          <w:color w:val="000000"/>
          <w:sz w:val="24"/>
          <w:szCs w:val="24"/>
        </w:rPr>
        <w:t>claration of candidacy for the offices identified under Subsection (1)(a)(</w:t>
      </w:r>
      <w:proofErr w:type="spellStart"/>
      <w:r>
        <w:rPr>
          <w:rFonts w:ascii="sans-serif" w:hAnsi="sans-serif" w:cs="sans-serif"/>
          <w:color w:val="000000"/>
          <w:sz w:val="24"/>
          <w:szCs w:val="24"/>
        </w:rPr>
        <w:t>i</w:t>
      </w:r>
      <w:proofErr w:type="spellEnd"/>
      <w:r>
        <w:rPr>
          <w:rFonts w:ascii="sans-serif" w:hAnsi="sans-serif" w:cs="sans-serif"/>
          <w:color w:val="000000"/>
          <w:sz w:val="24"/>
          <w:szCs w:val="24"/>
        </w:rPr>
        <w:t>).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(b) The municipal clerk shall publish the notice described in Subsection (1)(a):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</w:t>
      </w:r>
      <w:proofErr w:type="spellStart"/>
      <w:r>
        <w:rPr>
          <w:rFonts w:ascii="sans-serif" w:hAnsi="sans-serif" w:cs="sans-serif"/>
          <w:color w:val="000000"/>
          <w:sz w:val="24"/>
          <w:szCs w:val="24"/>
        </w:rPr>
        <w:t>i</w:t>
      </w:r>
      <w:proofErr w:type="spellEnd"/>
      <w:r>
        <w:rPr>
          <w:rFonts w:ascii="sans-serif" w:hAnsi="sans-serif" w:cs="sans-serif"/>
          <w:color w:val="000000"/>
          <w:sz w:val="24"/>
          <w:szCs w:val="24"/>
        </w:rPr>
        <w:t>) on the Utah Public Notice Website established by Section 63F-1-701; and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 xml:space="preserve">(ii) in at least one </w:t>
      </w:r>
      <w:r>
        <w:rPr>
          <w:rFonts w:ascii="sans-serif" w:hAnsi="sans-serif" w:cs="sans-serif"/>
          <w:color w:val="000000"/>
          <w:sz w:val="24"/>
          <w:szCs w:val="24"/>
        </w:rPr>
        <w:t>of the following ways: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(A) at the principal office of the municipality;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(B) in a newspaper of general circulation within the municipality at least once a week for two successive weeks in accordance with Section 45-1-101;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(C) in a newsletter produced by the</w:t>
      </w:r>
      <w:r>
        <w:rPr>
          <w:rFonts w:ascii="sans-serif" w:hAnsi="sans-serif" w:cs="sans-serif"/>
          <w:color w:val="000000"/>
          <w:sz w:val="24"/>
          <w:szCs w:val="24"/>
        </w:rPr>
        <w:t xml:space="preserve"> municipality;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(D) on a website operated by the municipality; or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(E) with a utility enterprise fund customer’s bill.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(2)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(a) A person filing a declaration of candidacy for a municipal office shall meet the requirements of Section 20A-9-203.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(b)</w:t>
      </w:r>
    </w:p>
    <w:p w:rsidR="00000000" w:rsidRPr="00967113" w:rsidRDefault="00967113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sans-serif" w:hAnsi="sans-serif" w:cs="sans-serif"/>
          <w:color w:val="000000"/>
          <w:sz w:val="24"/>
          <w:szCs w:val="24"/>
          <w:highlight w:val="cyan"/>
        </w:rPr>
      </w:pPr>
      <w:r>
        <w:rPr>
          <w:rFonts w:ascii="sans-serif" w:hAnsi="sans-serif" w:cs="sans-serif"/>
          <w:color w:val="000000"/>
          <w:sz w:val="24"/>
          <w:szCs w:val="24"/>
        </w:rPr>
        <w:t>(</w:t>
      </w:r>
      <w:proofErr w:type="spellStart"/>
      <w:r>
        <w:rPr>
          <w:rFonts w:ascii="sans-serif" w:hAnsi="sans-serif" w:cs="sans-serif"/>
          <w:color w:val="000000"/>
          <w:sz w:val="24"/>
          <w:szCs w:val="24"/>
        </w:rPr>
        <w:t>i</w:t>
      </w:r>
      <w:proofErr w:type="spellEnd"/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 xml:space="preserve">) Except </w:t>
      </w:r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as provided in Subsection (2)(b)(ii), the city recorder or town clerk of each municipality shall maintain office hours 8 a.m. to 5 p.m. on the dates described in Subsections 20A-9-203(2)(a)(</w:t>
      </w:r>
      <w:proofErr w:type="spellStart"/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i</w:t>
      </w:r>
      <w:proofErr w:type="spellEnd"/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) and (b)(</w:t>
      </w:r>
      <w:proofErr w:type="spellStart"/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i</w:t>
      </w:r>
      <w:proofErr w:type="spellEnd"/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) unless the date occurs on a:</w:t>
      </w:r>
    </w:p>
    <w:p w:rsidR="00000000" w:rsidRPr="00967113" w:rsidRDefault="009671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ans-serif" w:hAnsi="sans-serif" w:cs="sans-serif"/>
          <w:color w:val="000000"/>
          <w:sz w:val="24"/>
          <w:szCs w:val="24"/>
          <w:highlight w:val="cyan"/>
        </w:rPr>
      </w:pPr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(A) Saturday or Sunday;</w:t>
      </w:r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 xml:space="preserve"> or</w:t>
      </w:r>
    </w:p>
    <w:p w:rsidR="00000000" w:rsidRPr="00967113" w:rsidRDefault="009671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ans-serif" w:hAnsi="sans-serif" w:cs="sans-serif"/>
          <w:color w:val="000000"/>
          <w:sz w:val="24"/>
          <w:szCs w:val="24"/>
          <w:highlight w:val="cyan"/>
        </w:rPr>
      </w:pPr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(B) state holiday as listed in Section 63G-1-301.</w:t>
      </w:r>
    </w:p>
    <w:p w:rsidR="00000000" w:rsidRPr="00967113" w:rsidRDefault="00967113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sans-serif" w:hAnsi="sans-serif" w:cs="sans-serif"/>
          <w:color w:val="000000"/>
          <w:sz w:val="24"/>
          <w:szCs w:val="24"/>
          <w:highlight w:val="cyan"/>
        </w:rPr>
      </w:pPr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(ii) If on a regular basis a city recorder or town clerk maintains an office schedule that is less than 40 hours per week, the city recorder or town clerk may comply with Subsection (2)(b)(</w:t>
      </w:r>
      <w:proofErr w:type="spellStart"/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i</w:t>
      </w:r>
      <w:proofErr w:type="spellEnd"/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) without ma</w:t>
      </w:r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intaining office hours by:</w:t>
      </w:r>
    </w:p>
    <w:p w:rsidR="00000000" w:rsidRPr="00967113" w:rsidRDefault="009671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ans-serif" w:hAnsi="sans-serif" w:cs="sans-serif"/>
          <w:color w:val="000000"/>
          <w:sz w:val="24"/>
          <w:szCs w:val="24"/>
          <w:highlight w:val="cyan"/>
        </w:rPr>
      </w:pPr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(A) posting the recorder’s or clerk’s contact information, including a phone number and email address, on the recorder’s or clerk’s office door, the main door to the municipal offices, and, if available, on the municipal website;</w:t>
      </w:r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 xml:space="preserve"> and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ans-serif" w:hAnsi="sans-serif" w:cs="sans-serif"/>
          <w:color w:val="000000"/>
          <w:sz w:val="24"/>
          <w:szCs w:val="24"/>
        </w:rPr>
      </w:pPr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(B) being available at that contact information from 8 a.m. to 5 p.m. on the dates described in Subsection (2)(b)(</w:t>
      </w:r>
      <w:proofErr w:type="spellStart"/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i</w:t>
      </w:r>
      <w:proofErr w:type="spellEnd"/>
      <w:r w:rsidRPr="00967113">
        <w:rPr>
          <w:rFonts w:ascii="sans-serif" w:hAnsi="sans-serif" w:cs="sans-serif"/>
          <w:color w:val="000000"/>
          <w:sz w:val="24"/>
          <w:szCs w:val="24"/>
          <w:highlight w:val="cyan"/>
        </w:rPr>
        <w:t>).</w:t>
      </w:r>
      <w:bookmarkStart w:id="0" w:name="_GoBack"/>
      <w:bookmarkEnd w:id="0"/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(3) Any person elected to municipal office shall be a registered voter in the municipality in which the person was elected.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(4)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(a) Each elected officer of a municipality shall maintain residency within the boundaries of the municipality during the officer’s term of office.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(b) If an elected officer of a municipality establishes a principal place of residence as provided in Section</w:t>
      </w:r>
      <w:r>
        <w:rPr>
          <w:rFonts w:ascii="sans-serif" w:hAnsi="sans-serif" w:cs="sans-serif"/>
          <w:color w:val="000000"/>
          <w:sz w:val="24"/>
          <w:szCs w:val="24"/>
        </w:rPr>
        <w:t xml:space="preserve"> 20A-2-105 outside the municipality during the officer’s term of office, the office is automatically vacant.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(5) If an elected municipal officer is absent from the municipality any time during the officer’s term of office for a continuous period of more th</w:t>
      </w:r>
      <w:r>
        <w:rPr>
          <w:rFonts w:ascii="sans-serif" w:hAnsi="sans-serif" w:cs="sans-serif"/>
          <w:color w:val="000000"/>
          <w:sz w:val="24"/>
          <w:szCs w:val="24"/>
        </w:rPr>
        <w:t>an 60 days without the consent of the municipal legislative body, the municipal office is automatically vacant.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(6)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(a) A mayor of a municipality may not also serve as the municipal recorder or treasurer.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t>(b) The recorder of a municipality may not also ser</w:t>
      </w:r>
      <w:r>
        <w:rPr>
          <w:rFonts w:ascii="sans-serif" w:hAnsi="sans-serif" w:cs="sans-serif"/>
          <w:color w:val="000000"/>
          <w:sz w:val="24"/>
          <w:szCs w:val="24"/>
        </w:rPr>
        <w:t>ve as the municipal treasurer.</w:t>
      </w:r>
    </w:p>
    <w:p w:rsidR="00000000" w:rsidRDefault="0096711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color w:val="000000"/>
          <w:sz w:val="24"/>
          <w:szCs w:val="24"/>
        </w:rPr>
      </w:pPr>
      <w:r>
        <w:rPr>
          <w:rFonts w:ascii="sans-serif" w:hAnsi="sans-serif" w:cs="sans-serif"/>
          <w:color w:val="000000"/>
          <w:sz w:val="24"/>
          <w:szCs w:val="24"/>
        </w:rPr>
        <w:br/>
        <w:t>Amended by Chapter 38, 2014 General Session</w:t>
      </w:r>
      <w:r>
        <w:rPr>
          <w:rFonts w:ascii="sans-serif" w:hAnsi="sans-serif" w:cs="sans-serif"/>
          <w:color w:val="000000"/>
          <w:sz w:val="24"/>
          <w:szCs w:val="24"/>
        </w:rPr>
        <w:br/>
      </w:r>
    </w:p>
    <w:sectPr w:rsidR="00000000">
      <w:pgSz w:w="12240" w:h="15840"/>
      <w:pgMar w:top="720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3"/>
    <w:rsid w:val="00967113"/>
    <w:rsid w:val="00A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10CC632-052E-474E-A477-508927DA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Gillette</dc:creator>
  <cp:keywords/>
  <dc:description/>
  <cp:lastModifiedBy>Marilyn Gillette</cp:lastModifiedBy>
  <cp:revision>3</cp:revision>
  <dcterms:created xsi:type="dcterms:W3CDTF">2017-05-01T22:05:00Z</dcterms:created>
  <dcterms:modified xsi:type="dcterms:W3CDTF">2017-05-01T22:05:00Z</dcterms:modified>
</cp:coreProperties>
</file>