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4F" w:rsidRDefault="0069654F" w:rsidP="0069654F">
      <w:bookmarkStart w:id="0" w:name="_GoBack"/>
      <w:bookmarkEnd w:id="0"/>
    </w:p>
    <w:p w:rsidR="0069654F" w:rsidRPr="000D52E0" w:rsidRDefault="0069654F" w:rsidP="0069654F">
      <w:pPr>
        <w:rPr>
          <w:b/>
        </w:rPr>
      </w:pPr>
      <w:r>
        <w:rPr>
          <w:b/>
        </w:rPr>
        <w:t>Policy</w:t>
      </w:r>
    </w:p>
    <w:p w:rsidR="0069654F" w:rsidRDefault="0069654F" w:rsidP="0069654F">
      <w:r>
        <w:t xml:space="preserve">Drug testing will be performed on pain management patients prior to the initial issuance or dispensing of a controlled substance prescription and randomly at least twice per year, or more frequently as determined by </w:t>
      </w:r>
      <w:r w:rsidRPr="0059651D">
        <w:t>the treating physician.</w:t>
      </w:r>
    </w:p>
    <w:p w:rsidR="0069654F" w:rsidRDefault="0069654F" w:rsidP="0069654F"/>
    <w:p w:rsidR="0069654F" w:rsidRPr="000D52E0" w:rsidRDefault="0069654F" w:rsidP="0069654F">
      <w:pPr>
        <w:rPr>
          <w:b/>
        </w:rPr>
      </w:pPr>
      <w:r>
        <w:rPr>
          <w:b/>
        </w:rPr>
        <w:t>Procedure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>
        <w:t>If the physician is considering prescribing a controlled substance to a patient as part of the patient’s treatment plan, the physician shall require the patient to undergo drug testing.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>
        <w:t>When</w:t>
      </w:r>
      <w:r w:rsidRPr="007B6306">
        <w:t xml:space="preserve"> drug testing is utilized, </w:t>
      </w:r>
      <w:r>
        <w:t>[Clinic Name]</w:t>
      </w:r>
      <w:r w:rsidRPr="007B6306">
        <w:t xml:space="preserve"> shall use ONE of three methods to perform patient</w:t>
      </w:r>
      <w:r>
        <w:t xml:space="preserve"> drug testing: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 w:rsidRPr="002E0461">
        <w:rPr>
          <w:u w:val="single"/>
        </w:rPr>
        <w:t>Referral to an outside laboratory.</w:t>
      </w:r>
      <w:r>
        <w:t xml:space="preserve">  A physician shall send the patient to a Clinical Laboratory Improvement Amendments (CLIA)-certified laboratory or a collection site owned or operated by a CLIA-certified laboratory;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 w:rsidRPr="002E0461">
        <w:rPr>
          <w:u w:val="single"/>
        </w:rPr>
        <w:t>Specimen collected in the pain management clinic and sent to an outside laboratory for testing.</w:t>
      </w:r>
      <w:r>
        <w:t xml:space="preserve">  A physician shall collect in the office the patient specimen to be used for drug testing in a device that measures pH, specific gravity, and temperature and then the specimen shall be sent to a CLIA-certified laboratory.  The physician shall follow the collection procedures required by the agreement the pain management clinic has entered into with the CLIA-certified laboratory it uses; or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 w:rsidRPr="002E0461">
        <w:rPr>
          <w:u w:val="single"/>
        </w:rPr>
        <w:t xml:space="preserve">Specimen collected and </w:t>
      </w:r>
      <w:r>
        <w:rPr>
          <w:u w:val="single"/>
        </w:rPr>
        <w:t>screened</w:t>
      </w:r>
      <w:r w:rsidRPr="002E0461">
        <w:rPr>
          <w:u w:val="single"/>
        </w:rPr>
        <w:t xml:space="preserve"> in office</w:t>
      </w:r>
      <w:r>
        <w:rPr>
          <w:u w:val="single"/>
        </w:rPr>
        <w:t xml:space="preserve"> and sent to an outside laboratory for testing</w:t>
      </w:r>
      <w:r w:rsidRPr="002E0461">
        <w:rPr>
          <w:u w:val="single"/>
        </w:rPr>
        <w:t>.</w:t>
      </w:r>
      <w:r>
        <w:t xml:space="preserve">  A physician shall collect and screen in the office the specimen to be used for drug testing using CLIA-waived point-of-care test or CLIA-approved test that uses a device that measures pH, specific gravity, and temperature.  Results of the drug screen shall be read according to the manufacturer’s instructions and sent to a CLIA-certified laboratory for confirmation testing as described in the point-of-care test package insert.  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 w:rsidRPr="008511BE">
        <w:t>The CLIA-certified laboratory will perform gas or liquid chromatography/mass spectrometry (GC/MS or LC/MS or LC/MS/MS or GC/MS/MS) confirmation.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>
        <w:t>[Clinic Name]</w:t>
      </w:r>
      <w:r w:rsidRPr="007B6306">
        <w:t xml:space="preserve"> may employ additional measures to help assure the integrity of the urine</w:t>
      </w:r>
      <w:r>
        <w:t xml:space="preserve"> specimens provided by patients.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>
        <w:t>When drug testing is utilized, the physician will: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>
        <w:t>Review the results of the testing prior to the initial issuance or dispensing of a controlled substance or prescription for a controlled substance; and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 w:rsidRPr="0059651D">
        <w:t xml:space="preserve">Cause the patient to undergo drug testing on a random basis every </w:t>
      </w:r>
      <w:r>
        <w:t xml:space="preserve">6 </w:t>
      </w:r>
      <w:r w:rsidRPr="0059651D">
        <w:t xml:space="preserve">months or </w:t>
      </w:r>
      <w:r>
        <w:t xml:space="preserve">more frequently as determined </w:t>
      </w:r>
      <w:r w:rsidRPr="0059651D">
        <w:t>by the treating physician.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 w:rsidRPr="008511BE">
        <w:t>If the result of the GC/MS or LC/MS or LC/MS/MS or GC/MS/MS testing is positive, the physician shall</w:t>
      </w:r>
      <w:r>
        <w:t xml:space="preserve"> discuss the results with the patient and determine, based on the totality of the circumstances, whether the drug test results are indicative of substance abuse.</w:t>
      </w:r>
    </w:p>
    <w:p w:rsidR="0069654F" w:rsidRPr="0059651D" w:rsidRDefault="0069654F" w:rsidP="0069654F">
      <w:pPr>
        <w:pStyle w:val="ListParagraph"/>
        <w:numPr>
          <w:ilvl w:val="1"/>
          <w:numId w:val="8"/>
        </w:numPr>
      </w:pPr>
      <w:r>
        <w:t xml:space="preserve">If the physician concludes that the drug test results are indicative of substance abuse, the physician will </w:t>
      </w:r>
      <w:r w:rsidRPr="008511BE">
        <w:t>refer the patient for further consultation with a board-</w:t>
      </w:r>
      <w:r w:rsidRPr="008511BE">
        <w:lastRenderedPageBreak/>
        <w:t>certified pain management physician, an addiction medicine specialist, or to a mental health addiction facility as it pertains to drug abuse or addiction.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>
        <w:t>When drug testing is utilized, the patient’s medical record shall include documentation of the following: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>
        <w:t>A urine drug test was performed and the results of the test;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>
        <w:t>The method by which the urine drug screen was collected and tested;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>
        <w:t>The dates of the urine drug test; and</w:t>
      </w:r>
    </w:p>
    <w:p w:rsidR="0069654F" w:rsidRDefault="0069654F" w:rsidP="0069654F">
      <w:pPr>
        <w:pStyle w:val="ListParagraph"/>
        <w:numPr>
          <w:ilvl w:val="1"/>
          <w:numId w:val="8"/>
        </w:numPr>
      </w:pPr>
      <w:r w:rsidRPr="00BB4F5E">
        <w:t>The physician’s signature indicating review of the res</w:t>
      </w:r>
      <w:r>
        <w:t>ults of the urine drug test.</w:t>
      </w:r>
      <w:r w:rsidRPr="007D5A0A">
        <w:rPr>
          <w:highlight w:val="yellow"/>
        </w:rPr>
        <w:t xml:space="preserve">  </w:t>
      </w:r>
    </w:p>
    <w:p w:rsidR="0069654F" w:rsidRDefault="0069654F" w:rsidP="0069654F">
      <w:pPr>
        <w:pStyle w:val="ListParagraph"/>
        <w:numPr>
          <w:ilvl w:val="0"/>
          <w:numId w:val="8"/>
        </w:numPr>
      </w:pPr>
      <w:r w:rsidRPr="0002767F">
        <w:rPr>
          <w:u w:val="single"/>
        </w:rPr>
        <w:t>Evidence of Diversion.</w:t>
      </w:r>
      <w:r>
        <w:t xml:space="preserve">  When the physician observes evidence or behavioral indications of diversion, the physician will take the following actions:</w:t>
      </w:r>
    </w:p>
    <w:p w:rsidR="0069654F" w:rsidRDefault="0069654F" w:rsidP="0069654F">
      <w:pPr>
        <w:pStyle w:val="ListParagraph"/>
        <w:numPr>
          <w:ilvl w:val="1"/>
          <w:numId w:val="9"/>
        </w:numPr>
      </w:pPr>
      <w:r>
        <w:t>Discontinue controlled substance therapy;</w:t>
      </w:r>
    </w:p>
    <w:p w:rsidR="0069654F" w:rsidRDefault="0069654F" w:rsidP="0069654F">
      <w:pPr>
        <w:pStyle w:val="ListParagraph"/>
        <w:numPr>
          <w:ilvl w:val="1"/>
          <w:numId w:val="9"/>
        </w:numPr>
      </w:pPr>
      <w:r>
        <w:t>Discharge the patient;</w:t>
      </w:r>
    </w:p>
    <w:p w:rsidR="0069654F" w:rsidRDefault="0069654F" w:rsidP="0069654F">
      <w:pPr>
        <w:pStyle w:val="ListParagraph"/>
        <w:numPr>
          <w:ilvl w:val="1"/>
          <w:numId w:val="9"/>
        </w:numPr>
      </w:pPr>
      <w:r w:rsidRPr="00330E6D">
        <w:t>Provide the patient with a discharge notification and maintain a copy of the discharge notification in the patient’s medical record</w:t>
      </w:r>
      <w:r>
        <w:t>; and</w:t>
      </w:r>
    </w:p>
    <w:p w:rsidR="0069654F" w:rsidRDefault="0069654F" w:rsidP="0069654F">
      <w:pPr>
        <w:pStyle w:val="ListParagraph"/>
        <w:numPr>
          <w:ilvl w:val="1"/>
          <w:numId w:val="9"/>
        </w:numPr>
      </w:pPr>
      <w:r>
        <w:t xml:space="preserve">Document in the patient’s medical record the results of any testing performed and the actions taken by the physician. </w:t>
      </w:r>
    </w:p>
    <w:p w:rsidR="0069654F" w:rsidRDefault="0069654F" w:rsidP="0069654F"/>
    <w:p w:rsidR="000B1DCC" w:rsidRDefault="000B1DCC" w:rsidP="000B1DC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D15B1" w:rsidRDefault="006D15B1" w:rsidP="0069654F">
      <w:pPr>
        <w:rPr>
          <w:b/>
          <w:color w:val="000000"/>
          <w:sz w:val="28"/>
          <w:szCs w:val="28"/>
        </w:rPr>
      </w:pPr>
    </w:p>
    <w:sectPr w:rsidR="006D15B1" w:rsidSect="0069654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4F" w:rsidRDefault="0069654F" w:rsidP="00C42282">
      <w:r>
        <w:separator/>
      </w:r>
    </w:p>
  </w:endnote>
  <w:endnote w:type="continuationSeparator" w:id="0">
    <w:p w:rsidR="0069654F" w:rsidRDefault="0069654F" w:rsidP="00C4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438B03"/>
        <w:insideH w:val="single" w:sz="18" w:space="0" w:color="808080"/>
        <w:insideV w:val="single" w:sz="18" w:space="0" w:color="438B03"/>
      </w:tblBorders>
      <w:tblLook w:val="04A0" w:firstRow="1" w:lastRow="0" w:firstColumn="1" w:lastColumn="0" w:noHBand="0" w:noVBand="1"/>
    </w:tblPr>
    <w:tblGrid>
      <w:gridCol w:w="1728"/>
      <w:gridCol w:w="7848"/>
    </w:tblGrid>
    <w:tr w:rsidR="00176CFE" w:rsidTr="005B6BAD">
      <w:tc>
        <w:tcPr>
          <w:tcW w:w="1728" w:type="dxa"/>
        </w:tcPr>
        <w:p w:rsidR="00176CFE" w:rsidRPr="008C2A00" w:rsidRDefault="00176CFE" w:rsidP="005B6BAD">
          <w:pPr>
            <w:pStyle w:val="Footer"/>
            <w:jc w:val="right"/>
            <w:rPr>
              <w:b/>
              <w:bCs/>
              <w:color w:val="4F81BD"/>
              <w:sz w:val="20"/>
              <w:szCs w:val="20"/>
            </w:rPr>
          </w:pPr>
          <w:r w:rsidRPr="008C2A00">
            <w:rPr>
              <w:sz w:val="20"/>
              <w:szCs w:val="20"/>
            </w:rPr>
            <w:t xml:space="preserve">Page </w:t>
          </w:r>
          <w:r w:rsidRPr="008C2A00">
            <w:rPr>
              <w:sz w:val="20"/>
              <w:szCs w:val="20"/>
            </w:rPr>
            <w:fldChar w:fldCharType="begin"/>
          </w:r>
          <w:r w:rsidRPr="008C2A00">
            <w:rPr>
              <w:sz w:val="20"/>
              <w:szCs w:val="20"/>
            </w:rPr>
            <w:instrText xml:space="preserve"> PAGE </w:instrText>
          </w:r>
          <w:r w:rsidRPr="008C2A00">
            <w:rPr>
              <w:sz w:val="20"/>
              <w:szCs w:val="20"/>
            </w:rPr>
            <w:fldChar w:fldCharType="separate"/>
          </w:r>
          <w:r w:rsidR="0069654F">
            <w:rPr>
              <w:noProof/>
              <w:sz w:val="20"/>
              <w:szCs w:val="20"/>
            </w:rPr>
            <w:t>2</w:t>
          </w:r>
          <w:r w:rsidRPr="008C2A00">
            <w:rPr>
              <w:sz w:val="20"/>
              <w:szCs w:val="20"/>
            </w:rPr>
            <w:fldChar w:fldCharType="end"/>
          </w:r>
          <w:r w:rsidRPr="008C2A00">
            <w:rPr>
              <w:sz w:val="20"/>
              <w:szCs w:val="20"/>
            </w:rPr>
            <w:t xml:space="preserve"> of </w:t>
          </w:r>
          <w:r w:rsidRPr="008C2A00">
            <w:rPr>
              <w:sz w:val="20"/>
              <w:szCs w:val="20"/>
            </w:rPr>
            <w:fldChar w:fldCharType="begin"/>
          </w:r>
          <w:r w:rsidRPr="008C2A00">
            <w:rPr>
              <w:sz w:val="20"/>
              <w:szCs w:val="20"/>
            </w:rPr>
            <w:instrText xml:space="preserve"> NUMPAGES </w:instrText>
          </w:r>
          <w:r w:rsidRPr="008C2A00">
            <w:rPr>
              <w:sz w:val="20"/>
              <w:szCs w:val="20"/>
            </w:rPr>
            <w:fldChar w:fldCharType="separate"/>
          </w:r>
          <w:r w:rsidR="0069654F">
            <w:rPr>
              <w:noProof/>
              <w:sz w:val="20"/>
              <w:szCs w:val="20"/>
            </w:rPr>
            <w:t>2</w:t>
          </w:r>
          <w:r w:rsidRPr="008C2A00">
            <w:rPr>
              <w:sz w:val="20"/>
              <w:szCs w:val="20"/>
            </w:rPr>
            <w:fldChar w:fldCharType="end"/>
          </w:r>
        </w:p>
      </w:tc>
      <w:tc>
        <w:tcPr>
          <w:tcW w:w="7848" w:type="dxa"/>
        </w:tcPr>
        <w:p w:rsidR="00176CFE" w:rsidRDefault="0021747A" w:rsidP="005B6BAD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2DA9165E" wp14:editId="4ACBD2B7">
                <wp:simplePos x="0" y="0"/>
                <wp:positionH relativeFrom="margin">
                  <wp:posOffset>3793897</wp:posOffset>
                </wp:positionH>
                <wp:positionV relativeFrom="margin">
                  <wp:posOffset>101479</wp:posOffset>
                </wp:positionV>
                <wp:extent cx="1130061" cy="439947"/>
                <wp:effectExtent l="0" t="0" r="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Head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687" cy="44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C01D1" w:rsidRPr="000C01D1" w:rsidRDefault="000C01D1" w:rsidP="000C01D1">
    <w:pPr>
      <w:pStyle w:val="Footer"/>
      <w:rPr>
        <w:sz w:val="20"/>
        <w:szCs w:val="20"/>
      </w:rPr>
    </w:pPr>
  </w:p>
  <w:p w:rsidR="000C01D1" w:rsidRDefault="000C01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6A" w:rsidRDefault="000C01D1">
    <w:pPr>
      <w:pStyle w:val="Footer"/>
      <w:rPr>
        <w:sz w:val="20"/>
        <w:szCs w:val="20"/>
      </w:rPr>
    </w:pPr>
    <w:r w:rsidRPr="000C01D1">
      <w:rPr>
        <w:sz w:val="20"/>
        <w:szCs w:val="20"/>
      </w:rPr>
      <w:ptab w:relativeTo="margin" w:alignment="center" w:leader="none"/>
    </w:r>
  </w:p>
  <w:p w:rsidR="00654E57" w:rsidRDefault="000C01D1" w:rsidP="00204F6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</w:t>
    </w:r>
    <w:r w:rsidRPr="000C01D1">
      <w:rPr>
        <w:sz w:val="20"/>
        <w:szCs w:val="20"/>
      </w:rPr>
      <w:t xml:space="preserve">age </w:t>
    </w:r>
    <w:r w:rsidRPr="000C01D1">
      <w:rPr>
        <w:sz w:val="20"/>
        <w:szCs w:val="20"/>
      </w:rPr>
      <w:fldChar w:fldCharType="begin"/>
    </w:r>
    <w:r w:rsidRPr="000C01D1">
      <w:rPr>
        <w:sz w:val="20"/>
        <w:szCs w:val="20"/>
      </w:rPr>
      <w:instrText xml:space="preserve"> PAGE   \* MERGEFORMAT </w:instrText>
    </w:r>
    <w:r w:rsidRPr="000C01D1">
      <w:rPr>
        <w:sz w:val="20"/>
        <w:szCs w:val="20"/>
      </w:rPr>
      <w:fldChar w:fldCharType="separate"/>
    </w:r>
    <w:r w:rsidR="0069654F">
      <w:rPr>
        <w:noProof/>
        <w:sz w:val="20"/>
        <w:szCs w:val="20"/>
      </w:rPr>
      <w:t>1</w:t>
    </w:r>
    <w:r w:rsidRPr="000C01D1">
      <w:rPr>
        <w:sz w:val="20"/>
        <w:szCs w:val="20"/>
      </w:rPr>
      <w:fldChar w:fldCharType="end"/>
    </w:r>
    <w:r w:rsidRPr="000C01D1">
      <w:rPr>
        <w:sz w:val="20"/>
        <w:szCs w:val="20"/>
      </w:rPr>
      <w:t xml:space="preserve">of </w:t>
    </w:r>
    <w:r w:rsidRPr="000C01D1">
      <w:rPr>
        <w:sz w:val="20"/>
        <w:szCs w:val="20"/>
      </w:rPr>
      <w:fldChar w:fldCharType="begin"/>
    </w:r>
    <w:r w:rsidRPr="000C01D1">
      <w:rPr>
        <w:sz w:val="20"/>
        <w:szCs w:val="20"/>
      </w:rPr>
      <w:instrText xml:space="preserve"> NUMPAGES  \* Arabic  \* MERGEFORMAT </w:instrText>
    </w:r>
    <w:r w:rsidRPr="000C01D1">
      <w:rPr>
        <w:sz w:val="20"/>
        <w:szCs w:val="20"/>
      </w:rPr>
      <w:fldChar w:fldCharType="separate"/>
    </w:r>
    <w:r w:rsidR="0069654F">
      <w:rPr>
        <w:noProof/>
        <w:sz w:val="20"/>
        <w:szCs w:val="20"/>
      </w:rPr>
      <w:t>2</w:t>
    </w:r>
    <w:r w:rsidRPr="000C01D1">
      <w:rPr>
        <w:sz w:val="20"/>
        <w:szCs w:val="20"/>
      </w:rPr>
      <w:fldChar w:fldCharType="end"/>
    </w:r>
  </w:p>
  <w:p w:rsidR="00204F6A" w:rsidRDefault="00204F6A">
    <w:pPr>
      <w:pStyle w:val="Footer"/>
      <w:rPr>
        <w:sz w:val="20"/>
        <w:szCs w:val="20"/>
      </w:rPr>
    </w:pPr>
  </w:p>
  <w:p w:rsidR="00204F6A" w:rsidRDefault="00204F6A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1B7FBB" wp14:editId="47002AEF">
              <wp:simplePos x="0" y="0"/>
              <wp:positionH relativeFrom="column">
                <wp:posOffset>-914400</wp:posOffset>
              </wp:positionH>
              <wp:positionV relativeFrom="paragraph">
                <wp:posOffset>56515</wp:posOffset>
              </wp:positionV>
              <wp:extent cx="77724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38B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5pt,4.45pt" to="540.0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" strokecolor="#438b09" strokeweight="1.5pt"/>
          </w:pict>
        </mc:Fallback>
      </mc:AlternateContent>
    </w:r>
  </w:p>
  <w:p w:rsidR="00204F6A" w:rsidRPr="00B4355C" w:rsidRDefault="00204F6A" w:rsidP="00204F6A">
    <w:pPr>
      <w:pStyle w:val="Footer"/>
      <w:jc w:val="center"/>
      <w:rPr>
        <w:color w:val="09444C"/>
        <w:sz w:val="16"/>
        <w:szCs w:val="16"/>
      </w:rPr>
    </w:pPr>
    <w:r w:rsidRPr="00B4355C">
      <w:rPr>
        <w:color w:val="09444C"/>
        <w:sz w:val="16"/>
        <w:szCs w:val="16"/>
      </w:rPr>
      <w:t>1644 Skinner Street • Lakeland, Florida • 33801 • (863) 797-9917</w:t>
    </w:r>
    <w:r w:rsidR="00AD1697" w:rsidRPr="00B4355C">
      <w:rPr>
        <w:color w:val="09444C"/>
        <w:sz w:val="16"/>
        <w:szCs w:val="16"/>
      </w:rPr>
      <w:t xml:space="preserve"> •</w:t>
    </w:r>
    <w:r w:rsidR="00AD1697">
      <w:rPr>
        <w:color w:val="09444C"/>
        <w:sz w:val="16"/>
        <w:szCs w:val="16"/>
      </w:rPr>
      <w:t xml:space="preserve"> www.jdhealthcarepartners.com</w:t>
    </w:r>
  </w:p>
  <w:p w:rsidR="00204F6A" w:rsidRPr="000C01D1" w:rsidRDefault="00204F6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4F" w:rsidRDefault="0069654F" w:rsidP="00C42282">
      <w:r>
        <w:separator/>
      </w:r>
    </w:p>
  </w:footnote>
  <w:footnote w:type="continuationSeparator" w:id="0">
    <w:p w:rsidR="0069654F" w:rsidRDefault="0069654F" w:rsidP="00C422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6A" w:rsidRDefault="002F33E6" w:rsidP="00204F6A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3237871" wp14:editId="32D08BFA">
          <wp:simplePos x="0" y="0"/>
          <wp:positionH relativeFrom="margin">
            <wp:posOffset>5461635</wp:posOffset>
          </wp:positionH>
          <wp:positionV relativeFrom="margin">
            <wp:posOffset>9429750</wp:posOffset>
          </wp:positionV>
          <wp:extent cx="1453515" cy="457835"/>
          <wp:effectExtent l="0" t="0" r="0" b="0"/>
          <wp:wrapSquare wrapText="bothSides"/>
          <wp:docPr id="9" name="Picture 9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CFE">
      <w:rPr>
        <w:noProof/>
      </w:rPr>
      <w:drawing>
        <wp:anchor distT="0" distB="0" distL="114300" distR="114300" simplePos="0" relativeHeight="251672576" behindDoc="0" locked="0" layoutInCell="1" allowOverlap="1" wp14:anchorId="0596B24B" wp14:editId="01428AC4">
          <wp:simplePos x="0" y="0"/>
          <wp:positionH relativeFrom="margin">
            <wp:posOffset>5461635</wp:posOffset>
          </wp:positionH>
          <wp:positionV relativeFrom="margin">
            <wp:posOffset>9429750</wp:posOffset>
          </wp:positionV>
          <wp:extent cx="1453515" cy="457835"/>
          <wp:effectExtent l="0" t="0" r="0" b="0"/>
          <wp:wrapSquare wrapText="bothSides"/>
          <wp:docPr id="7" name="Picture 7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4F6A" w:rsidRDefault="00176CFE" w:rsidP="00204F6A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0D2386C" wp14:editId="4BCB826B">
          <wp:simplePos x="0" y="0"/>
          <wp:positionH relativeFrom="margin">
            <wp:posOffset>5461635</wp:posOffset>
          </wp:positionH>
          <wp:positionV relativeFrom="margin">
            <wp:posOffset>9429750</wp:posOffset>
          </wp:positionV>
          <wp:extent cx="1453515" cy="457835"/>
          <wp:effectExtent l="0" t="0" r="0" b="0"/>
          <wp:wrapSquare wrapText="bothSides"/>
          <wp:docPr id="1" name="Pictur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282" w:rsidRDefault="002F33E6" w:rsidP="00C42282">
    <w:pPr>
      <w:pStyle w:val="Header"/>
      <w:ind w:left="-162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9571990" wp14:editId="7D7C8938">
          <wp:simplePos x="0" y="0"/>
          <wp:positionH relativeFrom="margin">
            <wp:posOffset>5461635</wp:posOffset>
          </wp:positionH>
          <wp:positionV relativeFrom="margin">
            <wp:posOffset>9429750</wp:posOffset>
          </wp:positionV>
          <wp:extent cx="1453515" cy="457835"/>
          <wp:effectExtent l="0" t="0" r="0" b="0"/>
          <wp:wrapSquare wrapText="bothSides"/>
          <wp:docPr id="8" name="Picture 8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78"/>
      <w:gridCol w:w="1710"/>
      <w:gridCol w:w="1350"/>
    </w:tblGrid>
    <w:tr w:rsidR="0069654F" w:rsidRPr="00262BD9" w:rsidTr="00D04B78">
      <w:tc>
        <w:tcPr>
          <w:tcW w:w="97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9654F" w:rsidRPr="00262BD9" w:rsidRDefault="0069654F" w:rsidP="00D04B78">
          <w:pPr>
            <w:jc w:val="center"/>
            <w:rPr>
              <w:b/>
            </w:rPr>
          </w:pPr>
          <w:r>
            <w:rPr>
              <w:b/>
            </w:rPr>
            <w:t>[Clinic Name]</w:t>
          </w:r>
        </w:p>
      </w:tc>
    </w:tr>
    <w:tr w:rsidR="0069654F" w:rsidRPr="00262BD9" w:rsidTr="00D04B78">
      <w:tc>
        <w:tcPr>
          <w:tcW w:w="6678" w:type="dxa"/>
          <w:vMerge w:val="restart"/>
          <w:shd w:val="clear" w:color="auto" w:fill="auto"/>
        </w:tcPr>
        <w:p w:rsidR="0069654F" w:rsidRPr="004A6155" w:rsidRDefault="0069654F" w:rsidP="00D04B78">
          <w:pPr>
            <w:pStyle w:val="Heading1"/>
            <w:spacing w:before="120"/>
            <w:ind w:left="288"/>
          </w:pPr>
          <w:bookmarkStart w:id="1" w:name="_Toc304071256"/>
          <w:r w:rsidRPr="004A6155">
            <w:t xml:space="preserve">Policy </w:t>
          </w:r>
          <w:r>
            <w:t>1.0</w:t>
          </w:r>
          <w:r w:rsidRPr="004A6155">
            <w:t xml:space="preserve"> </w:t>
          </w:r>
          <w:r>
            <w:t>–</w:t>
          </w:r>
          <w:r w:rsidRPr="004A6155">
            <w:t xml:space="preserve"> </w:t>
          </w:r>
          <w:r>
            <w:t>Patient Drug Testing</w:t>
          </w:r>
          <w:bookmarkEnd w:id="1"/>
        </w:p>
      </w:tc>
      <w:tc>
        <w:tcPr>
          <w:tcW w:w="1710" w:type="dxa"/>
          <w:shd w:val="clear" w:color="auto" w:fill="auto"/>
        </w:tcPr>
        <w:p w:rsidR="0069654F" w:rsidRPr="00262BD9" w:rsidRDefault="0069654F" w:rsidP="00D04B78">
          <w:pPr>
            <w:jc w:val="right"/>
          </w:pPr>
          <w:r w:rsidRPr="00262BD9">
            <w:t>Effective Date</w:t>
          </w:r>
          <w:proofErr w:type="gramStart"/>
          <w:r w:rsidRPr="00262BD9">
            <w:t xml:space="preserve">:  </w:t>
          </w:r>
          <w:proofErr w:type="gramEnd"/>
        </w:p>
      </w:tc>
      <w:tc>
        <w:tcPr>
          <w:tcW w:w="1350" w:type="dxa"/>
          <w:shd w:val="clear" w:color="auto" w:fill="auto"/>
        </w:tcPr>
        <w:p w:rsidR="0069654F" w:rsidRPr="00262BD9" w:rsidRDefault="0069654F" w:rsidP="00D04B78">
          <w:r>
            <w:t>[DATE]</w:t>
          </w:r>
        </w:p>
      </w:tc>
    </w:tr>
    <w:tr w:rsidR="0069654F" w:rsidRPr="0027768D" w:rsidTr="00D04B78">
      <w:tc>
        <w:tcPr>
          <w:tcW w:w="6678" w:type="dxa"/>
          <w:vMerge/>
          <w:shd w:val="clear" w:color="auto" w:fill="auto"/>
        </w:tcPr>
        <w:p w:rsidR="0069654F" w:rsidRPr="0041420D" w:rsidRDefault="0069654F" w:rsidP="00D04B78">
          <w:pPr>
            <w:pStyle w:val="Heading1"/>
            <w:rPr>
              <w:szCs w:val="24"/>
            </w:rPr>
          </w:pPr>
        </w:p>
      </w:tc>
      <w:tc>
        <w:tcPr>
          <w:tcW w:w="1710" w:type="dxa"/>
          <w:shd w:val="clear" w:color="auto" w:fill="auto"/>
        </w:tcPr>
        <w:p w:rsidR="0069654F" w:rsidRPr="00262BD9" w:rsidRDefault="0069654F" w:rsidP="00D04B78">
          <w:pPr>
            <w:jc w:val="right"/>
          </w:pPr>
          <w:r w:rsidRPr="00262BD9">
            <w:t>Review Date</w:t>
          </w:r>
          <w:proofErr w:type="gramStart"/>
          <w:r w:rsidRPr="00262BD9">
            <w:t xml:space="preserve">:  </w:t>
          </w:r>
          <w:proofErr w:type="gramEnd"/>
        </w:p>
      </w:tc>
      <w:tc>
        <w:tcPr>
          <w:tcW w:w="1350" w:type="dxa"/>
          <w:shd w:val="clear" w:color="auto" w:fill="auto"/>
        </w:tcPr>
        <w:p w:rsidR="0069654F" w:rsidRPr="00262BD9" w:rsidRDefault="0069654F" w:rsidP="00D04B78">
          <w:r>
            <w:t>[DATE]</w:t>
          </w:r>
        </w:p>
      </w:tc>
    </w:tr>
  </w:tbl>
  <w:p w:rsidR="00176CFE" w:rsidRDefault="00176C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524"/>
    <w:multiLevelType w:val="hybridMultilevel"/>
    <w:tmpl w:val="A3CA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010F"/>
    <w:multiLevelType w:val="hybridMultilevel"/>
    <w:tmpl w:val="C9EC1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7952"/>
    <w:multiLevelType w:val="hybridMultilevel"/>
    <w:tmpl w:val="110A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9561D"/>
    <w:multiLevelType w:val="hybridMultilevel"/>
    <w:tmpl w:val="8AFE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ABDC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1881"/>
    <w:multiLevelType w:val="hybridMultilevel"/>
    <w:tmpl w:val="7F044926"/>
    <w:lvl w:ilvl="0" w:tplc="101ED420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8E33F25"/>
    <w:multiLevelType w:val="hybridMultilevel"/>
    <w:tmpl w:val="42BA3B1E"/>
    <w:lvl w:ilvl="0" w:tplc="0409000F">
      <w:start w:val="1"/>
      <w:numFmt w:val="decimal"/>
      <w:lvlText w:val="%1."/>
      <w:lvlJc w:val="lef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>
    <w:nsid w:val="5EAC2B65"/>
    <w:multiLevelType w:val="hybridMultilevel"/>
    <w:tmpl w:val="757E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56DEE"/>
    <w:multiLevelType w:val="hybridMultilevel"/>
    <w:tmpl w:val="2FB6A3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038751E"/>
    <w:multiLevelType w:val="hybridMultilevel"/>
    <w:tmpl w:val="C31C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4F"/>
    <w:rsid w:val="00006090"/>
    <w:rsid w:val="000B1DCC"/>
    <w:rsid w:val="000C01D1"/>
    <w:rsid w:val="00176CFE"/>
    <w:rsid w:val="001B4387"/>
    <w:rsid w:val="001D205E"/>
    <w:rsid w:val="001D20B6"/>
    <w:rsid w:val="001D6785"/>
    <w:rsid w:val="001E095C"/>
    <w:rsid w:val="001E7B01"/>
    <w:rsid w:val="001F07BA"/>
    <w:rsid w:val="00204F6A"/>
    <w:rsid w:val="0021747A"/>
    <w:rsid w:val="00232FD0"/>
    <w:rsid w:val="00236158"/>
    <w:rsid w:val="00280CD0"/>
    <w:rsid w:val="00283CC5"/>
    <w:rsid w:val="002F33E6"/>
    <w:rsid w:val="003F19B5"/>
    <w:rsid w:val="00436E18"/>
    <w:rsid w:val="00453F73"/>
    <w:rsid w:val="0046361E"/>
    <w:rsid w:val="004645A9"/>
    <w:rsid w:val="00471284"/>
    <w:rsid w:val="004A62CF"/>
    <w:rsid w:val="004D7172"/>
    <w:rsid w:val="004F2BB1"/>
    <w:rsid w:val="0052578A"/>
    <w:rsid w:val="00535526"/>
    <w:rsid w:val="00552551"/>
    <w:rsid w:val="0059280F"/>
    <w:rsid w:val="005D4A76"/>
    <w:rsid w:val="005E4FA5"/>
    <w:rsid w:val="00627652"/>
    <w:rsid w:val="00654E57"/>
    <w:rsid w:val="00656EAB"/>
    <w:rsid w:val="0069654F"/>
    <w:rsid w:val="006D15B1"/>
    <w:rsid w:val="007B5533"/>
    <w:rsid w:val="007D51DE"/>
    <w:rsid w:val="00822C3D"/>
    <w:rsid w:val="008806D7"/>
    <w:rsid w:val="008E1924"/>
    <w:rsid w:val="00947BE6"/>
    <w:rsid w:val="009659F5"/>
    <w:rsid w:val="00982266"/>
    <w:rsid w:val="00985752"/>
    <w:rsid w:val="009A093B"/>
    <w:rsid w:val="009B3749"/>
    <w:rsid w:val="009C5001"/>
    <w:rsid w:val="009D0E1D"/>
    <w:rsid w:val="00A10E5A"/>
    <w:rsid w:val="00A36624"/>
    <w:rsid w:val="00A465D9"/>
    <w:rsid w:val="00A64067"/>
    <w:rsid w:val="00A74AB6"/>
    <w:rsid w:val="00A9433D"/>
    <w:rsid w:val="00AA0764"/>
    <w:rsid w:val="00AD1697"/>
    <w:rsid w:val="00B12BFB"/>
    <w:rsid w:val="00B4355C"/>
    <w:rsid w:val="00BB70F5"/>
    <w:rsid w:val="00C42282"/>
    <w:rsid w:val="00C425FC"/>
    <w:rsid w:val="00CB6F2A"/>
    <w:rsid w:val="00CC2C43"/>
    <w:rsid w:val="00CC5526"/>
    <w:rsid w:val="00DC1F24"/>
    <w:rsid w:val="00E13D40"/>
    <w:rsid w:val="00E15F28"/>
    <w:rsid w:val="00E82FFD"/>
    <w:rsid w:val="00ED49DA"/>
    <w:rsid w:val="00EE2A36"/>
    <w:rsid w:val="00F01D5D"/>
    <w:rsid w:val="00F311B1"/>
    <w:rsid w:val="00F65BCF"/>
    <w:rsid w:val="00F853C9"/>
    <w:rsid w:val="00F92ED7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0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654F"/>
    <w:pPr>
      <w:keepNext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2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2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2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282"/>
    <w:rPr>
      <w:sz w:val="24"/>
      <w:szCs w:val="24"/>
    </w:rPr>
  </w:style>
  <w:style w:type="paragraph" w:styleId="BalloonText">
    <w:name w:val="Balloon Text"/>
    <w:basedOn w:val="Normal"/>
    <w:link w:val="BalloonTextChar"/>
    <w:rsid w:val="00C4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2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42282"/>
    <w:pPr>
      <w:spacing w:before="100" w:beforeAutospacing="1" w:after="100" w:afterAutospacing="1"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1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1DC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4D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54F"/>
    <w:rPr>
      <w:b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0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654F"/>
    <w:pPr>
      <w:keepNext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2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2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2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282"/>
    <w:rPr>
      <w:sz w:val="24"/>
      <w:szCs w:val="24"/>
    </w:rPr>
  </w:style>
  <w:style w:type="paragraph" w:styleId="BalloonText">
    <w:name w:val="Balloon Text"/>
    <w:basedOn w:val="Normal"/>
    <w:link w:val="BalloonTextChar"/>
    <w:rsid w:val="00C4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2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42282"/>
    <w:pPr>
      <w:spacing w:before="100" w:beforeAutospacing="1" w:after="100" w:afterAutospacing="1"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1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1DC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4D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654F"/>
    <w:rPr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cplusdelta:Documents:JD%20HealthCare%20Partners:Business%20Materials:Handou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33DF-4D7A-904B-AAFE-104DEAFA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Template 2.dotx</Template>
  <TotalTime>1</TotalTime>
  <Pages>2</Pages>
  <Words>566</Words>
  <Characters>3230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Contreras</dc:creator>
  <cp:lastModifiedBy>Darrell Contreras</cp:lastModifiedBy>
  <cp:revision>1</cp:revision>
  <cp:lastPrinted>2011-06-30T02:10:00Z</cp:lastPrinted>
  <dcterms:created xsi:type="dcterms:W3CDTF">2013-12-02T17:11:00Z</dcterms:created>
  <dcterms:modified xsi:type="dcterms:W3CDTF">2013-12-02T17:12:00Z</dcterms:modified>
</cp:coreProperties>
</file>