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190" w:rsidRPr="00396051" w:rsidRDefault="00873190" w:rsidP="00D77B9E">
      <w:pPr>
        <w:jc w:val="center"/>
        <w:rPr>
          <w:b/>
          <w:color w:val="17365D" w:themeColor="text2" w:themeShade="BF"/>
          <w:sz w:val="40"/>
          <w:szCs w:val="40"/>
        </w:rPr>
      </w:pPr>
      <w:r w:rsidRPr="00396051">
        <w:rPr>
          <w:rFonts w:ascii="Castellar" w:hAnsi="Castellar"/>
          <w:b/>
          <w:color w:val="17365D" w:themeColor="text2" w:themeShade="BF"/>
          <w:sz w:val="48"/>
          <w:szCs w:val="48"/>
        </w:rPr>
        <w:t>JSB</w:t>
      </w:r>
      <w:r w:rsidRPr="00396051">
        <w:rPr>
          <w:rFonts w:ascii="Times New (W1)" w:hint="cs"/>
          <w:b/>
          <w:color w:val="17365D" w:themeColor="text2" w:themeShade="BF"/>
          <w:sz w:val="40"/>
          <w:szCs w:val="40"/>
        </w:rPr>
        <w:t xml:space="preserve"> Capital Management, LLC</w:t>
      </w:r>
    </w:p>
    <w:p w:rsidR="00D77B9E" w:rsidRDefault="00873190" w:rsidP="00D77B9E">
      <w:pPr>
        <w:tabs>
          <w:tab w:val="left" w:pos="8460"/>
        </w:tabs>
        <w:jc w:val="center"/>
        <w:rPr>
          <w:rFonts w:ascii="Times" w:hAnsi="Times"/>
          <w:b/>
          <w:color w:val="BC8F00"/>
        </w:rPr>
      </w:pPr>
      <w:r>
        <w:rPr>
          <w:rFonts w:ascii="Times" w:hAnsi="Times"/>
          <w:b/>
          <w:color w:val="BC8F00"/>
        </w:rPr>
        <w:t>Pro-active Wealth Management</w:t>
      </w:r>
    </w:p>
    <w:p w:rsidR="00D77B9E" w:rsidRDefault="00D77B9E" w:rsidP="00D77B9E"/>
    <w:p w:rsidR="004C5CD2" w:rsidRPr="004C5CD2" w:rsidRDefault="004C5CD2" w:rsidP="00D77B9E">
      <w:pPr>
        <w:rPr>
          <w:rFonts w:ascii="Arial" w:hAnsi="Arial" w:cs="Arial"/>
          <w:color w:val="17365D" w:themeColor="text2" w:themeShade="BF"/>
          <w:sz w:val="22"/>
          <w:szCs w:val="22"/>
        </w:rPr>
      </w:pPr>
      <w:r w:rsidRPr="004C5CD2">
        <w:rPr>
          <w:rFonts w:ascii="Arial" w:hAnsi="Arial" w:cs="Arial"/>
          <w:color w:val="17365D" w:themeColor="text2" w:themeShade="BF"/>
          <w:sz w:val="22"/>
          <w:szCs w:val="22"/>
        </w:rPr>
        <w:t>January 6, 2021</w:t>
      </w:r>
    </w:p>
    <w:p w:rsidR="00093038" w:rsidRPr="004C5CD2" w:rsidRDefault="00093038" w:rsidP="00D77B9E">
      <w:pPr>
        <w:rPr>
          <w:rFonts w:ascii="Arial" w:hAnsi="Arial" w:cs="Arial"/>
          <w:color w:val="17365D" w:themeColor="text2" w:themeShade="BF"/>
          <w:sz w:val="22"/>
          <w:szCs w:val="22"/>
        </w:rPr>
      </w:pPr>
    </w:p>
    <w:p w:rsidR="004C5CD2" w:rsidRDefault="004C5CD2" w:rsidP="004C5CD2">
      <w:pPr>
        <w:rPr>
          <w:rFonts w:ascii="Arial" w:hAnsi="Arial" w:cs="Arial"/>
          <w:color w:val="17365D" w:themeColor="text2" w:themeShade="BF"/>
          <w:sz w:val="24"/>
          <w:szCs w:val="24"/>
        </w:rPr>
      </w:pPr>
      <w:r w:rsidRPr="004C5CD2">
        <w:rPr>
          <w:rFonts w:ascii="Arial" w:hAnsi="Arial" w:cs="Arial"/>
          <w:color w:val="17365D" w:themeColor="text2" w:themeShade="BF"/>
          <w:sz w:val="24"/>
          <w:szCs w:val="24"/>
        </w:rPr>
        <w:t xml:space="preserve">To conclude that the year 2020 was extraordinary and unpredictable would actually be an understatement. No one needs to be reminded of the challenges and damage that was wrought, but this note will attempt to put it in some brief perspective before moving on to what we expect to see, at least in the financial world, this year. </w:t>
      </w:r>
    </w:p>
    <w:p w:rsidR="004C5CD2" w:rsidRPr="004C5CD2" w:rsidRDefault="004C5CD2" w:rsidP="004C5CD2">
      <w:pPr>
        <w:rPr>
          <w:rFonts w:ascii="Arial" w:hAnsi="Arial" w:cs="Arial"/>
          <w:color w:val="17365D" w:themeColor="text2" w:themeShade="BF"/>
          <w:sz w:val="24"/>
          <w:szCs w:val="24"/>
        </w:rPr>
      </w:pPr>
    </w:p>
    <w:p w:rsidR="004C5CD2" w:rsidRDefault="004C5CD2" w:rsidP="004C5CD2">
      <w:pPr>
        <w:rPr>
          <w:rFonts w:ascii="Arial" w:hAnsi="Arial" w:cs="Arial"/>
          <w:color w:val="17365D" w:themeColor="text2" w:themeShade="BF"/>
          <w:sz w:val="24"/>
          <w:szCs w:val="24"/>
        </w:rPr>
      </w:pPr>
      <w:r w:rsidRPr="004C5CD2">
        <w:rPr>
          <w:rFonts w:ascii="Arial" w:hAnsi="Arial" w:cs="Arial"/>
          <w:color w:val="17365D" w:themeColor="text2" w:themeShade="BF"/>
          <w:sz w:val="24"/>
          <w:szCs w:val="24"/>
        </w:rPr>
        <w:t>In a historically brief period of time (less than one year) we effectively watched a full stock market cycle and a full economic cycle happen in a more condensed period of time than anything we have ever seen in the past. If you would have predicted the scenario that played out and said we’d have a bear market that started on Feb. 19 and ended on March 23, and that we’d be back at new all-time highs by early September, nobody would have believed it. </w:t>
      </w:r>
      <w:r>
        <w:rPr>
          <w:rFonts w:ascii="Arial" w:hAnsi="Arial" w:cs="Arial"/>
          <w:color w:val="17365D" w:themeColor="text2" w:themeShade="BF"/>
          <w:sz w:val="24"/>
          <w:szCs w:val="24"/>
        </w:rPr>
        <w:t>As one pundit put it,</w:t>
      </w:r>
      <w:r w:rsidRPr="004C5CD2">
        <w:rPr>
          <w:rFonts w:ascii="Arial" w:hAnsi="Arial" w:cs="Arial"/>
          <w:color w:val="17365D" w:themeColor="text2" w:themeShade="BF"/>
          <w:sz w:val="24"/>
          <w:szCs w:val="24"/>
        </w:rPr>
        <w:t xml:space="preserve"> “The vaccine has pulled forward the economic recovery after the virus crushed it.”</w:t>
      </w:r>
    </w:p>
    <w:p w:rsidR="004C5CD2" w:rsidRPr="004C5CD2" w:rsidRDefault="004C5CD2" w:rsidP="004C5CD2">
      <w:pPr>
        <w:rPr>
          <w:rFonts w:ascii="Arial" w:hAnsi="Arial" w:cs="Arial"/>
          <w:color w:val="17365D" w:themeColor="text2" w:themeShade="BF"/>
          <w:sz w:val="24"/>
          <w:szCs w:val="24"/>
        </w:rPr>
      </w:pPr>
    </w:p>
    <w:p w:rsidR="004C5CD2" w:rsidRDefault="004C5CD2" w:rsidP="004C5CD2">
      <w:pPr>
        <w:rPr>
          <w:rFonts w:ascii="Arial" w:hAnsi="Arial" w:cs="Arial"/>
          <w:color w:val="17365D" w:themeColor="text2" w:themeShade="BF"/>
          <w:sz w:val="24"/>
          <w:szCs w:val="24"/>
        </w:rPr>
      </w:pPr>
      <w:r w:rsidRPr="004C5CD2">
        <w:rPr>
          <w:rFonts w:ascii="Arial" w:hAnsi="Arial" w:cs="Arial"/>
          <w:color w:val="17365D" w:themeColor="text2" w:themeShade="BF"/>
          <w:sz w:val="24"/>
          <w:szCs w:val="24"/>
        </w:rPr>
        <w:t xml:space="preserve">It is important to note that when the stock market (as measured by the S&amp;P 500 Index) peaked on Sept. 2, at that point the Big Five Stocks: Apple, Amazon, Microsoft, Facebook and Google were up 65%. The </w:t>
      </w:r>
      <w:r w:rsidRPr="004C5CD2">
        <w:rPr>
          <w:rFonts w:ascii="Arial" w:hAnsi="Arial" w:cs="Arial"/>
          <w:color w:val="17365D" w:themeColor="text2" w:themeShade="BF"/>
          <w:sz w:val="24"/>
          <w:szCs w:val="24"/>
          <w:u w:val="single"/>
        </w:rPr>
        <w:t>other 495</w:t>
      </w:r>
      <w:r w:rsidRPr="004C5CD2">
        <w:rPr>
          <w:rFonts w:ascii="Arial" w:hAnsi="Arial" w:cs="Arial"/>
          <w:color w:val="17365D" w:themeColor="text2" w:themeShade="BF"/>
          <w:sz w:val="24"/>
          <w:szCs w:val="24"/>
        </w:rPr>
        <w:t xml:space="preserve"> were only up 3%!</w:t>
      </w:r>
    </w:p>
    <w:p w:rsidR="004C5CD2" w:rsidRPr="004C5CD2" w:rsidRDefault="004C5CD2" w:rsidP="004C5CD2">
      <w:pPr>
        <w:rPr>
          <w:rFonts w:ascii="Arial" w:hAnsi="Arial" w:cs="Arial"/>
          <w:color w:val="17365D" w:themeColor="text2" w:themeShade="BF"/>
          <w:sz w:val="24"/>
          <w:szCs w:val="24"/>
        </w:rPr>
      </w:pPr>
    </w:p>
    <w:p w:rsidR="004C5CD2" w:rsidRDefault="004C5CD2" w:rsidP="004C5CD2">
      <w:pPr>
        <w:rPr>
          <w:rFonts w:ascii="Arial" w:hAnsi="Arial" w:cs="Arial"/>
          <w:color w:val="17365D" w:themeColor="text2" w:themeShade="BF"/>
          <w:sz w:val="24"/>
          <w:szCs w:val="24"/>
        </w:rPr>
      </w:pPr>
      <w:r w:rsidRPr="004C5CD2">
        <w:rPr>
          <w:rFonts w:ascii="Arial" w:hAnsi="Arial" w:cs="Arial"/>
          <w:color w:val="17365D" w:themeColor="text2" w:themeShade="BF"/>
          <w:sz w:val="24"/>
          <w:szCs w:val="24"/>
        </w:rPr>
        <w:t xml:space="preserve">Because the Big Five represented 25% of the index, it lifted the overall index. But the other 495 stocks were barely up—36% of S&amp;P 500 constituents were still in bear-market territory, meaning down at least 20% from their 52-week highs. That is reflective of what was going on in the economy, where there were a small subset of winners and a tremendous amount of pain for most everyone else. Three of the biggest technology giants (Apple, Amazon and Microsoft) accounted for </w:t>
      </w:r>
      <w:r w:rsidRPr="004C5CD2">
        <w:rPr>
          <w:rFonts w:ascii="Arial" w:hAnsi="Arial" w:cs="Arial"/>
          <w:color w:val="17365D" w:themeColor="text2" w:themeShade="BF"/>
          <w:sz w:val="24"/>
          <w:szCs w:val="24"/>
          <w:u w:val="single"/>
        </w:rPr>
        <w:t>over half</w:t>
      </w:r>
      <w:r w:rsidRPr="004C5CD2">
        <w:rPr>
          <w:rFonts w:ascii="Arial" w:hAnsi="Arial" w:cs="Arial"/>
          <w:color w:val="17365D" w:themeColor="text2" w:themeShade="BF"/>
          <w:sz w:val="24"/>
          <w:szCs w:val="24"/>
        </w:rPr>
        <w:t xml:space="preserve"> of the S&amp;P 500 Index return in 2020. </w:t>
      </w:r>
    </w:p>
    <w:p w:rsidR="004C5CD2" w:rsidRPr="004C5CD2" w:rsidRDefault="004C5CD2" w:rsidP="004C5CD2">
      <w:pPr>
        <w:rPr>
          <w:rFonts w:ascii="Arial" w:hAnsi="Arial" w:cs="Arial"/>
          <w:color w:val="17365D" w:themeColor="text2" w:themeShade="BF"/>
          <w:sz w:val="24"/>
          <w:szCs w:val="24"/>
        </w:rPr>
      </w:pPr>
    </w:p>
    <w:p w:rsidR="004C5CD2" w:rsidRDefault="004C5CD2" w:rsidP="004C5CD2">
      <w:pPr>
        <w:rPr>
          <w:rFonts w:ascii="Arial" w:hAnsi="Arial" w:cs="Arial"/>
          <w:color w:val="17365D" w:themeColor="text2" w:themeShade="BF"/>
          <w:sz w:val="24"/>
          <w:szCs w:val="24"/>
        </w:rPr>
      </w:pPr>
      <w:r w:rsidRPr="004C5CD2">
        <w:rPr>
          <w:rFonts w:ascii="Arial" w:hAnsi="Arial" w:cs="Arial"/>
          <w:color w:val="17365D" w:themeColor="text2" w:themeShade="BF"/>
          <w:sz w:val="24"/>
          <w:szCs w:val="24"/>
        </w:rPr>
        <w:t>This explains for the average investor, if you weren’t lucky enough to guess which tech stocks would outperform everything else, why you might look at the headlines screaming “all-time new highs in the stock market” and wonder what happened to me?</w:t>
      </w:r>
    </w:p>
    <w:p w:rsidR="004C5CD2" w:rsidRPr="004C5CD2" w:rsidRDefault="004C5CD2" w:rsidP="004C5CD2">
      <w:pPr>
        <w:rPr>
          <w:rFonts w:ascii="Arial" w:hAnsi="Arial" w:cs="Arial"/>
          <w:color w:val="17365D" w:themeColor="text2" w:themeShade="BF"/>
          <w:sz w:val="24"/>
          <w:szCs w:val="24"/>
        </w:rPr>
      </w:pPr>
    </w:p>
    <w:p w:rsidR="004C5CD2" w:rsidRPr="004C5CD2" w:rsidRDefault="004C5CD2" w:rsidP="004C5CD2">
      <w:pPr>
        <w:rPr>
          <w:rFonts w:ascii="Arial" w:hAnsi="Arial" w:cs="Arial"/>
          <w:color w:val="17365D" w:themeColor="text2" w:themeShade="BF"/>
          <w:sz w:val="24"/>
          <w:szCs w:val="24"/>
        </w:rPr>
      </w:pPr>
      <w:r w:rsidRPr="004C5CD2">
        <w:rPr>
          <w:rFonts w:ascii="Arial" w:hAnsi="Arial" w:cs="Arial"/>
          <w:color w:val="17365D" w:themeColor="text2" w:themeShade="BF"/>
          <w:sz w:val="24"/>
          <w:szCs w:val="24"/>
        </w:rPr>
        <w:t>By the summer, the recession was </w:t>
      </w:r>
      <w:hyperlink r:id="rId6" w:tgtFrame="_blank" w:history="1">
        <w:r w:rsidRPr="004C5CD2">
          <w:rPr>
            <w:rFonts w:ascii="Arial" w:hAnsi="Arial" w:cs="Arial"/>
            <w:color w:val="17365D" w:themeColor="text2" w:themeShade="BF"/>
            <w:sz w:val="24"/>
            <w:szCs w:val="24"/>
          </w:rPr>
          <w:t>largely</w:t>
        </w:r>
      </w:hyperlink>
      <w:r w:rsidRPr="004C5CD2">
        <w:rPr>
          <w:rFonts w:ascii="Arial" w:hAnsi="Arial" w:cs="Arial"/>
          <w:color w:val="17365D" w:themeColor="text2" w:themeShade="BF"/>
          <w:sz w:val="24"/>
          <w:szCs w:val="24"/>
        </w:rPr>
        <w:t xml:space="preserve"> over for the rich. The work-from-home crowd kept their jobs and experienced a major savings boost as they spent less on dining out, travel and entertainment. Remarkably, U.S. household savings increased by more than </w:t>
      </w:r>
      <w:r w:rsidRPr="004C5CD2">
        <w:rPr>
          <w:rFonts w:ascii="Arial" w:hAnsi="Arial" w:cs="Arial"/>
          <w:color w:val="17365D" w:themeColor="text2" w:themeShade="BF"/>
          <w:sz w:val="24"/>
          <w:szCs w:val="24"/>
          <w:u w:val="single"/>
        </w:rPr>
        <w:t>$1 trillion</w:t>
      </w:r>
      <w:r w:rsidRPr="004C5CD2">
        <w:rPr>
          <w:rFonts w:ascii="Arial" w:hAnsi="Arial" w:cs="Arial"/>
          <w:color w:val="17365D" w:themeColor="text2" w:themeShade="BF"/>
          <w:sz w:val="24"/>
          <w:szCs w:val="24"/>
        </w:rPr>
        <w:t xml:space="preserve"> this year, thanks to government stimulus checks and the wealthy not having much to spend their money on. Economists predict that some of that savings will be spent in 2021, potentially creating a major tail wind for the overall economy and probably the stock market as well.</w:t>
      </w:r>
    </w:p>
    <w:p w:rsidR="004C5CD2" w:rsidRPr="004C5CD2" w:rsidRDefault="004C5CD2" w:rsidP="004C5CD2">
      <w:pPr>
        <w:rPr>
          <w:rFonts w:ascii="Arial" w:hAnsi="Arial" w:cs="Arial"/>
          <w:color w:val="17365D" w:themeColor="text2" w:themeShade="BF"/>
          <w:sz w:val="24"/>
          <w:szCs w:val="24"/>
        </w:rPr>
      </w:pPr>
    </w:p>
    <w:p w:rsidR="004C5CD2" w:rsidRPr="004C5CD2" w:rsidRDefault="004C5CD2" w:rsidP="004C5CD2">
      <w:pPr>
        <w:rPr>
          <w:rFonts w:ascii="Arial" w:hAnsi="Arial" w:cs="Arial"/>
          <w:b/>
          <w:bCs/>
          <w:color w:val="17365D" w:themeColor="text2" w:themeShade="BF"/>
          <w:sz w:val="28"/>
          <w:szCs w:val="28"/>
        </w:rPr>
      </w:pPr>
      <w:r w:rsidRPr="004C5CD2">
        <w:rPr>
          <w:rFonts w:ascii="Arial" w:hAnsi="Arial" w:cs="Arial"/>
          <w:b/>
          <w:bCs/>
          <w:color w:val="17365D" w:themeColor="text2" w:themeShade="BF"/>
          <w:sz w:val="28"/>
          <w:szCs w:val="28"/>
        </w:rPr>
        <w:t>What to expect in 2021</w:t>
      </w:r>
    </w:p>
    <w:p w:rsidR="004C5CD2" w:rsidRPr="004C5CD2" w:rsidRDefault="004C5CD2" w:rsidP="004C5CD2">
      <w:pPr>
        <w:rPr>
          <w:rFonts w:ascii="Arial" w:hAnsi="Arial" w:cs="Arial"/>
          <w:color w:val="17365D" w:themeColor="text2" w:themeShade="BF"/>
          <w:sz w:val="24"/>
          <w:szCs w:val="24"/>
        </w:rPr>
      </w:pPr>
      <w:r w:rsidRPr="004C5CD2">
        <w:rPr>
          <w:rFonts w:ascii="Arial" w:hAnsi="Arial" w:cs="Arial"/>
          <w:color w:val="17365D" w:themeColor="text2" w:themeShade="BF"/>
          <w:sz w:val="24"/>
          <w:szCs w:val="24"/>
        </w:rPr>
        <w:t xml:space="preserve">Historically the stock market has risen for at least three years after a bear market. What will likely be a major contributing factor to the continuation of this historical trend this year will be Federal Reserve Bank Chair Jerome H. Powell’s pledge to keep interest </w:t>
      </w:r>
      <w:r w:rsidRPr="004C5CD2">
        <w:rPr>
          <w:rFonts w:ascii="Arial" w:hAnsi="Arial" w:cs="Arial"/>
          <w:color w:val="17365D" w:themeColor="text2" w:themeShade="BF"/>
          <w:sz w:val="24"/>
          <w:szCs w:val="24"/>
        </w:rPr>
        <w:lastRenderedPageBreak/>
        <w:t>rates low for a long</w:t>
      </w:r>
      <w:r>
        <w:rPr>
          <w:rFonts w:ascii="Arial" w:hAnsi="Arial" w:cs="Arial"/>
          <w:color w:val="17365D" w:themeColor="text2" w:themeShade="BF"/>
          <w:sz w:val="24"/>
          <w:szCs w:val="24"/>
        </w:rPr>
        <w:t xml:space="preserve"> </w:t>
      </w:r>
      <w:proofErr w:type="gramStart"/>
      <w:r w:rsidRPr="004C5CD2">
        <w:rPr>
          <w:rFonts w:ascii="Arial" w:hAnsi="Arial" w:cs="Arial"/>
          <w:color w:val="17365D" w:themeColor="text2" w:themeShade="BF"/>
          <w:sz w:val="24"/>
          <w:szCs w:val="24"/>
        </w:rPr>
        <w:t>time.</w:t>
      </w:r>
      <w:proofErr w:type="gramEnd"/>
      <w:r w:rsidRPr="004C5CD2">
        <w:rPr>
          <w:rFonts w:ascii="Arial" w:hAnsi="Arial" w:cs="Arial"/>
          <w:color w:val="17365D" w:themeColor="text2" w:themeShade="BF"/>
          <w:sz w:val="24"/>
          <w:szCs w:val="24"/>
        </w:rPr>
        <w:t xml:space="preserve"> This is an excellent indicator that stocks and corporate investment will remain strong for the foreseeable future. Mr. Powell pledged in March to “</w:t>
      </w:r>
      <w:hyperlink r:id="rId7" w:tgtFrame="_blank" w:history="1">
        <w:r w:rsidRPr="004C5CD2">
          <w:rPr>
            <w:rFonts w:ascii="Arial" w:hAnsi="Arial" w:cs="Arial"/>
            <w:color w:val="17365D" w:themeColor="text2" w:themeShade="BF"/>
            <w:sz w:val="24"/>
            <w:szCs w:val="24"/>
          </w:rPr>
          <w:t>do whatever it takes</w:t>
        </w:r>
      </w:hyperlink>
      <w:r w:rsidRPr="004C5CD2">
        <w:rPr>
          <w:rFonts w:ascii="Arial" w:hAnsi="Arial" w:cs="Arial"/>
          <w:color w:val="17365D" w:themeColor="text2" w:themeShade="BF"/>
          <w:sz w:val="24"/>
          <w:szCs w:val="24"/>
        </w:rPr>
        <w:t>” to stabilize financial markets. He immediately </w:t>
      </w:r>
      <w:hyperlink r:id="rId8" w:tgtFrame="_blank" w:history="1">
        <w:r w:rsidRPr="004C5CD2">
          <w:rPr>
            <w:rFonts w:ascii="Arial" w:hAnsi="Arial" w:cs="Arial"/>
            <w:color w:val="17365D" w:themeColor="text2" w:themeShade="BF"/>
            <w:sz w:val="24"/>
            <w:szCs w:val="24"/>
          </w:rPr>
          <w:t>cut interest rates to zero in mid-March</w:t>
        </w:r>
      </w:hyperlink>
      <w:r w:rsidRPr="004C5CD2">
        <w:rPr>
          <w:rFonts w:ascii="Arial" w:hAnsi="Arial" w:cs="Arial"/>
          <w:color w:val="17365D" w:themeColor="text2" w:themeShade="BF"/>
          <w:sz w:val="24"/>
          <w:szCs w:val="24"/>
        </w:rPr>
        <w:t> and pumped more liquidity into markets than the Fed did in the entire 2007-08 financial crisis.</w:t>
      </w:r>
    </w:p>
    <w:p w:rsidR="004C5CD2" w:rsidRPr="004C5CD2" w:rsidRDefault="004C5CD2" w:rsidP="004C5CD2">
      <w:pPr>
        <w:rPr>
          <w:rFonts w:ascii="Arial" w:hAnsi="Arial" w:cs="Arial"/>
          <w:color w:val="17365D" w:themeColor="text2" w:themeShade="BF"/>
          <w:sz w:val="24"/>
          <w:szCs w:val="24"/>
        </w:rPr>
      </w:pPr>
    </w:p>
    <w:p w:rsidR="004C5CD2" w:rsidRPr="004C5CD2" w:rsidRDefault="004C5CD2" w:rsidP="004C5CD2">
      <w:pPr>
        <w:rPr>
          <w:rFonts w:ascii="Arial" w:hAnsi="Arial" w:cs="Arial"/>
          <w:color w:val="17365D" w:themeColor="text2" w:themeShade="BF"/>
          <w:sz w:val="24"/>
          <w:szCs w:val="24"/>
        </w:rPr>
      </w:pPr>
      <w:r w:rsidRPr="004C5CD2">
        <w:rPr>
          <w:rFonts w:ascii="Arial" w:hAnsi="Arial" w:cs="Arial"/>
          <w:color w:val="17365D" w:themeColor="text2" w:themeShade="BF"/>
          <w:sz w:val="24"/>
          <w:szCs w:val="24"/>
        </w:rPr>
        <w:t xml:space="preserve">“Fed Chair Powell has been quite explicit that interest rates will stay close to zero for another three years," said Greg </w:t>
      </w:r>
      <w:proofErr w:type="spellStart"/>
      <w:r w:rsidRPr="004C5CD2">
        <w:rPr>
          <w:rFonts w:ascii="Arial" w:hAnsi="Arial" w:cs="Arial"/>
          <w:color w:val="17365D" w:themeColor="text2" w:themeShade="BF"/>
          <w:sz w:val="24"/>
          <w:szCs w:val="24"/>
        </w:rPr>
        <w:t>Valliere</w:t>
      </w:r>
      <w:proofErr w:type="spellEnd"/>
      <w:r w:rsidRPr="004C5CD2">
        <w:rPr>
          <w:rFonts w:ascii="Arial" w:hAnsi="Arial" w:cs="Arial"/>
          <w:color w:val="17365D" w:themeColor="text2" w:themeShade="BF"/>
          <w:sz w:val="24"/>
          <w:szCs w:val="24"/>
        </w:rPr>
        <w:t>, chief U.S. policy strategist for AGF Investments. "That dwarfs everything else in importance.”</w:t>
      </w:r>
    </w:p>
    <w:p w:rsidR="004C5CD2" w:rsidRPr="004C5CD2" w:rsidRDefault="004C5CD2" w:rsidP="004C5CD2">
      <w:pPr>
        <w:rPr>
          <w:rFonts w:ascii="Arial" w:hAnsi="Arial" w:cs="Arial"/>
          <w:color w:val="17365D" w:themeColor="text2" w:themeShade="BF"/>
          <w:sz w:val="24"/>
          <w:szCs w:val="24"/>
        </w:rPr>
      </w:pPr>
    </w:p>
    <w:p w:rsidR="004C5CD2" w:rsidRPr="004C5CD2" w:rsidRDefault="004C5CD2" w:rsidP="004C5CD2">
      <w:pPr>
        <w:rPr>
          <w:rFonts w:ascii="Arial" w:hAnsi="Arial" w:cs="Arial"/>
          <w:color w:val="17365D" w:themeColor="text2" w:themeShade="BF"/>
          <w:sz w:val="24"/>
          <w:szCs w:val="24"/>
        </w:rPr>
      </w:pPr>
      <w:r w:rsidRPr="004C5CD2">
        <w:rPr>
          <w:rFonts w:ascii="Arial" w:hAnsi="Arial" w:cs="Arial"/>
          <w:color w:val="17365D" w:themeColor="text2" w:themeShade="BF"/>
          <w:sz w:val="24"/>
          <w:szCs w:val="24"/>
        </w:rPr>
        <w:t>Congress also has acted aggressively, approving $3.5 trillion in emergency relief and stimulus measures in 2020, the largest action in the face of a recession in U.S. history and one of the biggest aid packages in the world during the latest economic crisis.</w:t>
      </w:r>
    </w:p>
    <w:p w:rsidR="004C5CD2" w:rsidRPr="004C5CD2" w:rsidRDefault="004C5CD2" w:rsidP="004C5CD2">
      <w:pPr>
        <w:rPr>
          <w:rFonts w:ascii="Arial" w:hAnsi="Arial" w:cs="Arial"/>
          <w:color w:val="17365D" w:themeColor="text2" w:themeShade="BF"/>
          <w:sz w:val="24"/>
          <w:szCs w:val="24"/>
        </w:rPr>
      </w:pPr>
    </w:p>
    <w:p w:rsidR="004C5CD2" w:rsidRPr="004C5CD2" w:rsidRDefault="004C5CD2" w:rsidP="004C5CD2">
      <w:pPr>
        <w:rPr>
          <w:rFonts w:ascii="Arial" w:hAnsi="Arial" w:cs="Arial"/>
          <w:color w:val="17365D" w:themeColor="text2" w:themeShade="BF"/>
          <w:sz w:val="24"/>
          <w:szCs w:val="24"/>
        </w:rPr>
      </w:pPr>
      <w:r w:rsidRPr="004C5CD2">
        <w:rPr>
          <w:rFonts w:ascii="Arial" w:hAnsi="Arial" w:cs="Arial"/>
          <w:color w:val="17365D" w:themeColor="text2" w:themeShade="BF"/>
          <w:sz w:val="24"/>
          <w:szCs w:val="24"/>
        </w:rPr>
        <w:t xml:space="preserve">There’s “north of $1 trillion of accumulated saving,” Richard </w:t>
      </w:r>
      <w:proofErr w:type="spellStart"/>
      <w:r w:rsidRPr="004C5CD2">
        <w:rPr>
          <w:rFonts w:ascii="Arial" w:hAnsi="Arial" w:cs="Arial"/>
          <w:color w:val="17365D" w:themeColor="text2" w:themeShade="BF"/>
          <w:sz w:val="24"/>
          <w:szCs w:val="24"/>
        </w:rPr>
        <w:t>Clarida</w:t>
      </w:r>
      <w:proofErr w:type="spellEnd"/>
      <w:r w:rsidRPr="004C5CD2">
        <w:rPr>
          <w:rFonts w:ascii="Arial" w:hAnsi="Arial" w:cs="Arial"/>
          <w:color w:val="17365D" w:themeColor="text2" w:themeShade="BF"/>
          <w:sz w:val="24"/>
          <w:szCs w:val="24"/>
        </w:rPr>
        <w:t>, vice chair of the Federal Reserve Bank, said at a Brookings Institution </w:t>
      </w:r>
      <w:hyperlink r:id="rId9" w:tgtFrame="_blank" w:history="1">
        <w:r w:rsidRPr="004C5CD2">
          <w:rPr>
            <w:rFonts w:ascii="Arial" w:hAnsi="Arial" w:cs="Arial"/>
            <w:color w:val="17365D" w:themeColor="text2" w:themeShade="BF"/>
            <w:sz w:val="24"/>
            <w:szCs w:val="24"/>
          </w:rPr>
          <w:t>event</w:t>
        </w:r>
      </w:hyperlink>
      <w:r w:rsidRPr="004C5CD2">
        <w:rPr>
          <w:rFonts w:ascii="Arial" w:hAnsi="Arial" w:cs="Arial"/>
          <w:color w:val="17365D" w:themeColor="text2" w:themeShade="BF"/>
          <w:sz w:val="24"/>
          <w:szCs w:val="24"/>
        </w:rPr>
        <w:t> in November. “This is the only downturn in my professional career in which disposable income actually went up in a deep recession.”</w:t>
      </w:r>
    </w:p>
    <w:p w:rsidR="004C5CD2" w:rsidRPr="004C5CD2" w:rsidRDefault="004C5CD2" w:rsidP="004C5CD2">
      <w:pPr>
        <w:rPr>
          <w:rFonts w:ascii="Arial" w:hAnsi="Arial" w:cs="Arial"/>
          <w:color w:val="17365D" w:themeColor="text2" w:themeShade="BF"/>
          <w:sz w:val="24"/>
          <w:szCs w:val="24"/>
        </w:rPr>
      </w:pPr>
    </w:p>
    <w:p w:rsidR="004C5CD2" w:rsidRPr="004C5CD2" w:rsidRDefault="004C5CD2" w:rsidP="004C5CD2">
      <w:pPr>
        <w:rPr>
          <w:rFonts w:ascii="Arial" w:hAnsi="Arial" w:cs="Arial"/>
          <w:color w:val="17365D" w:themeColor="text2" w:themeShade="BF"/>
          <w:sz w:val="24"/>
          <w:szCs w:val="24"/>
        </w:rPr>
      </w:pPr>
      <w:r w:rsidRPr="004C5CD2">
        <w:rPr>
          <w:rFonts w:ascii="Arial" w:hAnsi="Arial" w:cs="Arial"/>
          <w:color w:val="17365D" w:themeColor="text2" w:themeShade="BF"/>
          <w:sz w:val="24"/>
          <w:szCs w:val="24"/>
        </w:rPr>
        <w:t xml:space="preserve">On the other hand, employment for low-wage workers remains about 20 percent below pre-pandemic levels, a trend that has not improved in recent months. This fact has led to the expression “a K-shaped Recovery” since the fortunes of those at the top of the food chain have measurably improved while the mid- to lower-income people are experiencing business closures, lower income and small unemployment checks. This divergence gives rise to the “K” shaped recovery pattern. </w:t>
      </w:r>
    </w:p>
    <w:p w:rsidR="004C5CD2" w:rsidRPr="004C5CD2" w:rsidRDefault="004C5CD2" w:rsidP="004C5CD2">
      <w:pPr>
        <w:rPr>
          <w:rFonts w:ascii="Arial" w:hAnsi="Arial" w:cs="Arial"/>
          <w:color w:val="17365D" w:themeColor="text2" w:themeShade="BF"/>
          <w:sz w:val="24"/>
          <w:szCs w:val="24"/>
        </w:rPr>
      </w:pPr>
    </w:p>
    <w:p w:rsidR="004C5CD2" w:rsidRPr="004C5CD2" w:rsidRDefault="004C5CD2" w:rsidP="004C5CD2">
      <w:pPr>
        <w:rPr>
          <w:rFonts w:ascii="Arial" w:hAnsi="Arial" w:cs="Arial"/>
          <w:color w:val="17365D" w:themeColor="text2" w:themeShade="BF"/>
          <w:sz w:val="24"/>
          <w:szCs w:val="24"/>
        </w:rPr>
      </w:pPr>
      <w:r w:rsidRPr="004C5CD2">
        <w:rPr>
          <w:rFonts w:ascii="Arial" w:hAnsi="Arial" w:cs="Arial"/>
          <w:color w:val="17365D" w:themeColor="text2" w:themeShade="BF"/>
          <w:sz w:val="24"/>
          <w:szCs w:val="24"/>
        </w:rPr>
        <w:t>“The recovery has been incredibly lopsided. High-income workers have been back to full employment for six months, but the recovery has stalled for low-income workers and we’re still missing millions of jobs," said John Friedman, a Brown University economist and co-director of Opportunity Insights. “If anything, things have gotten worse over the last few months for low-income workers.”</w:t>
      </w:r>
    </w:p>
    <w:p w:rsidR="004C5CD2" w:rsidRPr="004C5CD2" w:rsidRDefault="004C5CD2" w:rsidP="004C5CD2">
      <w:pPr>
        <w:rPr>
          <w:rFonts w:ascii="Arial" w:hAnsi="Arial" w:cs="Arial"/>
          <w:color w:val="17365D" w:themeColor="text2" w:themeShade="BF"/>
          <w:sz w:val="24"/>
          <w:szCs w:val="24"/>
        </w:rPr>
      </w:pPr>
    </w:p>
    <w:p w:rsidR="004C5CD2" w:rsidRPr="004C5CD2" w:rsidRDefault="004C5CD2" w:rsidP="004C5CD2">
      <w:pPr>
        <w:rPr>
          <w:rFonts w:ascii="Arial" w:hAnsi="Arial" w:cs="Arial"/>
          <w:b/>
          <w:bCs/>
          <w:color w:val="17365D" w:themeColor="text2" w:themeShade="BF"/>
          <w:sz w:val="28"/>
          <w:szCs w:val="28"/>
        </w:rPr>
      </w:pPr>
      <w:r w:rsidRPr="004C5CD2">
        <w:rPr>
          <w:rFonts w:ascii="Arial" w:hAnsi="Arial" w:cs="Arial"/>
          <w:b/>
          <w:bCs/>
          <w:color w:val="17365D" w:themeColor="text2" w:themeShade="BF"/>
          <w:sz w:val="28"/>
          <w:szCs w:val="28"/>
        </w:rPr>
        <w:t>Potential Major Trends in 2021</w:t>
      </w:r>
    </w:p>
    <w:p w:rsidR="004C5CD2" w:rsidRPr="004C5CD2" w:rsidRDefault="004C5CD2" w:rsidP="004C5CD2">
      <w:pPr>
        <w:rPr>
          <w:rFonts w:ascii="Arial" w:hAnsi="Arial" w:cs="Arial"/>
          <w:color w:val="17365D" w:themeColor="text2" w:themeShade="BF"/>
          <w:sz w:val="24"/>
          <w:szCs w:val="24"/>
        </w:rPr>
      </w:pPr>
    </w:p>
    <w:p w:rsidR="004C5CD2" w:rsidRPr="004C5CD2" w:rsidRDefault="004C5CD2" w:rsidP="004C5CD2">
      <w:pPr>
        <w:rPr>
          <w:rFonts w:ascii="Arial" w:hAnsi="Arial" w:cs="Arial"/>
          <w:color w:val="17365D" w:themeColor="text2" w:themeShade="BF"/>
          <w:sz w:val="24"/>
          <w:szCs w:val="24"/>
        </w:rPr>
      </w:pPr>
      <w:r w:rsidRPr="004C5CD2">
        <w:rPr>
          <w:rFonts w:ascii="Arial" w:hAnsi="Arial" w:cs="Arial"/>
          <w:color w:val="17365D" w:themeColor="text2" w:themeShade="BF"/>
          <w:sz w:val="24"/>
          <w:szCs w:val="24"/>
        </w:rPr>
        <w:t>One trend that should begin to be noticeable as the year progresses is the pick-up in buying interest in some of the lagging stocks. While tech has soared, the stocks of companies in industries such as consumer discretionary, travel and leisure, banks and the overall energy complex have languished at or near their 52-week lows reached last March. The valuations for the Big Five in particular have skyrocketed to nose-bleed heights and we should begin to see some rotation (selling high priced tech stocks and buying “bargain” stocks) to what are typically referred to as “value stocks” that have high dividend payouts and low price-to-earnings (P/E) ratios.</w:t>
      </w:r>
    </w:p>
    <w:p w:rsidR="004C5CD2" w:rsidRPr="004C5CD2" w:rsidRDefault="004C5CD2" w:rsidP="004C5CD2">
      <w:pPr>
        <w:rPr>
          <w:rFonts w:ascii="Arial" w:hAnsi="Arial" w:cs="Arial"/>
          <w:color w:val="17365D" w:themeColor="text2" w:themeShade="BF"/>
          <w:sz w:val="24"/>
          <w:szCs w:val="24"/>
        </w:rPr>
      </w:pPr>
    </w:p>
    <w:p w:rsidR="004C5CD2" w:rsidRPr="004C5CD2" w:rsidRDefault="004C5CD2" w:rsidP="004C5CD2">
      <w:pPr>
        <w:rPr>
          <w:rFonts w:ascii="Arial" w:hAnsi="Arial" w:cs="Arial"/>
          <w:color w:val="17365D" w:themeColor="text2" w:themeShade="BF"/>
          <w:sz w:val="24"/>
          <w:szCs w:val="24"/>
        </w:rPr>
      </w:pPr>
      <w:r w:rsidRPr="004C5CD2">
        <w:rPr>
          <w:rFonts w:ascii="Arial" w:hAnsi="Arial" w:cs="Arial"/>
          <w:color w:val="17365D" w:themeColor="text2" w:themeShade="BF"/>
          <w:sz w:val="24"/>
          <w:szCs w:val="24"/>
        </w:rPr>
        <w:t>The graph below shows the consolidation and short-term sideways movement in the technology sector over the last few months:</w:t>
      </w:r>
    </w:p>
    <w:p w:rsidR="004C5CD2" w:rsidRPr="004C5CD2" w:rsidRDefault="004C5CD2" w:rsidP="004C5CD2">
      <w:pPr>
        <w:rPr>
          <w:rFonts w:ascii="Arial" w:hAnsi="Arial" w:cs="Arial"/>
          <w:color w:val="17365D" w:themeColor="text2" w:themeShade="BF"/>
          <w:sz w:val="24"/>
          <w:szCs w:val="24"/>
        </w:rPr>
      </w:pPr>
    </w:p>
    <w:p w:rsidR="004C5CD2" w:rsidRPr="004C5CD2" w:rsidRDefault="004C5CD2" w:rsidP="004C5CD2">
      <w:pPr>
        <w:rPr>
          <w:rFonts w:ascii="Arial" w:hAnsi="Arial" w:cs="Arial"/>
          <w:color w:val="17365D" w:themeColor="text2" w:themeShade="BF"/>
          <w:sz w:val="24"/>
          <w:szCs w:val="24"/>
        </w:rPr>
      </w:pPr>
      <w:r w:rsidRPr="004C5CD2">
        <w:rPr>
          <w:rFonts w:ascii="Arial" w:hAnsi="Arial" w:cs="Arial"/>
          <w:b/>
          <w:bCs/>
          <w:color w:val="17365D" w:themeColor="text2" w:themeShade="BF"/>
          <w:sz w:val="24"/>
          <w:szCs w:val="24"/>
        </w:rPr>
        <w:lastRenderedPageBreak/>
        <w:t xml:space="preserve">Technology (XLK) – Running Low </w:t>
      </w:r>
      <w:proofErr w:type="gramStart"/>
      <w:r w:rsidRPr="004C5CD2">
        <w:rPr>
          <w:rFonts w:ascii="Arial" w:hAnsi="Arial" w:cs="Arial"/>
          <w:b/>
          <w:bCs/>
          <w:color w:val="17365D" w:themeColor="text2" w:themeShade="BF"/>
          <w:sz w:val="24"/>
          <w:szCs w:val="24"/>
        </w:rPr>
        <w:t>On</w:t>
      </w:r>
      <w:proofErr w:type="gramEnd"/>
      <w:r w:rsidRPr="004C5CD2">
        <w:rPr>
          <w:rFonts w:ascii="Arial" w:hAnsi="Arial" w:cs="Arial"/>
          <w:b/>
          <w:bCs/>
          <w:color w:val="17365D" w:themeColor="text2" w:themeShade="BF"/>
          <w:sz w:val="24"/>
          <w:szCs w:val="24"/>
        </w:rPr>
        <w:t xml:space="preserve"> Leadership</w:t>
      </w:r>
    </w:p>
    <w:p w:rsidR="004C5CD2" w:rsidRPr="004C5CD2" w:rsidRDefault="004C5CD2" w:rsidP="004C5CD2">
      <w:pPr>
        <w:rPr>
          <w:rFonts w:ascii="Arial" w:hAnsi="Arial" w:cs="Arial"/>
          <w:color w:val="17365D" w:themeColor="text2" w:themeShade="BF"/>
          <w:sz w:val="24"/>
          <w:szCs w:val="24"/>
        </w:rPr>
      </w:pPr>
      <w:r w:rsidRPr="004C5CD2">
        <w:rPr>
          <w:rFonts w:ascii="Arial" w:hAnsi="Arial" w:cs="Arial"/>
          <w:noProof/>
          <w:color w:val="17365D" w:themeColor="text2" w:themeShade="BF"/>
          <w:sz w:val="24"/>
          <w:szCs w:val="24"/>
        </w:rPr>
        <w:drawing>
          <wp:inline distT="0" distB="0" distL="0" distR="0" wp14:anchorId="341C2ACB" wp14:editId="37A270CF">
            <wp:extent cx="6667500" cy="3947160"/>
            <wp:effectExtent l="0" t="0" r="0" b="0"/>
            <wp:docPr id="1" name="Picture 1" descr="january-5-2021-leaderslagg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uary-5-2021-leaderslaggar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0" cy="3947160"/>
                    </a:xfrm>
                    <a:prstGeom prst="rect">
                      <a:avLst/>
                    </a:prstGeom>
                    <a:noFill/>
                    <a:ln>
                      <a:noFill/>
                    </a:ln>
                  </pic:spPr>
                </pic:pic>
              </a:graphicData>
            </a:graphic>
          </wp:inline>
        </w:drawing>
      </w:r>
    </w:p>
    <w:p w:rsidR="004C5CD2" w:rsidRPr="004C5CD2" w:rsidRDefault="004C5CD2" w:rsidP="004C5CD2">
      <w:pPr>
        <w:rPr>
          <w:rFonts w:ascii="Arial" w:hAnsi="Arial" w:cs="Arial"/>
          <w:color w:val="17365D" w:themeColor="text2" w:themeShade="BF"/>
          <w:sz w:val="24"/>
          <w:szCs w:val="24"/>
        </w:rPr>
      </w:pPr>
      <w:r w:rsidRPr="004C5CD2">
        <w:rPr>
          <w:rFonts w:ascii="Arial" w:hAnsi="Arial" w:cs="Arial"/>
          <w:color w:val="17365D" w:themeColor="text2" w:themeShade="BF"/>
          <w:sz w:val="24"/>
          <w:szCs w:val="24"/>
        </w:rPr>
        <w:t>Conversely, up until recently the “cyclical” or economy driven sectors such as banks and other financial industry stocks have appeared to “find a bottom” and have begun to rise in anticipation of their leadership role in 2021:</w:t>
      </w:r>
    </w:p>
    <w:p w:rsidR="004C5CD2" w:rsidRPr="004C5CD2" w:rsidRDefault="004C5CD2" w:rsidP="004C5CD2">
      <w:pPr>
        <w:spacing w:before="100" w:beforeAutospacing="1" w:after="100" w:afterAutospacing="1" w:line="345" w:lineRule="atLeast"/>
        <w:rPr>
          <w:rFonts w:ascii="Arial" w:eastAsia="Calibri" w:hAnsi="Arial" w:cs="Arial"/>
          <w:color w:val="17365D" w:themeColor="text2" w:themeShade="BF"/>
        </w:rPr>
      </w:pPr>
      <w:r w:rsidRPr="004C5CD2">
        <w:rPr>
          <w:rFonts w:ascii="Arial" w:eastAsia="Calibri" w:hAnsi="Arial" w:cs="Arial"/>
          <w:b/>
          <w:bCs/>
          <w:color w:val="17365D" w:themeColor="text2" w:themeShade="BF"/>
          <w:sz w:val="21"/>
          <w:szCs w:val="21"/>
        </w:rPr>
        <w:t>Financials (XLF) – The Only Leading Cyclical Sector</w:t>
      </w:r>
    </w:p>
    <w:p w:rsidR="004C5CD2" w:rsidRPr="004C5CD2" w:rsidRDefault="004C5CD2" w:rsidP="004C5CD2">
      <w:pPr>
        <w:spacing w:before="100" w:beforeAutospacing="1" w:after="100" w:afterAutospacing="1" w:line="345" w:lineRule="atLeast"/>
        <w:rPr>
          <w:rFonts w:ascii="Arial" w:eastAsia="Calibri" w:hAnsi="Arial" w:cs="Arial"/>
          <w:color w:val="17365D" w:themeColor="text2" w:themeShade="BF"/>
          <w:sz w:val="21"/>
          <w:szCs w:val="21"/>
        </w:rPr>
      </w:pPr>
      <w:r w:rsidRPr="004C5CD2">
        <w:rPr>
          <w:rFonts w:ascii="Arial" w:eastAsia="Calibri" w:hAnsi="Arial" w:cs="Arial"/>
          <w:noProof/>
          <w:color w:val="17365D" w:themeColor="text2" w:themeShade="BF"/>
          <w:sz w:val="21"/>
          <w:szCs w:val="21"/>
        </w:rPr>
        <w:lastRenderedPageBreak/>
        <w:drawing>
          <wp:inline distT="0" distB="0" distL="0" distR="0" wp14:anchorId="34E3FA34" wp14:editId="2902686C">
            <wp:extent cx="6667500" cy="3535680"/>
            <wp:effectExtent l="0" t="0" r="0" b="7620"/>
            <wp:docPr id="13" name="Picture 13" descr="january-5-2021-leaderslagg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anuary-5-2021-leaderslaggard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0" cy="3535680"/>
                    </a:xfrm>
                    <a:prstGeom prst="rect">
                      <a:avLst/>
                    </a:prstGeom>
                    <a:noFill/>
                    <a:ln>
                      <a:noFill/>
                    </a:ln>
                  </pic:spPr>
                </pic:pic>
              </a:graphicData>
            </a:graphic>
          </wp:inline>
        </w:drawing>
      </w:r>
    </w:p>
    <w:p w:rsidR="004C5CD2" w:rsidRPr="004C5CD2" w:rsidRDefault="004C5CD2" w:rsidP="004C5CD2">
      <w:pPr>
        <w:rPr>
          <w:rFonts w:ascii="Arial" w:hAnsi="Arial" w:cs="Arial"/>
          <w:color w:val="17365D" w:themeColor="text2" w:themeShade="BF"/>
          <w:sz w:val="24"/>
          <w:szCs w:val="24"/>
        </w:rPr>
      </w:pPr>
      <w:r w:rsidRPr="004C5CD2">
        <w:rPr>
          <w:rFonts w:ascii="Arial" w:hAnsi="Arial" w:cs="Arial"/>
          <w:color w:val="17365D" w:themeColor="text2" w:themeShade="BF"/>
          <w:sz w:val="24"/>
          <w:szCs w:val="24"/>
        </w:rPr>
        <w:t xml:space="preserve">Another investable trend in 2021 is the emergence and proliferation of a relatively new wireless communication technology known as “Fifth Generation” or “5G.” In 2020 our portfolios enjoyed the addition of several key players in the 5G roll out: Qualcomm (cell phone chips), </w:t>
      </w:r>
      <w:proofErr w:type="spellStart"/>
      <w:r w:rsidRPr="004C5CD2">
        <w:rPr>
          <w:rFonts w:ascii="Arial" w:hAnsi="Arial" w:cs="Arial"/>
          <w:color w:val="17365D" w:themeColor="text2" w:themeShade="BF"/>
          <w:sz w:val="24"/>
          <w:szCs w:val="24"/>
        </w:rPr>
        <w:t>Ciena</w:t>
      </w:r>
      <w:proofErr w:type="spellEnd"/>
      <w:r w:rsidRPr="004C5CD2">
        <w:rPr>
          <w:rFonts w:ascii="Arial" w:hAnsi="Arial" w:cs="Arial"/>
          <w:color w:val="17365D" w:themeColor="text2" w:themeShade="BF"/>
          <w:sz w:val="24"/>
          <w:szCs w:val="24"/>
        </w:rPr>
        <w:t xml:space="preserve"> (fiber optic connectivity) and Apple </w:t>
      </w:r>
      <w:proofErr w:type="gramStart"/>
      <w:r w:rsidRPr="004C5CD2">
        <w:rPr>
          <w:rFonts w:ascii="Arial" w:hAnsi="Arial" w:cs="Arial"/>
          <w:color w:val="17365D" w:themeColor="text2" w:themeShade="BF"/>
          <w:sz w:val="24"/>
          <w:szCs w:val="24"/>
        </w:rPr>
        <w:t>(various hardware, including the ubiquitous iPhone)</w:t>
      </w:r>
      <w:proofErr w:type="gramEnd"/>
      <w:r w:rsidRPr="004C5CD2">
        <w:rPr>
          <w:rFonts w:ascii="Arial" w:hAnsi="Arial" w:cs="Arial"/>
          <w:color w:val="17365D" w:themeColor="text2" w:themeShade="BF"/>
          <w:sz w:val="24"/>
          <w:szCs w:val="24"/>
        </w:rPr>
        <w:t>. They will play leading roles in the various infrastructure buildouts of the emerging high-speed technology. Others will be added as their prices become attractive.</w:t>
      </w:r>
    </w:p>
    <w:p w:rsidR="004C5CD2" w:rsidRPr="004C5CD2" w:rsidRDefault="004C5CD2" w:rsidP="004C5CD2">
      <w:pPr>
        <w:rPr>
          <w:rFonts w:ascii="Arial" w:hAnsi="Arial" w:cs="Arial"/>
          <w:color w:val="17365D" w:themeColor="text2" w:themeShade="BF"/>
          <w:sz w:val="24"/>
          <w:szCs w:val="24"/>
        </w:rPr>
      </w:pPr>
    </w:p>
    <w:p w:rsidR="004C5CD2" w:rsidRDefault="004C5CD2" w:rsidP="004C5CD2">
      <w:pPr>
        <w:rPr>
          <w:rFonts w:ascii="Arial" w:hAnsi="Arial" w:cs="Arial"/>
          <w:color w:val="17365D" w:themeColor="text2" w:themeShade="BF"/>
          <w:sz w:val="24"/>
          <w:szCs w:val="24"/>
        </w:rPr>
      </w:pPr>
      <w:r w:rsidRPr="004C5CD2">
        <w:rPr>
          <w:rFonts w:ascii="Arial" w:hAnsi="Arial" w:cs="Arial"/>
          <w:color w:val="17365D" w:themeColor="text2" w:themeShade="BF"/>
          <w:sz w:val="24"/>
          <w:szCs w:val="24"/>
        </w:rPr>
        <w:t xml:space="preserve">If our forecast is correct and the economy begins to expand over the first two quarters as the lockdown from the viral crisis subsides, there is the possibility of a brief correction in stock prices as interest rates begin to rise and the potential of inflation to increase plays out. This would lead to a fairly significant fall in U.S. Treasury prices (as rates rise), a rise in the dollar and the corresponding rise in financial services stocks depending on the rapidity of steepening in the longer-term interest rate structure. </w:t>
      </w:r>
    </w:p>
    <w:p w:rsidR="004C5CD2" w:rsidRDefault="004C5CD2" w:rsidP="004C5CD2">
      <w:pPr>
        <w:rPr>
          <w:rFonts w:ascii="Arial" w:hAnsi="Arial" w:cs="Arial"/>
          <w:color w:val="17365D" w:themeColor="text2" w:themeShade="BF"/>
          <w:sz w:val="24"/>
          <w:szCs w:val="24"/>
        </w:rPr>
      </w:pPr>
    </w:p>
    <w:p w:rsidR="004C5CD2" w:rsidRPr="004C5CD2" w:rsidRDefault="004C5CD2" w:rsidP="004C5CD2">
      <w:pPr>
        <w:rPr>
          <w:rFonts w:ascii="Arial" w:hAnsi="Arial" w:cs="Arial"/>
          <w:color w:val="17365D" w:themeColor="text2" w:themeShade="BF"/>
          <w:sz w:val="24"/>
          <w:szCs w:val="24"/>
        </w:rPr>
      </w:pPr>
      <w:bookmarkStart w:id="0" w:name="_GoBack"/>
      <w:bookmarkEnd w:id="0"/>
      <w:r w:rsidRPr="004C5CD2">
        <w:rPr>
          <w:rFonts w:ascii="Arial" w:hAnsi="Arial" w:cs="Arial"/>
          <w:color w:val="17365D" w:themeColor="text2" w:themeShade="BF"/>
          <w:sz w:val="24"/>
          <w:szCs w:val="24"/>
        </w:rPr>
        <w:t>Unfortunately, the U.S. Treasury has increased total debt by $4 trillion over the last 12 months (about $12,800 per citizen) and as debt matures it will have to be replaced with more costly (higher interest rate) debt. If the U.S. 10-year debt were to increase rapidly from its current level of around 0.95% to the pre-virus level around 2.5% that could precipitate a fall in stock prices of up to 20% in a short period of time. For some perspective, every increase of 0.50 percent in the cost of government debt is equivalent to the entire annual budget for the U.S. Navy.</w:t>
      </w:r>
    </w:p>
    <w:p w:rsidR="004C5CD2" w:rsidRPr="004C5CD2" w:rsidRDefault="004C5CD2" w:rsidP="004C5CD2">
      <w:pPr>
        <w:rPr>
          <w:rFonts w:ascii="Arial" w:hAnsi="Arial" w:cs="Arial"/>
          <w:color w:val="17365D" w:themeColor="text2" w:themeShade="BF"/>
          <w:sz w:val="24"/>
          <w:szCs w:val="24"/>
        </w:rPr>
      </w:pPr>
    </w:p>
    <w:p w:rsidR="004C5CD2" w:rsidRPr="004C5CD2" w:rsidRDefault="004C5CD2" w:rsidP="004C5CD2">
      <w:pPr>
        <w:rPr>
          <w:rFonts w:ascii="Arial" w:hAnsi="Arial" w:cs="Arial"/>
          <w:color w:val="17365D" w:themeColor="text2" w:themeShade="BF"/>
          <w:sz w:val="24"/>
          <w:szCs w:val="24"/>
        </w:rPr>
      </w:pPr>
      <w:r w:rsidRPr="004C5CD2">
        <w:rPr>
          <w:rFonts w:ascii="Arial" w:hAnsi="Arial" w:cs="Arial"/>
          <w:color w:val="17365D" w:themeColor="text2" w:themeShade="BF"/>
          <w:sz w:val="24"/>
          <w:szCs w:val="24"/>
        </w:rPr>
        <w:t xml:space="preserve">One last note: energy prices are likely to rise to pre-pandemic levels (around $70 per barrel of crude oil) and the energy sector will likely outperform the index as a result. We </w:t>
      </w:r>
      <w:r w:rsidRPr="004C5CD2">
        <w:rPr>
          <w:rFonts w:ascii="Arial" w:hAnsi="Arial" w:cs="Arial"/>
          <w:color w:val="17365D" w:themeColor="text2" w:themeShade="BF"/>
          <w:sz w:val="24"/>
          <w:szCs w:val="24"/>
        </w:rPr>
        <w:lastRenderedPageBreak/>
        <w:t>have some investments in that area already and they have done very well over the last month or so as oil cracked $50/barrel today. As always, we will vigilantly monitor the portfolios while searching for excellent investment opportunities.</w:t>
      </w:r>
    </w:p>
    <w:p w:rsidR="00093038" w:rsidRPr="004C5CD2" w:rsidRDefault="00093038" w:rsidP="004C5CD2">
      <w:pPr>
        <w:rPr>
          <w:rFonts w:ascii="Arial" w:hAnsi="Arial" w:cs="Arial"/>
          <w:color w:val="17365D" w:themeColor="text2" w:themeShade="BF"/>
          <w:sz w:val="22"/>
          <w:szCs w:val="22"/>
        </w:rPr>
      </w:pPr>
    </w:p>
    <w:sectPr w:rsidR="00093038" w:rsidRPr="004C5C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E6B1B"/>
    <w:multiLevelType w:val="multilevel"/>
    <w:tmpl w:val="72988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9C3103"/>
    <w:multiLevelType w:val="hybridMultilevel"/>
    <w:tmpl w:val="BE52D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6B251D"/>
    <w:multiLevelType w:val="hybridMultilevel"/>
    <w:tmpl w:val="02F6E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6305C3"/>
    <w:multiLevelType w:val="hybridMultilevel"/>
    <w:tmpl w:val="8E688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190"/>
    <w:rsid w:val="00065874"/>
    <w:rsid w:val="00093038"/>
    <w:rsid w:val="00104D86"/>
    <w:rsid w:val="00133CED"/>
    <w:rsid w:val="001B4D52"/>
    <w:rsid w:val="00277539"/>
    <w:rsid w:val="00396051"/>
    <w:rsid w:val="003D52FA"/>
    <w:rsid w:val="00485C95"/>
    <w:rsid w:val="004C5CD2"/>
    <w:rsid w:val="004F5F68"/>
    <w:rsid w:val="00677E05"/>
    <w:rsid w:val="006F1190"/>
    <w:rsid w:val="00873190"/>
    <w:rsid w:val="00995DEE"/>
    <w:rsid w:val="00A703CD"/>
    <w:rsid w:val="00C03B5C"/>
    <w:rsid w:val="00D77B9E"/>
    <w:rsid w:val="00E80412"/>
    <w:rsid w:val="00F07F89"/>
    <w:rsid w:val="00F24EF8"/>
    <w:rsid w:val="00F62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19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104D86"/>
    <w:rPr>
      <w:rFonts w:asciiTheme="majorHAnsi" w:eastAsiaTheme="majorEastAsia" w:hAnsiTheme="majorHAnsi" w:cstheme="majorBidi"/>
      <w:color w:val="006F0D"/>
    </w:rPr>
  </w:style>
  <w:style w:type="paragraph" w:styleId="ListParagraph">
    <w:name w:val="List Paragraph"/>
    <w:basedOn w:val="Normal"/>
    <w:uiPriority w:val="34"/>
    <w:qFormat/>
    <w:rsid w:val="00D77B9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77B9E"/>
    <w:rPr>
      <w:rFonts w:ascii="Tahoma" w:hAnsi="Tahoma" w:cs="Tahoma"/>
      <w:sz w:val="16"/>
      <w:szCs w:val="16"/>
    </w:rPr>
  </w:style>
  <w:style w:type="character" w:customStyle="1" w:styleId="BalloonTextChar">
    <w:name w:val="Balloon Text Char"/>
    <w:basedOn w:val="DefaultParagraphFont"/>
    <w:link w:val="BalloonText"/>
    <w:uiPriority w:val="99"/>
    <w:semiHidden/>
    <w:rsid w:val="00D77B9E"/>
    <w:rPr>
      <w:rFonts w:ascii="Tahoma" w:eastAsia="Times New Roman" w:hAnsi="Tahoma" w:cs="Tahoma"/>
      <w:sz w:val="16"/>
      <w:szCs w:val="16"/>
    </w:rPr>
  </w:style>
  <w:style w:type="paragraph" w:styleId="NormalWeb">
    <w:name w:val="Normal (Web)"/>
    <w:basedOn w:val="Normal"/>
    <w:uiPriority w:val="99"/>
    <w:unhideWhenUsed/>
    <w:rsid w:val="00E80412"/>
    <w:pPr>
      <w:spacing w:before="100" w:beforeAutospacing="1" w:after="100" w:afterAutospacing="1"/>
    </w:pPr>
    <w:rPr>
      <w:sz w:val="24"/>
      <w:szCs w:val="24"/>
    </w:rPr>
  </w:style>
  <w:style w:type="character" w:styleId="Strong">
    <w:name w:val="Strong"/>
    <w:basedOn w:val="DefaultParagraphFont"/>
    <w:uiPriority w:val="22"/>
    <w:qFormat/>
    <w:rsid w:val="00E80412"/>
    <w:rPr>
      <w:b/>
      <w:bCs/>
    </w:rPr>
  </w:style>
  <w:style w:type="character" w:styleId="Hyperlink">
    <w:name w:val="Hyperlink"/>
    <w:basedOn w:val="DefaultParagraphFont"/>
    <w:uiPriority w:val="99"/>
    <w:semiHidden/>
    <w:unhideWhenUsed/>
    <w:rsid w:val="00E804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19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104D86"/>
    <w:rPr>
      <w:rFonts w:asciiTheme="majorHAnsi" w:eastAsiaTheme="majorEastAsia" w:hAnsiTheme="majorHAnsi" w:cstheme="majorBidi"/>
      <w:color w:val="006F0D"/>
    </w:rPr>
  </w:style>
  <w:style w:type="paragraph" w:styleId="ListParagraph">
    <w:name w:val="List Paragraph"/>
    <w:basedOn w:val="Normal"/>
    <w:uiPriority w:val="34"/>
    <w:qFormat/>
    <w:rsid w:val="00D77B9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77B9E"/>
    <w:rPr>
      <w:rFonts w:ascii="Tahoma" w:hAnsi="Tahoma" w:cs="Tahoma"/>
      <w:sz w:val="16"/>
      <w:szCs w:val="16"/>
    </w:rPr>
  </w:style>
  <w:style w:type="character" w:customStyle="1" w:styleId="BalloonTextChar">
    <w:name w:val="Balloon Text Char"/>
    <w:basedOn w:val="DefaultParagraphFont"/>
    <w:link w:val="BalloonText"/>
    <w:uiPriority w:val="99"/>
    <w:semiHidden/>
    <w:rsid w:val="00D77B9E"/>
    <w:rPr>
      <w:rFonts w:ascii="Tahoma" w:eastAsia="Times New Roman" w:hAnsi="Tahoma" w:cs="Tahoma"/>
      <w:sz w:val="16"/>
      <w:szCs w:val="16"/>
    </w:rPr>
  </w:style>
  <w:style w:type="paragraph" w:styleId="NormalWeb">
    <w:name w:val="Normal (Web)"/>
    <w:basedOn w:val="Normal"/>
    <w:uiPriority w:val="99"/>
    <w:unhideWhenUsed/>
    <w:rsid w:val="00E80412"/>
    <w:pPr>
      <w:spacing w:before="100" w:beforeAutospacing="1" w:after="100" w:afterAutospacing="1"/>
    </w:pPr>
    <w:rPr>
      <w:sz w:val="24"/>
      <w:szCs w:val="24"/>
    </w:rPr>
  </w:style>
  <w:style w:type="character" w:styleId="Strong">
    <w:name w:val="Strong"/>
    <w:basedOn w:val="DefaultParagraphFont"/>
    <w:uiPriority w:val="22"/>
    <w:qFormat/>
    <w:rsid w:val="00E80412"/>
    <w:rPr>
      <w:b/>
      <w:bCs/>
    </w:rPr>
  </w:style>
  <w:style w:type="character" w:styleId="Hyperlink">
    <w:name w:val="Hyperlink"/>
    <w:basedOn w:val="DefaultParagraphFont"/>
    <w:uiPriority w:val="99"/>
    <w:semiHidden/>
    <w:unhideWhenUsed/>
    <w:rsid w:val="00E804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4438">
      <w:bodyDiv w:val="1"/>
      <w:marLeft w:val="0"/>
      <w:marRight w:val="0"/>
      <w:marTop w:val="0"/>
      <w:marBottom w:val="0"/>
      <w:divBdr>
        <w:top w:val="none" w:sz="0" w:space="0" w:color="auto"/>
        <w:left w:val="none" w:sz="0" w:space="0" w:color="auto"/>
        <w:bottom w:val="none" w:sz="0" w:space="0" w:color="auto"/>
        <w:right w:val="none" w:sz="0" w:space="0" w:color="auto"/>
      </w:divBdr>
      <w:divsChild>
        <w:div w:id="540167781">
          <w:marLeft w:val="0"/>
          <w:marRight w:val="0"/>
          <w:marTop w:val="0"/>
          <w:marBottom w:val="0"/>
          <w:divBdr>
            <w:top w:val="none" w:sz="0" w:space="0" w:color="auto"/>
            <w:left w:val="none" w:sz="0" w:space="0" w:color="auto"/>
            <w:bottom w:val="none" w:sz="0" w:space="0" w:color="auto"/>
            <w:right w:val="none" w:sz="0" w:space="0" w:color="auto"/>
          </w:divBdr>
          <w:divsChild>
            <w:div w:id="244801016">
              <w:marLeft w:val="0"/>
              <w:marRight w:val="0"/>
              <w:marTop w:val="0"/>
              <w:marBottom w:val="0"/>
              <w:divBdr>
                <w:top w:val="none" w:sz="0" w:space="0" w:color="auto"/>
                <w:left w:val="none" w:sz="0" w:space="0" w:color="auto"/>
                <w:bottom w:val="none" w:sz="0" w:space="0" w:color="auto"/>
                <w:right w:val="none" w:sz="0" w:space="0" w:color="auto"/>
              </w:divBdr>
              <w:divsChild>
                <w:div w:id="2058315146">
                  <w:marLeft w:val="0"/>
                  <w:marRight w:val="0"/>
                  <w:marTop w:val="0"/>
                  <w:marBottom w:val="0"/>
                  <w:divBdr>
                    <w:top w:val="none" w:sz="0" w:space="0" w:color="auto"/>
                    <w:left w:val="none" w:sz="0" w:space="0" w:color="auto"/>
                    <w:bottom w:val="none" w:sz="0" w:space="0" w:color="auto"/>
                    <w:right w:val="none" w:sz="0" w:space="0" w:color="auto"/>
                  </w:divBdr>
                  <w:divsChild>
                    <w:div w:id="1405378116">
                      <w:marLeft w:val="0"/>
                      <w:marRight w:val="0"/>
                      <w:marTop w:val="0"/>
                      <w:marBottom w:val="0"/>
                      <w:divBdr>
                        <w:top w:val="none" w:sz="0" w:space="0" w:color="auto"/>
                        <w:left w:val="none" w:sz="0" w:space="0" w:color="auto"/>
                        <w:bottom w:val="none" w:sz="0" w:space="0" w:color="auto"/>
                        <w:right w:val="none" w:sz="0" w:space="0" w:color="auto"/>
                      </w:divBdr>
                      <w:divsChild>
                        <w:div w:id="1183933562">
                          <w:marLeft w:val="0"/>
                          <w:marRight w:val="0"/>
                          <w:marTop w:val="0"/>
                          <w:marBottom w:val="0"/>
                          <w:divBdr>
                            <w:top w:val="none" w:sz="0" w:space="0" w:color="auto"/>
                            <w:left w:val="none" w:sz="0" w:space="0" w:color="auto"/>
                            <w:bottom w:val="none" w:sz="0" w:space="0" w:color="auto"/>
                            <w:right w:val="none" w:sz="0" w:space="0" w:color="auto"/>
                          </w:divBdr>
                          <w:divsChild>
                            <w:div w:id="498034327">
                              <w:marLeft w:val="0"/>
                              <w:marRight w:val="0"/>
                              <w:marTop w:val="0"/>
                              <w:marBottom w:val="0"/>
                              <w:divBdr>
                                <w:top w:val="none" w:sz="0" w:space="0" w:color="auto"/>
                                <w:left w:val="none" w:sz="0" w:space="0" w:color="auto"/>
                                <w:bottom w:val="none" w:sz="0" w:space="0" w:color="auto"/>
                                <w:right w:val="none" w:sz="0" w:space="0" w:color="auto"/>
                              </w:divBdr>
                              <w:divsChild>
                                <w:div w:id="1497570880">
                                  <w:marLeft w:val="0"/>
                                  <w:marRight w:val="0"/>
                                  <w:marTop w:val="0"/>
                                  <w:marBottom w:val="0"/>
                                  <w:divBdr>
                                    <w:top w:val="none" w:sz="0" w:space="0" w:color="auto"/>
                                    <w:left w:val="none" w:sz="0" w:space="0" w:color="auto"/>
                                    <w:bottom w:val="none" w:sz="0" w:space="0" w:color="auto"/>
                                    <w:right w:val="none" w:sz="0" w:space="0" w:color="auto"/>
                                  </w:divBdr>
                                  <w:divsChild>
                                    <w:div w:id="844590941">
                                      <w:marLeft w:val="0"/>
                                      <w:marRight w:val="0"/>
                                      <w:marTop w:val="0"/>
                                      <w:marBottom w:val="0"/>
                                      <w:divBdr>
                                        <w:top w:val="none" w:sz="0" w:space="0" w:color="auto"/>
                                        <w:left w:val="none" w:sz="0" w:space="0" w:color="auto"/>
                                        <w:bottom w:val="none" w:sz="0" w:space="0" w:color="auto"/>
                                        <w:right w:val="none" w:sz="0" w:space="0" w:color="auto"/>
                                      </w:divBdr>
                                      <w:divsChild>
                                        <w:div w:id="1633244607">
                                          <w:marLeft w:val="0"/>
                                          <w:marRight w:val="0"/>
                                          <w:marTop w:val="0"/>
                                          <w:marBottom w:val="0"/>
                                          <w:divBdr>
                                            <w:top w:val="none" w:sz="0" w:space="0" w:color="auto"/>
                                            <w:left w:val="none" w:sz="0" w:space="0" w:color="auto"/>
                                            <w:bottom w:val="none" w:sz="0" w:space="0" w:color="auto"/>
                                            <w:right w:val="none" w:sz="0" w:space="0" w:color="auto"/>
                                          </w:divBdr>
                                          <w:divsChild>
                                            <w:div w:id="94785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1375586">
      <w:bodyDiv w:val="1"/>
      <w:marLeft w:val="0"/>
      <w:marRight w:val="0"/>
      <w:marTop w:val="0"/>
      <w:marBottom w:val="0"/>
      <w:divBdr>
        <w:top w:val="none" w:sz="0" w:space="0" w:color="auto"/>
        <w:left w:val="none" w:sz="0" w:space="0" w:color="auto"/>
        <w:bottom w:val="none" w:sz="0" w:space="0" w:color="auto"/>
        <w:right w:val="none" w:sz="0" w:space="0" w:color="auto"/>
      </w:divBdr>
    </w:div>
    <w:div w:id="439836379">
      <w:bodyDiv w:val="1"/>
      <w:marLeft w:val="0"/>
      <w:marRight w:val="0"/>
      <w:marTop w:val="0"/>
      <w:marBottom w:val="0"/>
      <w:divBdr>
        <w:top w:val="none" w:sz="0" w:space="0" w:color="auto"/>
        <w:left w:val="none" w:sz="0" w:space="0" w:color="auto"/>
        <w:bottom w:val="none" w:sz="0" w:space="0" w:color="auto"/>
        <w:right w:val="none" w:sz="0" w:space="0" w:color="auto"/>
      </w:divBdr>
    </w:div>
    <w:div w:id="688532459">
      <w:bodyDiv w:val="1"/>
      <w:marLeft w:val="0"/>
      <w:marRight w:val="0"/>
      <w:marTop w:val="0"/>
      <w:marBottom w:val="0"/>
      <w:divBdr>
        <w:top w:val="none" w:sz="0" w:space="0" w:color="auto"/>
        <w:left w:val="none" w:sz="0" w:space="0" w:color="auto"/>
        <w:bottom w:val="none" w:sz="0" w:space="0" w:color="auto"/>
        <w:right w:val="none" w:sz="0" w:space="0" w:color="auto"/>
      </w:divBdr>
    </w:div>
    <w:div w:id="724336559">
      <w:bodyDiv w:val="1"/>
      <w:marLeft w:val="0"/>
      <w:marRight w:val="0"/>
      <w:marTop w:val="0"/>
      <w:marBottom w:val="0"/>
      <w:divBdr>
        <w:top w:val="none" w:sz="0" w:space="0" w:color="auto"/>
        <w:left w:val="none" w:sz="0" w:space="0" w:color="auto"/>
        <w:bottom w:val="none" w:sz="0" w:space="0" w:color="auto"/>
        <w:right w:val="none" w:sz="0" w:space="0" w:color="auto"/>
      </w:divBdr>
    </w:div>
    <w:div w:id="97638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business/2020/03/15/federal-reserve-slashes-interest-rates-zero-part-wide-ranging-emergency-intervention/?itid=lk_inline_manual_3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washingtonpost.com/business/2020/04/29/federal-reserve-has-pumped-23-trillion-into-us-economy-its-just-getting-started/?itid=lk_inline_manual_3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shingtonpost.com/road-to-recovery/2020/08/13/recession-is-over-rich-working-class-is-far-recovered/?itid=lk_inline_manual_19"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brookings.edu/events/the-economy-and-monetary-policy-a-conversation-with-fed-vice-chair-richard-clari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2</cp:revision>
  <cp:lastPrinted>2019-05-01T20:09:00Z</cp:lastPrinted>
  <dcterms:created xsi:type="dcterms:W3CDTF">2021-01-06T23:36:00Z</dcterms:created>
  <dcterms:modified xsi:type="dcterms:W3CDTF">2021-01-06T23:36:00Z</dcterms:modified>
</cp:coreProperties>
</file>