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83C5B" w14:textId="11B6C7FA" w:rsidR="00C56C7D" w:rsidRDefault="00773F85" w:rsidP="00773F85">
      <w:pPr>
        <w:spacing w:after="120"/>
        <w:jc w:val="center"/>
        <w:rPr>
          <w:rFonts w:ascii="Times" w:hAnsi="Times" w:cs="Times"/>
          <w:b/>
          <w:bCs/>
          <w:sz w:val="44"/>
          <w:szCs w:val="44"/>
        </w:rPr>
      </w:pPr>
      <w:r>
        <w:rPr>
          <w:rFonts w:ascii="Times" w:hAnsi="Times" w:cs="Times"/>
          <w:b/>
          <w:bCs/>
          <w:sz w:val="44"/>
          <w:szCs w:val="44"/>
        </w:rPr>
        <w:t>NOTICE OF PUBLIC HEARING ON TAX INCREASE</w:t>
      </w:r>
    </w:p>
    <w:p w14:paraId="4336BC8C" w14:textId="1A9663D9" w:rsidR="00773F85" w:rsidRDefault="00773F85" w:rsidP="00773F85">
      <w:pPr>
        <w:spacing w:after="120"/>
        <w:rPr>
          <w:rFonts w:ascii="Times" w:hAnsi="Times" w:cs="Times"/>
          <w:sz w:val="20"/>
          <w:szCs w:val="20"/>
        </w:rPr>
      </w:pPr>
      <w:r>
        <w:rPr>
          <w:rFonts w:ascii="Times" w:hAnsi="Times" w:cs="Times"/>
          <w:sz w:val="20"/>
          <w:szCs w:val="20"/>
        </w:rPr>
        <w:t>A tax rate of $0.057207 per $100 valuation has been proposed by the governing body of EMERGENCY SERVICES DISTRICT No.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73F85" w14:paraId="093132C0" w14:textId="77777777" w:rsidTr="00773F85">
        <w:tc>
          <w:tcPr>
            <w:tcW w:w="5395" w:type="dxa"/>
            <w:vAlign w:val="center"/>
          </w:tcPr>
          <w:p w14:paraId="3DD993C1" w14:textId="0DA1909B" w:rsidR="00773F85" w:rsidRDefault="00773F85" w:rsidP="00773F85">
            <w:pPr>
              <w:jc w:val="center"/>
              <w:rPr>
                <w:rFonts w:ascii="Times" w:hAnsi="Times" w:cs="Times"/>
                <w:sz w:val="20"/>
                <w:szCs w:val="20"/>
              </w:rPr>
            </w:pPr>
            <w:r>
              <w:rPr>
                <w:rFonts w:ascii="Times" w:hAnsi="Times" w:cs="Times"/>
                <w:sz w:val="20"/>
                <w:szCs w:val="20"/>
              </w:rPr>
              <w:t>PROPOSED TAX RATE</w:t>
            </w:r>
          </w:p>
        </w:tc>
        <w:tc>
          <w:tcPr>
            <w:tcW w:w="5395" w:type="dxa"/>
            <w:vAlign w:val="center"/>
          </w:tcPr>
          <w:p w14:paraId="5F06211D" w14:textId="1A84AD22" w:rsidR="00773F85" w:rsidRDefault="00773F85" w:rsidP="00773F85">
            <w:pPr>
              <w:jc w:val="center"/>
              <w:rPr>
                <w:rFonts w:ascii="Times" w:hAnsi="Times" w:cs="Times"/>
                <w:sz w:val="20"/>
                <w:szCs w:val="20"/>
              </w:rPr>
            </w:pPr>
            <w:r>
              <w:rPr>
                <w:rFonts w:ascii="Times" w:hAnsi="Times" w:cs="Times"/>
                <w:sz w:val="20"/>
                <w:szCs w:val="20"/>
              </w:rPr>
              <w:t>$0.057207 per $100</w:t>
            </w:r>
          </w:p>
        </w:tc>
      </w:tr>
      <w:tr w:rsidR="00773F85" w14:paraId="11B0419A" w14:textId="77777777" w:rsidTr="00AC67AE">
        <w:tc>
          <w:tcPr>
            <w:tcW w:w="5395" w:type="dxa"/>
            <w:vAlign w:val="center"/>
          </w:tcPr>
          <w:p w14:paraId="3F74A1BA" w14:textId="0B4E24E9" w:rsidR="00773F85" w:rsidRDefault="00773F85" w:rsidP="00773F85">
            <w:pPr>
              <w:jc w:val="center"/>
              <w:rPr>
                <w:rFonts w:ascii="Times" w:hAnsi="Times" w:cs="Times"/>
                <w:sz w:val="20"/>
                <w:szCs w:val="20"/>
              </w:rPr>
            </w:pPr>
            <w:r>
              <w:rPr>
                <w:rFonts w:ascii="Times" w:hAnsi="Times" w:cs="Times"/>
                <w:sz w:val="20"/>
                <w:szCs w:val="20"/>
              </w:rPr>
              <w:t>NO-NEW-REVENUE TAX RATE</w:t>
            </w:r>
          </w:p>
        </w:tc>
        <w:tc>
          <w:tcPr>
            <w:tcW w:w="5395" w:type="dxa"/>
          </w:tcPr>
          <w:p w14:paraId="786D3C53" w14:textId="68ECC1EE" w:rsidR="00773F85" w:rsidRDefault="00773F85" w:rsidP="00773F85">
            <w:pPr>
              <w:jc w:val="center"/>
              <w:rPr>
                <w:rFonts w:ascii="Times" w:hAnsi="Times" w:cs="Times"/>
                <w:sz w:val="20"/>
                <w:szCs w:val="20"/>
              </w:rPr>
            </w:pPr>
            <w:r w:rsidRPr="000F73AB">
              <w:rPr>
                <w:rFonts w:ascii="Times" w:hAnsi="Times" w:cs="Times"/>
                <w:sz w:val="20"/>
                <w:szCs w:val="20"/>
              </w:rPr>
              <w:t>$0.0</w:t>
            </w:r>
            <w:r>
              <w:rPr>
                <w:rFonts w:ascii="Times" w:hAnsi="Times" w:cs="Times"/>
                <w:sz w:val="20"/>
                <w:szCs w:val="20"/>
              </w:rPr>
              <w:t>47848</w:t>
            </w:r>
            <w:r w:rsidRPr="000F73AB">
              <w:rPr>
                <w:rFonts w:ascii="Times" w:hAnsi="Times" w:cs="Times"/>
                <w:sz w:val="20"/>
                <w:szCs w:val="20"/>
              </w:rPr>
              <w:t xml:space="preserve"> per $100</w:t>
            </w:r>
          </w:p>
        </w:tc>
      </w:tr>
      <w:tr w:rsidR="00773F85" w14:paraId="35EAD976" w14:textId="77777777" w:rsidTr="00AC67AE">
        <w:tc>
          <w:tcPr>
            <w:tcW w:w="5395" w:type="dxa"/>
            <w:vAlign w:val="center"/>
          </w:tcPr>
          <w:p w14:paraId="31D177C1" w14:textId="2B400874" w:rsidR="00773F85" w:rsidRDefault="00773F85" w:rsidP="00773F85">
            <w:pPr>
              <w:jc w:val="center"/>
              <w:rPr>
                <w:rFonts w:ascii="Times" w:hAnsi="Times" w:cs="Times"/>
                <w:sz w:val="20"/>
                <w:szCs w:val="20"/>
              </w:rPr>
            </w:pPr>
            <w:r>
              <w:rPr>
                <w:rFonts w:ascii="Times" w:hAnsi="Times" w:cs="Times"/>
                <w:sz w:val="20"/>
                <w:szCs w:val="20"/>
              </w:rPr>
              <w:t>VOTER-APPROVAL TAX RATE</w:t>
            </w:r>
          </w:p>
        </w:tc>
        <w:tc>
          <w:tcPr>
            <w:tcW w:w="5395" w:type="dxa"/>
          </w:tcPr>
          <w:p w14:paraId="4BEBF38A" w14:textId="40E0C042" w:rsidR="00773F85" w:rsidRDefault="00773F85" w:rsidP="00773F85">
            <w:pPr>
              <w:jc w:val="center"/>
              <w:rPr>
                <w:rFonts w:ascii="Times" w:hAnsi="Times" w:cs="Times"/>
                <w:sz w:val="20"/>
                <w:szCs w:val="20"/>
              </w:rPr>
            </w:pPr>
            <w:r w:rsidRPr="000F73AB">
              <w:rPr>
                <w:rFonts w:ascii="Times" w:hAnsi="Times" w:cs="Times"/>
                <w:sz w:val="20"/>
                <w:szCs w:val="20"/>
              </w:rPr>
              <w:t>$0.0</w:t>
            </w:r>
            <w:r>
              <w:rPr>
                <w:rFonts w:ascii="Times" w:hAnsi="Times" w:cs="Times"/>
                <w:sz w:val="20"/>
                <w:szCs w:val="20"/>
              </w:rPr>
              <w:t>49617</w:t>
            </w:r>
            <w:r w:rsidRPr="000F73AB">
              <w:rPr>
                <w:rFonts w:ascii="Times" w:hAnsi="Times" w:cs="Times"/>
                <w:sz w:val="20"/>
                <w:szCs w:val="20"/>
              </w:rPr>
              <w:t xml:space="preserve"> per $100</w:t>
            </w:r>
          </w:p>
        </w:tc>
      </w:tr>
      <w:tr w:rsidR="00773F85" w14:paraId="666CAAD9" w14:textId="77777777" w:rsidTr="00AC67AE">
        <w:tc>
          <w:tcPr>
            <w:tcW w:w="5395" w:type="dxa"/>
            <w:vAlign w:val="center"/>
          </w:tcPr>
          <w:p w14:paraId="0DA56607" w14:textId="0F24BF2E" w:rsidR="00773F85" w:rsidRDefault="00773F85" w:rsidP="00773F85">
            <w:pPr>
              <w:jc w:val="center"/>
              <w:rPr>
                <w:rFonts w:ascii="Times" w:hAnsi="Times" w:cs="Times"/>
                <w:sz w:val="20"/>
                <w:szCs w:val="20"/>
              </w:rPr>
            </w:pPr>
            <w:r>
              <w:rPr>
                <w:rFonts w:ascii="Times" w:hAnsi="Times" w:cs="Times"/>
                <w:sz w:val="20"/>
                <w:szCs w:val="20"/>
              </w:rPr>
              <w:t>DE MINIMIS RATE</w:t>
            </w:r>
          </w:p>
        </w:tc>
        <w:tc>
          <w:tcPr>
            <w:tcW w:w="5395" w:type="dxa"/>
          </w:tcPr>
          <w:p w14:paraId="1D47CC13" w14:textId="50D724C8" w:rsidR="00773F85" w:rsidRDefault="00773F85" w:rsidP="00773F85">
            <w:pPr>
              <w:jc w:val="center"/>
              <w:rPr>
                <w:rFonts w:ascii="Times" w:hAnsi="Times" w:cs="Times"/>
                <w:sz w:val="20"/>
                <w:szCs w:val="20"/>
              </w:rPr>
            </w:pPr>
            <w:r w:rsidRPr="000F73AB">
              <w:rPr>
                <w:rFonts w:ascii="Times" w:hAnsi="Times" w:cs="Times"/>
                <w:sz w:val="20"/>
                <w:szCs w:val="20"/>
              </w:rPr>
              <w:t>$0.057207 per $100</w:t>
            </w:r>
          </w:p>
        </w:tc>
      </w:tr>
    </w:tbl>
    <w:p w14:paraId="7848159B" w14:textId="0D7B7DBC" w:rsidR="00773F85" w:rsidRDefault="00773F85" w:rsidP="00F61D7C">
      <w:pPr>
        <w:spacing w:before="120" w:after="120"/>
        <w:rPr>
          <w:rFonts w:ascii="Times" w:hAnsi="Times" w:cs="Times"/>
          <w:sz w:val="20"/>
          <w:szCs w:val="20"/>
        </w:rPr>
      </w:pPr>
      <w:r>
        <w:rPr>
          <w:rFonts w:ascii="Times" w:hAnsi="Times" w:cs="Times"/>
          <w:sz w:val="20"/>
          <w:szCs w:val="20"/>
        </w:rPr>
        <w:t>The no-new-revenue tax rate is the tax rate for the 2024 tax year that will raise the same amount of property tax revenue for EMERGENCY SERVICES DISTRICT No. 4 from the same properties in both the 2023 tax year and the 2024 tax year.</w:t>
      </w:r>
    </w:p>
    <w:p w14:paraId="0C9859E9" w14:textId="6A971C5F" w:rsidR="00773F85" w:rsidRDefault="00773F85" w:rsidP="00F61D7C">
      <w:pPr>
        <w:spacing w:before="120" w:after="120"/>
        <w:rPr>
          <w:rFonts w:ascii="Times" w:hAnsi="Times" w:cs="Times"/>
          <w:sz w:val="20"/>
          <w:szCs w:val="20"/>
        </w:rPr>
      </w:pPr>
      <w:r>
        <w:rPr>
          <w:rFonts w:ascii="Times" w:hAnsi="Times" w:cs="Times"/>
          <w:sz w:val="20"/>
          <w:szCs w:val="20"/>
        </w:rPr>
        <w:t>The voter-approval tax rate is the highest tax rate that EMERGENCY SERVICES DISTRICT No. 4 may adopt without holding an election to seek voter approval of the rate, unless the de minimis rate for EMERGENCY SERVICES DISTRICT No. 4 exceeds the voter-approval tax rate for EMERGENCY SERVICES DISTRICT No. 4.</w:t>
      </w:r>
    </w:p>
    <w:p w14:paraId="23574561" w14:textId="2C05A0DF" w:rsidR="00773F85" w:rsidRDefault="00773F85" w:rsidP="00F61D7C">
      <w:pPr>
        <w:spacing w:before="120" w:after="120"/>
        <w:rPr>
          <w:rFonts w:ascii="Times" w:hAnsi="Times" w:cs="Times"/>
          <w:sz w:val="20"/>
          <w:szCs w:val="20"/>
        </w:rPr>
      </w:pPr>
      <w:r>
        <w:rPr>
          <w:rFonts w:ascii="Times" w:hAnsi="Times" w:cs="Times"/>
          <w:sz w:val="20"/>
          <w:szCs w:val="20"/>
        </w:rPr>
        <w:t>The de minimis rate is the rate equal to the sum of the no-new-revenue maintenance and operations rate for EMERGENCY SERVICES DISTRICT No. 4 t</w:t>
      </w:r>
      <w:r w:rsidR="00F61D7C">
        <w:rPr>
          <w:rFonts w:ascii="Times" w:hAnsi="Times" w:cs="Times"/>
          <w:sz w:val="20"/>
          <w:szCs w:val="20"/>
        </w:rPr>
        <w:t>he rate that will raise $500,000, and the current debt rate for EMERGENCY SERVICES DISTRICT No. 4.</w:t>
      </w:r>
    </w:p>
    <w:p w14:paraId="6D3D97CB" w14:textId="4BAA4307" w:rsidR="00F61D7C" w:rsidRDefault="00F61D7C" w:rsidP="00F61D7C">
      <w:pPr>
        <w:spacing w:before="120" w:after="120"/>
        <w:rPr>
          <w:rFonts w:ascii="Times" w:hAnsi="Times" w:cs="Times"/>
          <w:sz w:val="20"/>
          <w:szCs w:val="20"/>
        </w:rPr>
      </w:pPr>
      <w:r>
        <w:rPr>
          <w:rFonts w:ascii="Times" w:hAnsi="Times" w:cs="Times"/>
          <w:sz w:val="20"/>
          <w:szCs w:val="20"/>
        </w:rPr>
        <w:t>The proposed tax rate is greater than the no-new-revenue tax rate.  This means that EMERGENCY SERVICES DISTRICT No. 4 is proposing to increase property taxes for the 2024 tax year.</w:t>
      </w:r>
    </w:p>
    <w:p w14:paraId="1B7127BF" w14:textId="4FF4FD74" w:rsidR="00F61D7C" w:rsidRDefault="00F61D7C" w:rsidP="00F61D7C">
      <w:pPr>
        <w:spacing w:before="120" w:after="120"/>
        <w:rPr>
          <w:rFonts w:ascii="Times" w:hAnsi="Times" w:cs="Times"/>
          <w:color w:val="000000"/>
          <w:sz w:val="20"/>
          <w:szCs w:val="20"/>
        </w:rPr>
      </w:pPr>
      <w:r>
        <w:rPr>
          <w:rFonts w:ascii="Times" w:hAnsi="Times" w:cs="Times"/>
          <w:sz w:val="20"/>
          <w:szCs w:val="20"/>
        </w:rPr>
        <w:t xml:space="preserve">A PUBLIC HEARING ON THE PROPOSED TAX RATE WILL BE HELD ON AUGUST 26, 2024, at </w:t>
      </w:r>
      <w:r>
        <w:rPr>
          <w:rFonts w:ascii="Times" w:hAnsi="Times" w:cs="Times"/>
          <w:color w:val="000000"/>
          <w:sz w:val="20"/>
          <w:szCs w:val="20"/>
        </w:rPr>
        <w:t xml:space="preserve">7:00 P.M. at </w:t>
      </w:r>
      <w:r w:rsidRPr="00101152">
        <w:rPr>
          <w:rFonts w:ascii="Times" w:hAnsi="Times" w:cs="Times"/>
          <w:color w:val="000000"/>
          <w:sz w:val="20"/>
          <w:szCs w:val="20"/>
        </w:rPr>
        <w:t>28036 Old Boerne Stage Road, Boerne, Texas, 78006</w:t>
      </w:r>
      <w:r>
        <w:rPr>
          <w:rFonts w:ascii="Times" w:hAnsi="Times" w:cs="Times"/>
          <w:color w:val="000000"/>
          <w:sz w:val="20"/>
          <w:szCs w:val="20"/>
        </w:rPr>
        <w:t>.</w:t>
      </w:r>
    </w:p>
    <w:p w14:paraId="5AE59BED" w14:textId="36831291" w:rsidR="00F61D7C" w:rsidRDefault="00F61D7C" w:rsidP="00F61D7C">
      <w:pPr>
        <w:spacing w:before="120" w:after="120"/>
        <w:rPr>
          <w:rFonts w:ascii="Times" w:hAnsi="Times" w:cs="Times"/>
          <w:sz w:val="20"/>
          <w:szCs w:val="20"/>
        </w:rPr>
      </w:pPr>
      <w:r>
        <w:rPr>
          <w:rFonts w:ascii="Times" w:hAnsi="Times" w:cs="Times"/>
          <w:color w:val="000000"/>
          <w:sz w:val="20"/>
          <w:szCs w:val="20"/>
        </w:rPr>
        <w:t xml:space="preserve">The proposed tax rate is greater than the voter-approval tax rate but not greater than the de minimis rate.  However, the proposed tax rate exceeds the rate that allows voters to petition for an election under Section 26.075, Tax Code.  If </w:t>
      </w:r>
      <w:r>
        <w:rPr>
          <w:rFonts w:ascii="Times" w:hAnsi="Times" w:cs="Times"/>
          <w:sz w:val="20"/>
          <w:szCs w:val="20"/>
        </w:rPr>
        <w:t>EMERGENCY SERVICES DISTRICT No. 4 adopts the proposed tax rate, the qualified voters of the EMERGENCY SERVICES DISTRICT No. 4 may petition the EMERGENCY SERVICES DISTRICT No. 4 to require an election to be held to determine whether to reduce the proposed tax rate.  If a majority of the voters reject the proposed tax rate, the tax rate of the EMERGENCY SERVICES DISTRICT No. 4 will be the voter-approval tax rate of the EMERGENCY SERVICES DISTRICT No. 4.</w:t>
      </w:r>
    </w:p>
    <w:p w14:paraId="187C7863" w14:textId="3A8C2874" w:rsidR="00F61D7C" w:rsidRDefault="00F61D7C" w:rsidP="00DC4110">
      <w:pPr>
        <w:spacing w:after="120"/>
        <w:jc w:val="center"/>
        <w:rPr>
          <w:rFonts w:ascii="Times" w:hAnsi="Times" w:cs="Times"/>
          <w:sz w:val="20"/>
          <w:szCs w:val="20"/>
        </w:rPr>
      </w:pPr>
      <w:r>
        <w:rPr>
          <w:rFonts w:ascii="Times" w:hAnsi="Times" w:cs="Times"/>
          <w:sz w:val="20"/>
          <w:szCs w:val="20"/>
        </w:rPr>
        <w:t>YOUR TAXES OWED UNDER ANY OF THE TAX RATES MENTIONED ABOVE CAN BE CALCULATED AS FOLLOWS:</w:t>
      </w:r>
    </w:p>
    <w:p w14:paraId="394FDF34" w14:textId="3B746EAE" w:rsidR="00F61D7C" w:rsidRDefault="00F61D7C" w:rsidP="00DC4110">
      <w:pPr>
        <w:spacing w:after="120"/>
        <w:jc w:val="center"/>
        <w:rPr>
          <w:rFonts w:ascii="Times" w:hAnsi="Times" w:cs="Times"/>
          <w:sz w:val="20"/>
          <w:szCs w:val="20"/>
        </w:rPr>
      </w:pPr>
      <w:r>
        <w:rPr>
          <w:rFonts w:ascii="Times" w:hAnsi="Times" w:cs="Times"/>
          <w:sz w:val="20"/>
          <w:szCs w:val="20"/>
        </w:rPr>
        <w:t xml:space="preserve">Property tax amount = </w:t>
      </w:r>
      <w:proofErr w:type="gramStart"/>
      <w:r>
        <w:rPr>
          <w:rFonts w:ascii="Times" w:hAnsi="Times" w:cs="Times"/>
          <w:sz w:val="20"/>
          <w:szCs w:val="20"/>
        </w:rPr>
        <w:t>( tax</w:t>
      </w:r>
      <w:proofErr w:type="gramEnd"/>
      <w:r>
        <w:rPr>
          <w:rFonts w:ascii="Times" w:hAnsi="Times" w:cs="Times"/>
          <w:sz w:val="20"/>
          <w:szCs w:val="20"/>
        </w:rPr>
        <w:t xml:space="preserve"> rate ) x ( taxable value of your property ) / 100</w:t>
      </w:r>
    </w:p>
    <w:p w14:paraId="653D2B5F" w14:textId="55C31779" w:rsidR="00DC4110" w:rsidRDefault="00DC4110" w:rsidP="00DC4110">
      <w:pPr>
        <w:spacing w:after="0"/>
        <w:rPr>
          <w:rFonts w:ascii="Times" w:hAnsi="Times" w:cs="Times"/>
          <w:sz w:val="20"/>
          <w:szCs w:val="20"/>
        </w:rPr>
      </w:pPr>
      <w:r>
        <w:rPr>
          <w:rFonts w:ascii="Times" w:hAnsi="Times" w:cs="Times"/>
          <w:sz w:val="20"/>
          <w:szCs w:val="20"/>
        </w:rPr>
        <w:t>FOR the proposal:  Ron Haygood, Arthur Rasmussen, Ken Lopez-Maddox, Stephen Surratt, John Huber</w:t>
      </w:r>
    </w:p>
    <w:p w14:paraId="1979F7E2" w14:textId="69933C4F" w:rsidR="00DC4110" w:rsidRDefault="00DC4110" w:rsidP="00DC4110">
      <w:pPr>
        <w:spacing w:after="0"/>
        <w:rPr>
          <w:rFonts w:ascii="Times" w:hAnsi="Times" w:cs="Times"/>
          <w:sz w:val="20"/>
          <w:szCs w:val="20"/>
        </w:rPr>
      </w:pPr>
      <w:r>
        <w:rPr>
          <w:rFonts w:ascii="Times" w:hAnsi="Times" w:cs="Times"/>
          <w:sz w:val="20"/>
          <w:szCs w:val="20"/>
        </w:rPr>
        <w:t>AGAINST the proposal:  None</w:t>
      </w:r>
    </w:p>
    <w:p w14:paraId="799E061C" w14:textId="38916965" w:rsidR="00DC4110" w:rsidRDefault="00DC4110" w:rsidP="00DC4110">
      <w:pPr>
        <w:spacing w:after="0"/>
        <w:rPr>
          <w:rFonts w:ascii="Times" w:hAnsi="Times" w:cs="Times"/>
          <w:sz w:val="20"/>
          <w:szCs w:val="20"/>
        </w:rPr>
      </w:pPr>
      <w:r>
        <w:rPr>
          <w:rFonts w:ascii="Times" w:hAnsi="Times" w:cs="Times"/>
          <w:sz w:val="20"/>
          <w:szCs w:val="20"/>
        </w:rPr>
        <w:t>PRESENT and not voting:  None</w:t>
      </w:r>
    </w:p>
    <w:p w14:paraId="38F97DD8" w14:textId="3EDF323E" w:rsidR="00DC4110" w:rsidRDefault="00DC4110" w:rsidP="00DC4110">
      <w:pPr>
        <w:spacing w:after="120"/>
        <w:rPr>
          <w:rFonts w:ascii="Times" w:hAnsi="Times" w:cs="Times"/>
          <w:sz w:val="20"/>
          <w:szCs w:val="20"/>
        </w:rPr>
      </w:pPr>
      <w:r>
        <w:rPr>
          <w:rFonts w:ascii="Times" w:hAnsi="Times" w:cs="Times"/>
          <w:sz w:val="20"/>
          <w:szCs w:val="20"/>
        </w:rPr>
        <w:t>ABSENT:  None</w:t>
      </w:r>
    </w:p>
    <w:p w14:paraId="4ED9EC23" w14:textId="6210409D" w:rsidR="00DC4110" w:rsidRDefault="00DC4110" w:rsidP="00DC4110">
      <w:pPr>
        <w:widowControl w:val="0"/>
        <w:autoSpaceDE w:val="0"/>
        <w:autoSpaceDN w:val="0"/>
        <w:adjustRightInd w:val="0"/>
        <w:spacing w:after="120" w:line="195" w:lineRule="atLeast"/>
        <w:rPr>
          <w:rFonts w:ascii="Times" w:hAnsi="Times" w:cs="Times"/>
          <w:color w:val="000000"/>
          <w:sz w:val="20"/>
          <w:szCs w:val="20"/>
        </w:rPr>
      </w:pPr>
      <w:r>
        <w:rPr>
          <w:rFonts w:ascii="Times" w:hAnsi="Times" w:cs="Times"/>
          <w:color w:val="000000"/>
          <w:sz w:val="20"/>
          <w:szCs w:val="20"/>
        </w:rPr>
        <w:t>Visit Texas.gov/Taxes to find a link to your local property tax database on which you can easily access information regarding your property taxes, including information about tax rates and scheduled public hearings of each entity that taxes your property.</w:t>
      </w:r>
    </w:p>
    <w:p w14:paraId="51B12A8C" w14:textId="157BF104" w:rsidR="00DC4110" w:rsidRPr="00DC4110" w:rsidRDefault="00DC4110" w:rsidP="00DC4110">
      <w:pPr>
        <w:widowControl w:val="0"/>
        <w:autoSpaceDE w:val="0"/>
        <w:autoSpaceDN w:val="0"/>
        <w:adjustRightInd w:val="0"/>
        <w:spacing w:after="0" w:line="195" w:lineRule="atLeast"/>
        <w:rPr>
          <w:rFonts w:ascii="Times" w:hAnsi="Times" w:cs="Times"/>
          <w:color w:val="000000"/>
          <w:sz w:val="20"/>
          <w:szCs w:val="20"/>
        </w:rPr>
      </w:pPr>
      <w:r w:rsidRPr="00DC4110">
        <w:rPr>
          <w:rFonts w:ascii="Times" w:hAnsi="Times" w:cs="Times"/>
          <w:color w:val="000000"/>
          <w:sz w:val="20"/>
          <w:szCs w:val="20"/>
        </w:rPr>
        <w:t xml:space="preserve">The 86th Texas Legislature modified the </w:t>
      </w:r>
      <w:proofErr w:type="gramStart"/>
      <w:r w:rsidRPr="00DC4110">
        <w:rPr>
          <w:rFonts w:ascii="Times" w:hAnsi="Times" w:cs="Times"/>
          <w:color w:val="000000"/>
          <w:sz w:val="20"/>
          <w:szCs w:val="20"/>
        </w:rPr>
        <w:t>manner in which</w:t>
      </w:r>
      <w:proofErr w:type="gramEnd"/>
      <w:r w:rsidRPr="00DC4110">
        <w:rPr>
          <w:rFonts w:ascii="Times" w:hAnsi="Times" w:cs="Times"/>
          <w:color w:val="000000"/>
          <w:sz w:val="20"/>
          <w:szCs w:val="20"/>
        </w:rPr>
        <w:t xml:space="preserve"> the voter-approval tax rate is calculated to limit the rate of growth of property taxes in the state. </w:t>
      </w:r>
    </w:p>
    <w:p w14:paraId="2C41D301" w14:textId="482E3D7E" w:rsidR="00DC4110" w:rsidRDefault="00DC4110" w:rsidP="00DC4110">
      <w:pPr>
        <w:spacing w:before="120" w:after="120"/>
        <w:rPr>
          <w:rFonts w:ascii="Times" w:hAnsi="Times" w:cs="Times"/>
          <w:sz w:val="20"/>
          <w:szCs w:val="20"/>
        </w:rPr>
      </w:pPr>
      <w:r>
        <w:rPr>
          <w:rFonts w:ascii="Times" w:hAnsi="Times" w:cs="Times"/>
          <w:sz w:val="20"/>
          <w:szCs w:val="20"/>
        </w:rPr>
        <w:t>The following table compares the taxes imposed on the average residence homestead by EMERGENCY SERVICES DISTRICT No. 4 last year to the taxes proposed to be imposed on the average residence homestead by the EMERGENCY SERVICES DISTRICT No. 4 this year.</w:t>
      </w:r>
    </w:p>
    <w:tbl>
      <w:tblPr>
        <w:tblStyle w:val="TableGrid"/>
        <w:tblW w:w="0" w:type="auto"/>
        <w:jc w:val="center"/>
        <w:tblLook w:val="04A0" w:firstRow="1" w:lastRow="0" w:firstColumn="1" w:lastColumn="0" w:noHBand="0" w:noVBand="1"/>
      </w:tblPr>
      <w:tblGrid>
        <w:gridCol w:w="3051"/>
        <w:gridCol w:w="1116"/>
        <w:gridCol w:w="1116"/>
        <w:gridCol w:w="2755"/>
      </w:tblGrid>
      <w:tr w:rsidR="008D2513" w14:paraId="64EE727D" w14:textId="77777777" w:rsidTr="008D2513">
        <w:trPr>
          <w:jc w:val="center"/>
        </w:trPr>
        <w:tc>
          <w:tcPr>
            <w:tcW w:w="0" w:type="auto"/>
            <w:vAlign w:val="center"/>
          </w:tcPr>
          <w:p w14:paraId="4D9939A2" w14:textId="77777777" w:rsidR="008D2513" w:rsidRDefault="008D2513" w:rsidP="008D2513">
            <w:pPr>
              <w:jc w:val="center"/>
              <w:rPr>
                <w:rFonts w:ascii="Times" w:hAnsi="Times" w:cs="Times"/>
                <w:sz w:val="20"/>
                <w:szCs w:val="20"/>
              </w:rPr>
            </w:pPr>
          </w:p>
        </w:tc>
        <w:tc>
          <w:tcPr>
            <w:tcW w:w="0" w:type="auto"/>
            <w:vAlign w:val="center"/>
          </w:tcPr>
          <w:p w14:paraId="0A44D698" w14:textId="0DAB0A4B" w:rsidR="008D2513" w:rsidRDefault="008D2513" w:rsidP="008D2513">
            <w:pPr>
              <w:jc w:val="center"/>
              <w:rPr>
                <w:rFonts w:ascii="Times" w:hAnsi="Times" w:cs="Times"/>
                <w:sz w:val="20"/>
                <w:szCs w:val="20"/>
              </w:rPr>
            </w:pPr>
            <w:r>
              <w:rPr>
                <w:rFonts w:ascii="Times" w:hAnsi="Times" w:cs="Times"/>
                <w:sz w:val="20"/>
                <w:szCs w:val="20"/>
              </w:rPr>
              <w:t>2023</w:t>
            </w:r>
          </w:p>
        </w:tc>
        <w:tc>
          <w:tcPr>
            <w:tcW w:w="0" w:type="auto"/>
            <w:vAlign w:val="center"/>
          </w:tcPr>
          <w:p w14:paraId="0DE9376D" w14:textId="7CC2C248" w:rsidR="008D2513" w:rsidRDefault="008D2513" w:rsidP="008D2513">
            <w:pPr>
              <w:jc w:val="center"/>
              <w:rPr>
                <w:rFonts w:ascii="Times" w:hAnsi="Times" w:cs="Times"/>
                <w:sz w:val="20"/>
                <w:szCs w:val="20"/>
              </w:rPr>
            </w:pPr>
            <w:r>
              <w:rPr>
                <w:rFonts w:ascii="Times" w:hAnsi="Times" w:cs="Times"/>
                <w:sz w:val="20"/>
                <w:szCs w:val="20"/>
              </w:rPr>
              <w:t>2024</w:t>
            </w:r>
          </w:p>
        </w:tc>
        <w:tc>
          <w:tcPr>
            <w:tcW w:w="0" w:type="auto"/>
            <w:vAlign w:val="center"/>
          </w:tcPr>
          <w:p w14:paraId="46FFF889" w14:textId="0CE66B80" w:rsidR="008D2513" w:rsidRDefault="008D2513" w:rsidP="008D2513">
            <w:pPr>
              <w:jc w:val="center"/>
              <w:rPr>
                <w:rFonts w:ascii="Times" w:hAnsi="Times" w:cs="Times"/>
                <w:sz w:val="20"/>
                <w:szCs w:val="20"/>
              </w:rPr>
            </w:pPr>
            <w:r>
              <w:rPr>
                <w:rFonts w:ascii="Times" w:hAnsi="Times" w:cs="Times"/>
                <w:sz w:val="20"/>
                <w:szCs w:val="20"/>
              </w:rPr>
              <w:t>Change</w:t>
            </w:r>
          </w:p>
        </w:tc>
      </w:tr>
      <w:tr w:rsidR="008D2513" w14:paraId="558654B3" w14:textId="77777777" w:rsidTr="008D2513">
        <w:trPr>
          <w:jc w:val="center"/>
        </w:trPr>
        <w:tc>
          <w:tcPr>
            <w:tcW w:w="0" w:type="auto"/>
            <w:vAlign w:val="center"/>
          </w:tcPr>
          <w:p w14:paraId="2AAB13A2" w14:textId="0EE36405" w:rsidR="008D2513" w:rsidRPr="008D2513" w:rsidRDefault="008D2513" w:rsidP="008D2513">
            <w:pPr>
              <w:rPr>
                <w:rFonts w:ascii="Times" w:hAnsi="Times" w:cs="Times"/>
                <w:b/>
                <w:bCs/>
                <w:sz w:val="20"/>
                <w:szCs w:val="20"/>
              </w:rPr>
            </w:pPr>
            <w:r>
              <w:rPr>
                <w:rFonts w:ascii="Times" w:hAnsi="Times" w:cs="Times"/>
                <w:b/>
                <w:bCs/>
                <w:sz w:val="20"/>
                <w:szCs w:val="20"/>
              </w:rPr>
              <w:t>Total tax rate (per $100 of value)</w:t>
            </w:r>
          </w:p>
        </w:tc>
        <w:tc>
          <w:tcPr>
            <w:tcW w:w="0" w:type="auto"/>
            <w:vAlign w:val="center"/>
          </w:tcPr>
          <w:p w14:paraId="001CE8C0" w14:textId="1B5DA38D" w:rsidR="008D2513" w:rsidRDefault="008D2513" w:rsidP="008D2513">
            <w:pPr>
              <w:jc w:val="center"/>
              <w:rPr>
                <w:rFonts w:ascii="Times" w:hAnsi="Times" w:cs="Times"/>
                <w:sz w:val="20"/>
                <w:szCs w:val="20"/>
              </w:rPr>
            </w:pPr>
            <w:r>
              <w:rPr>
                <w:rFonts w:ascii="Times" w:hAnsi="Times" w:cs="Times"/>
                <w:sz w:val="20"/>
                <w:szCs w:val="20"/>
              </w:rPr>
              <w:t>$0.049895</w:t>
            </w:r>
          </w:p>
        </w:tc>
        <w:tc>
          <w:tcPr>
            <w:tcW w:w="0" w:type="auto"/>
            <w:vAlign w:val="center"/>
          </w:tcPr>
          <w:p w14:paraId="7019B862" w14:textId="0DA3A01F" w:rsidR="008D2513" w:rsidRDefault="008D2513" w:rsidP="008D2513">
            <w:pPr>
              <w:jc w:val="center"/>
              <w:rPr>
                <w:rFonts w:ascii="Times" w:hAnsi="Times" w:cs="Times"/>
                <w:sz w:val="20"/>
                <w:szCs w:val="20"/>
              </w:rPr>
            </w:pPr>
            <w:r>
              <w:rPr>
                <w:rFonts w:ascii="Times" w:hAnsi="Times" w:cs="Times"/>
                <w:sz w:val="20"/>
                <w:szCs w:val="20"/>
              </w:rPr>
              <w:t>$0.057207</w:t>
            </w:r>
          </w:p>
        </w:tc>
        <w:tc>
          <w:tcPr>
            <w:tcW w:w="0" w:type="auto"/>
            <w:vAlign w:val="center"/>
          </w:tcPr>
          <w:p w14:paraId="25C36F02" w14:textId="57FDEFFB" w:rsidR="008D2513" w:rsidRDefault="0080033E" w:rsidP="008D2513">
            <w:pPr>
              <w:jc w:val="center"/>
              <w:rPr>
                <w:rFonts w:ascii="Times" w:hAnsi="Times" w:cs="Times"/>
                <w:sz w:val="20"/>
                <w:szCs w:val="20"/>
              </w:rPr>
            </w:pPr>
            <w:r>
              <w:rPr>
                <w:rFonts w:ascii="Times" w:hAnsi="Times" w:cs="Times"/>
                <w:sz w:val="20"/>
                <w:szCs w:val="20"/>
              </w:rPr>
              <w:t>Increase of $0.007312 per $100</w:t>
            </w:r>
          </w:p>
        </w:tc>
      </w:tr>
      <w:tr w:rsidR="008D2513" w14:paraId="19266647" w14:textId="77777777" w:rsidTr="008D2513">
        <w:trPr>
          <w:jc w:val="center"/>
        </w:trPr>
        <w:tc>
          <w:tcPr>
            <w:tcW w:w="0" w:type="auto"/>
            <w:vAlign w:val="center"/>
          </w:tcPr>
          <w:p w14:paraId="1D6C40FA" w14:textId="6D46985B" w:rsidR="008D2513" w:rsidRPr="008D2513" w:rsidRDefault="008D2513" w:rsidP="008D2513">
            <w:pPr>
              <w:rPr>
                <w:rFonts w:ascii="Times" w:hAnsi="Times" w:cs="Times"/>
                <w:b/>
                <w:bCs/>
                <w:sz w:val="20"/>
                <w:szCs w:val="20"/>
              </w:rPr>
            </w:pPr>
            <w:r>
              <w:rPr>
                <w:rFonts w:ascii="Times" w:hAnsi="Times" w:cs="Times"/>
                <w:b/>
                <w:bCs/>
                <w:sz w:val="20"/>
                <w:szCs w:val="20"/>
              </w:rPr>
              <w:t>Average homestead taxable value</w:t>
            </w:r>
          </w:p>
        </w:tc>
        <w:tc>
          <w:tcPr>
            <w:tcW w:w="0" w:type="auto"/>
            <w:vAlign w:val="center"/>
          </w:tcPr>
          <w:p w14:paraId="5D058A84" w14:textId="5ABD1E64" w:rsidR="008D2513" w:rsidRDefault="008D2513" w:rsidP="008D2513">
            <w:pPr>
              <w:jc w:val="center"/>
              <w:rPr>
                <w:rFonts w:ascii="Times" w:hAnsi="Times" w:cs="Times"/>
                <w:sz w:val="20"/>
                <w:szCs w:val="20"/>
              </w:rPr>
            </w:pPr>
            <w:r>
              <w:rPr>
                <w:rFonts w:ascii="Times" w:hAnsi="Times" w:cs="Times"/>
                <w:sz w:val="20"/>
                <w:szCs w:val="20"/>
              </w:rPr>
              <w:t>$507,460</w:t>
            </w:r>
          </w:p>
        </w:tc>
        <w:tc>
          <w:tcPr>
            <w:tcW w:w="0" w:type="auto"/>
            <w:vAlign w:val="center"/>
          </w:tcPr>
          <w:p w14:paraId="389FBFAC" w14:textId="1F1B277C" w:rsidR="008D2513" w:rsidRDefault="008D2513" w:rsidP="008D2513">
            <w:pPr>
              <w:jc w:val="center"/>
              <w:rPr>
                <w:rFonts w:ascii="Times" w:hAnsi="Times" w:cs="Times"/>
                <w:sz w:val="20"/>
                <w:szCs w:val="20"/>
              </w:rPr>
            </w:pPr>
            <w:r>
              <w:rPr>
                <w:rFonts w:ascii="Times" w:hAnsi="Times" w:cs="Times"/>
                <w:sz w:val="20"/>
                <w:szCs w:val="20"/>
              </w:rPr>
              <w:t>$550,556</w:t>
            </w:r>
          </w:p>
        </w:tc>
        <w:tc>
          <w:tcPr>
            <w:tcW w:w="0" w:type="auto"/>
            <w:vAlign w:val="center"/>
          </w:tcPr>
          <w:p w14:paraId="6388FB87" w14:textId="6E167BD8" w:rsidR="008D2513" w:rsidRDefault="0080033E" w:rsidP="008D2513">
            <w:pPr>
              <w:jc w:val="center"/>
              <w:rPr>
                <w:rFonts w:ascii="Times" w:hAnsi="Times" w:cs="Times"/>
                <w:sz w:val="20"/>
                <w:szCs w:val="20"/>
              </w:rPr>
            </w:pPr>
            <w:r>
              <w:rPr>
                <w:rFonts w:ascii="Times" w:hAnsi="Times" w:cs="Times"/>
                <w:sz w:val="20"/>
                <w:szCs w:val="20"/>
              </w:rPr>
              <w:t xml:space="preserve">Increase of </w:t>
            </w:r>
            <w:r w:rsidR="008F0ADF">
              <w:rPr>
                <w:rFonts w:ascii="Times" w:hAnsi="Times" w:cs="Times"/>
                <w:sz w:val="20"/>
                <w:szCs w:val="20"/>
              </w:rPr>
              <w:t>8.49%</w:t>
            </w:r>
          </w:p>
        </w:tc>
      </w:tr>
      <w:tr w:rsidR="008D2513" w14:paraId="1498BB4A" w14:textId="77777777" w:rsidTr="008D2513">
        <w:trPr>
          <w:jc w:val="center"/>
        </w:trPr>
        <w:tc>
          <w:tcPr>
            <w:tcW w:w="0" w:type="auto"/>
            <w:vAlign w:val="center"/>
          </w:tcPr>
          <w:p w14:paraId="712E6B69" w14:textId="60459DFB" w:rsidR="008D2513" w:rsidRPr="008D2513" w:rsidRDefault="008D2513" w:rsidP="008D2513">
            <w:pPr>
              <w:rPr>
                <w:rFonts w:ascii="Times" w:hAnsi="Times" w:cs="Times"/>
                <w:b/>
                <w:bCs/>
                <w:sz w:val="20"/>
                <w:szCs w:val="20"/>
              </w:rPr>
            </w:pPr>
            <w:r>
              <w:rPr>
                <w:rFonts w:ascii="Times" w:hAnsi="Times" w:cs="Times"/>
                <w:b/>
                <w:bCs/>
                <w:sz w:val="20"/>
                <w:szCs w:val="20"/>
              </w:rPr>
              <w:t>Tax on average homestead</w:t>
            </w:r>
          </w:p>
        </w:tc>
        <w:tc>
          <w:tcPr>
            <w:tcW w:w="0" w:type="auto"/>
            <w:vAlign w:val="center"/>
          </w:tcPr>
          <w:p w14:paraId="1CDB8F23" w14:textId="3E9A7817" w:rsidR="008D2513" w:rsidRDefault="008D2513" w:rsidP="008D2513">
            <w:pPr>
              <w:jc w:val="center"/>
              <w:rPr>
                <w:rFonts w:ascii="Times" w:hAnsi="Times" w:cs="Times"/>
                <w:sz w:val="20"/>
                <w:szCs w:val="20"/>
              </w:rPr>
            </w:pPr>
            <w:r>
              <w:rPr>
                <w:rFonts w:ascii="Times" w:hAnsi="Times" w:cs="Times"/>
                <w:sz w:val="20"/>
                <w:szCs w:val="20"/>
              </w:rPr>
              <w:t>$</w:t>
            </w:r>
            <w:r w:rsidR="0080033E">
              <w:rPr>
                <w:rFonts w:ascii="Times" w:hAnsi="Times" w:cs="Times"/>
                <w:sz w:val="20"/>
                <w:szCs w:val="20"/>
              </w:rPr>
              <w:t>253.20</w:t>
            </w:r>
          </w:p>
        </w:tc>
        <w:tc>
          <w:tcPr>
            <w:tcW w:w="0" w:type="auto"/>
            <w:vAlign w:val="center"/>
          </w:tcPr>
          <w:p w14:paraId="2E0EEC16" w14:textId="28214C13" w:rsidR="008D2513" w:rsidRDefault="0080033E" w:rsidP="008D2513">
            <w:pPr>
              <w:jc w:val="center"/>
              <w:rPr>
                <w:rFonts w:ascii="Times" w:hAnsi="Times" w:cs="Times"/>
                <w:sz w:val="20"/>
                <w:szCs w:val="20"/>
              </w:rPr>
            </w:pPr>
            <w:r>
              <w:rPr>
                <w:rFonts w:ascii="Times" w:hAnsi="Times" w:cs="Times"/>
                <w:sz w:val="20"/>
                <w:szCs w:val="20"/>
              </w:rPr>
              <w:t>$314.96</w:t>
            </w:r>
          </w:p>
        </w:tc>
        <w:tc>
          <w:tcPr>
            <w:tcW w:w="0" w:type="auto"/>
            <w:vAlign w:val="center"/>
          </w:tcPr>
          <w:p w14:paraId="0D83CE94" w14:textId="36903CA6" w:rsidR="008D2513" w:rsidRDefault="008F0ADF" w:rsidP="008D2513">
            <w:pPr>
              <w:jc w:val="center"/>
              <w:rPr>
                <w:rFonts w:ascii="Times" w:hAnsi="Times" w:cs="Times"/>
                <w:sz w:val="20"/>
                <w:szCs w:val="20"/>
              </w:rPr>
            </w:pPr>
            <w:r>
              <w:rPr>
                <w:rFonts w:ascii="Times" w:hAnsi="Times" w:cs="Times"/>
                <w:sz w:val="20"/>
                <w:szCs w:val="20"/>
              </w:rPr>
              <w:t>Increase of $61.76</w:t>
            </w:r>
          </w:p>
        </w:tc>
      </w:tr>
      <w:tr w:rsidR="008D2513" w14:paraId="250AFE18" w14:textId="77777777" w:rsidTr="008D2513">
        <w:trPr>
          <w:jc w:val="center"/>
        </w:trPr>
        <w:tc>
          <w:tcPr>
            <w:tcW w:w="0" w:type="auto"/>
            <w:vAlign w:val="center"/>
          </w:tcPr>
          <w:p w14:paraId="4255D036" w14:textId="3BD8E673" w:rsidR="008D2513" w:rsidRDefault="008D2513" w:rsidP="008D2513">
            <w:pPr>
              <w:rPr>
                <w:rFonts w:ascii="Times" w:hAnsi="Times" w:cs="Times"/>
                <w:sz w:val="20"/>
                <w:szCs w:val="20"/>
              </w:rPr>
            </w:pPr>
            <w:r>
              <w:rPr>
                <w:rFonts w:ascii="Times" w:hAnsi="Times" w:cs="Times"/>
                <w:b/>
                <w:bCs/>
                <w:sz w:val="20"/>
                <w:szCs w:val="20"/>
              </w:rPr>
              <w:t>Total tax levy on all properties</w:t>
            </w:r>
          </w:p>
        </w:tc>
        <w:tc>
          <w:tcPr>
            <w:tcW w:w="0" w:type="auto"/>
            <w:vAlign w:val="center"/>
          </w:tcPr>
          <w:p w14:paraId="712188A6" w14:textId="115794D8" w:rsidR="008D2513" w:rsidRDefault="008D2513" w:rsidP="008D2513">
            <w:pPr>
              <w:jc w:val="center"/>
              <w:rPr>
                <w:rFonts w:ascii="Times" w:hAnsi="Times" w:cs="Times"/>
                <w:sz w:val="20"/>
                <w:szCs w:val="20"/>
              </w:rPr>
            </w:pPr>
            <w:r>
              <w:rPr>
                <w:rFonts w:ascii="Times" w:hAnsi="Times" w:cs="Times"/>
                <w:sz w:val="20"/>
                <w:szCs w:val="20"/>
              </w:rPr>
              <w:t>$2,</w:t>
            </w:r>
            <w:r w:rsidR="0080033E">
              <w:rPr>
                <w:rFonts w:ascii="Times" w:hAnsi="Times" w:cs="Times"/>
                <w:sz w:val="20"/>
                <w:szCs w:val="20"/>
              </w:rPr>
              <w:t>477,964</w:t>
            </w:r>
          </w:p>
        </w:tc>
        <w:tc>
          <w:tcPr>
            <w:tcW w:w="0" w:type="auto"/>
            <w:vAlign w:val="center"/>
          </w:tcPr>
          <w:p w14:paraId="2E842AC3" w14:textId="3F6963A2" w:rsidR="008D2513" w:rsidRDefault="008F0ADF" w:rsidP="008D2513">
            <w:pPr>
              <w:jc w:val="center"/>
              <w:rPr>
                <w:rFonts w:ascii="Times" w:hAnsi="Times" w:cs="Times"/>
                <w:sz w:val="20"/>
                <w:szCs w:val="20"/>
              </w:rPr>
            </w:pPr>
            <w:r>
              <w:rPr>
                <w:rFonts w:ascii="Times" w:hAnsi="Times" w:cs="Times"/>
                <w:sz w:val="20"/>
                <w:szCs w:val="20"/>
              </w:rPr>
              <w:t>$</w:t>
            </w:r>
            <w:r w:rsidRPr="008F0ADF">
              <w:rPr>
                <w:rFonts w:ascii="Times" w:hAnsi="Times" w:cs="Times"/>
                <w:sz w:val="20"/>
                <w:szCs w:val="20"/>
              </w:rPr>
              <w:t>3,086,484</w:t>
            </w:r>
          </w:p>
        </w:tc>
        <w:tc>
          <w:tcPr>
            <w:tcW w:w="0" w:type="auto"/>
            <w:vAlign w:val="center"/>
          </w:tcPr>
          <w:p w14:paraId="1F694865" w14:textId="47B514DD" w:rsidR="008D2513" w:rsidRDefault="008F0ADF" w:rsidP="008D2513">
            <w:pPr>
              <w:jc w:val="center"/>
              <w:rPr>
                <w:rFonts w:ascii="Times" w:hAnsi="Times" w:cs="Times"/>
                <w:sz w:val="20"/>
                <w:szCs w:val="20"/>
              </w:rPr>
            </w:pPr>
            <w:r>
              <w:rPr>
                <w:rFonts w:ascii="Times" w:hAnsi="Times" w:cs="Times"/>
                <w:sz w:val="20"/>
                <w:szCs w:val="20"/>
              </w:rPr>
              <w:t>Increase of $608,520</w:t>
            </w:r>
          </w:p>
        </w:tc>
      </w:tr>
    </w:tbl>
    <w:p w14:paraId="003F7021" w14:textId="1FFBEB8B" w:rsidR="00DC4110" w:rsidRPr="00773F85" w:rsidRDefault="008F0ADF" w:rsidP="00DC4110">
      <w:pPr>
        <w:spacing w:before="120" w:after="120"/>
        <w:rPr>
          <w:rFonts w:ascii="Times" w:hAnsi="Times" w:cs="Times"/>
          <w:sz w:val="20"/>
          <w:szCs w:val="20"/>
        </w:rPr>
      </w:pPr>
      <w:r>
        <w:rPr>
          <w:rFonts w:ascii="Times" w:hAnsi="Times" w:cs="Times"/>
          <w:sz w:val="20"/>
          <w:szCs w:val="20"/>
        </w:rPr>
        <w:t xml:space="preserve">For assistance with tax calculations, please contact the tax assessor for </w:t>
      </w:r>
      <w:r>
        <w:rPr>
          <w:rFonts w:ascii="Times" w:hAnsi="Times" w:cs="Times"/>
          <w:sz w:val="20"/>
          <w:szCs w:val="20"/>
        </w:rPr>
        <w:t>EMERGENCY SERVICES DISTRICT No. 4</w:t>
      </w:r>
      <w:r>
        <w:rPr>
          <w:rFonts w:ascii="Times" w:hAnsi="Times" w:cs="Times"/>
          <w:sz w:val="20"/>
          <w:szCs w:val="20"/>
        </w:rPr>
        <w:t xml:space="preserve"> at 210-335-6600 or </w:t>
      </w:r>
      <w:hyperlink r:id="rId4" w:history="1">
        <w:r w:rsidRPr="00D970DE">
          <w:rPr>
            <w:rStyle w:val="Hyperlink"/>
            <w:rFonts w:ascii="Times" w:hAnsi="Times" w:cs="Times"/>
            <w:sz w:val="20"/>
            <w:szCs w:val="20"/>
          </w:rPr>
          <w:t>taxoffice@bexar.org</w:t>
        </w:r>
      </w:hyperlink>
      <w:r>
        <w:rPr>
          <w:rFonts w:ascii="Times" w:hAnsi="Times" w:cs="Times"/>
          <w:sz w:val="20"/>
          <w:szCs w:val="20"/>
        </w:rPr>
        <w:t xml:space="preserve">, or visit </w:t>
      </w:r>
      <w:hyperlink r:id="rId5" w:history="1">
        <w:r w:rsidRPr="00D970DE">
          <w:rPr>
            <w:rStyle w:val="Hyperlink"/>
            <w:rFonts w:ascii="Times" w:hAnsi="Times" w:cs="Times"/>
            <w:sz w:val="20"/>
            <w:szCs w:val="20"/>
          </w:rPr>
          <w:t>home.bexar.org/tax</w:t>
        </w:r>
      </w:hyperlink>
      <w:r>
        <w:rPr>
          <w:rFonts w:ascii="Times" w:hAnsi="Times" w:cs="Times"/>
          <w:sz w:val="20"/>
          <w:szCs w:val="20"/>
        </w:rPr>
        <w:t xml:space="preserve"> for more information.</w:t>
      </w:r>
    </w:p>
    <w:sectPr w:rsidR="00DC4110" w:rsidRPr="00773F85" w:rsidSect="00773F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85"/>
    <w:rsid w:val="000B284B"/>
    <w:rsid w:val="00117A54"/>
    <w:rsid w:val="0034193C"/>
    <w:rsid w:val="005E1352"/>
    <w:rsid w:val="00773F85"/>
    <w:rsid w:val="007F6D80"/>
    <w:rsid w:val="0080033E"/>
    <w:rsid w:val="008D2513"/>
    <w:rsid w:val="008F0ADF"/>
    <w:rsid w:val="00C56C7D"/>
    <w:rsid w:val="00DC4110"/>
    <w:rsid w:val="00EF2C8F"/>
    <w:rsid w:val="00F6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52D2"/>
  <w15:chartTrackingRefBased/>
  <w15:docId w15:val="{31EAD3D9-EA32-4047-B7AE-65374FDA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F85"/>
    <w:rPr>
      <w:rFonts w:eastAsiaTheme="majorEastAsia" w:cstheme="majorBidi"/>
      <w:color w:val="272727" w:themeColor="text1" w:themeTint="D8"/>
    </w:rPr>
  </w:style>
  <w:style w:type="paragraph" w:styleId="Title">
    <w:name w:val="Title"/>
    <w:basedOn w:val="Normal"/>
    <w:next w:val="Normal"/>
    <w:link w:val="TitleChar"/>
    <w:uiPriority w:val="10"/>
    <w:qFormat/>
    <w:rsid w:val="00773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F85"/>
    <w:pPr>
      <w:spacing w:before="160"/>
      <w:jc w:val="center"/>
    </w:pPr>
    <w:rPr>
      <w:i/>
      <w:iCs/>
      <w:color w:val="404040" w:themeColor="text1" w:themeTint="BF"/>
    </w:rPr>
  </w:style>
  <w:style w:type="character" w:customStyle="1" w:styleId="QuoteChar">
    <w:name w:val="Quote Char"/>
    <w:basedOn w:val="DefaultParagraphFont"/>
    <w:link w:val="Quote"/>
    <w:uiPriority w:val="29"/>
    <w:rsid w:val="00773F85"/>
    <w:rPr>
      <w:i/>
      <w:iCs/>
      <w:color w:val="404040" w:themeColor="text1" w:themeTint="BF"/>
    </w:rPr>
  </w:style>
  <w:style w:type="paragraph" w:styleId="ListParagraph">
    <w:name w:val="List Paragraph"/>
    <w:basedOn w:val="Normal"/>
    <w:uiPriority w:val="34"/>
    <w:qFormat/>
    <w:rsid w:val="00773F85"/>
    <w:pPr>
      <w:ind w:left="720"/>
      <w:contextualSpacing/>
    </w:pPr>
  </w:style>
  <w:style w:type="character" w:styleId="IntenseEmphasis">
    <w:name w:val="Intense Emphasis"/>
    <w:basedOn w:val="DefaultParagraphFont"/>
    <w:uiPriority w:val="21"/>
    <w:qFormat/>
    <w:rsid w:val="00773F85"/>
    <w:rPr>
      <w:i/>
      <w:iCs/>
      <w:color w:val="0F4761" w:themeColor="accent1" w:themeShade="BF"/>
    </w:rPr>
  </w:style>
  <w:style w:type="paragraph" w:styleId="IntenseQuote">
    <w:name w:val="Intense Quote"/>
    <w:basedOn w:val="Normal"/>
    <w:next w:val="Normal"/>
    <w:link w:val="IntenseQuoteChar"/>
    <w:uiPriority w:val="30"/>
    <w:qFormat/>
    <w:rsid w:val="00773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F85"/>
    <w:rPr>
      <w:i/>
      <w:iCs/>
      <w:color w:val="0F4761" w:themeColor="accent1" w:themeShade="BF"/>
    </w:rPr>
  </w:style>
  <w:style w:type="character" w:styleId="IntenseReference">
    <w:name w:val="Intense Reference"/>
    <w:basedOn w:val="DefaultParagraphFont"/>
    <w:uiPriority w:val="32"/>
    <w:qFormat/>
    <w:rsid w:val="00773F85"/>
    <w:rPr>
      <w:b/>
      <w:bCs/>
      <w:smallCaps/>
      <w:color w:val="0F4761" w:themeColor="accent1" w:themeShade="BF"/>
      <w:spacing w:val="5"/>
    </w:rPr>
  </w:style>
  <w:style w:type="table" w:styleId="TableGrid">
    <w:name w:val="Table Grid"/>
    <w:basedOn w:val="TableNormal"/>
    <w:uiPriority w:val="39"/>
    <w:rsid w:val="0077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0ADF"/>
    <w:rPr>
      <w:color w:val="467886" w:themeColor="hyperlink"/>
      <w:u w:val="single"/>
    </w:rPr>
  </w:style>
  <w:style w:type="character" w:styleId="UnresolvedMention">
    <w:name w:val="Unresolved Mention"/>
    <w:basedOn w:val="DefaultParagraphFont"/>
    <w:uiPriority w:val="99"/>
    <w:semiHidden/>
    <w:unhideWhenUsed/>
    <w:rsid w:val="008F0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me.bexar.org/tax" TargetMode="External"/><Relationship Id="rId4" Type="http://schemas.openxmlformats.org/officeDocument/2006/relationships/hyperlink" Target="mailto:taxoffice@bex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Laljer</dc:creator>
  <cp:keywords/>
  <dc:description/>
  <cp:lastModifiedBy>Charles Laljer</cp:lastModifiedBy>
  <cp:revision>2</cp:revision>
  <dcterms:created xsi:type="dcterms:W3CDTF">2024-08-13T22:58:00Z</dcterms:created>
  <dcterms:modified xsi:type="dcterms:W3CDTF">2024-08-14T02:40:00Z</dcterms:modified>
</cp:coreProperties>
</file>