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116AF" w:rsidR="00526D16" w:rsidP="00526D16" w:rsidRDefault="00526D16" w14:paraId="4B838A89" w14:textId="7A558E09">
      <w:pPr>
        <w:jc w:val="center"/>
        <w:rPr>
          <w:b/>
        </w:rPr>
      </w:pPr>
      <w:r w:rsidRPr="007116AF">
        <w:rPr>
          <w:b/>
        </w:rPr>
        <w:t xml:space="preserve">MCCPTA Committee Work Plan </w:t>
      </w:r>
    </w:p>
    <w:p w:rsidRPr="007116AF" w:rsidR="00526D16" w:rsidP="00526D16" w:rsidRDefault="00526D16" w14:paraId="461BFD21" w14:textId="77777777">
      <w:pPr>
        <w:rPr>
          <w:b/>
        </w:rPr>
      </w:pPr>
    </w:p>
    <w:p w:rsidRPr="007116AF" w:rsidR="00526D16" w:rsidP="00526D16" w:rsidRDefault="00526D16" w14:paraId="3ACAC516" w14:textId="3F36DFAA">
      <w:pPr>
        <w:rPr>
          <w:b/>
        </w:rPr>
      </w:pPr>
      <w:r w:rsidRPr="007116AF">
        <w:rPr>
          <w:b/>
        </w:rPr>
        <w:t xml:space="preserve">Committee: </w:t>
      </w:r>
      <w:r w:rsidRPr="007116AF" w:rsidR="000332D9">
        <w:rPr>
          <w:b/>
        </w:rPr>
        <w:t xml:space="preserve">Health and Wellness </w:t>
      </w:r>
    </w:p>
    <w:p w:rsidR="001C1B08" w:rsidP="00526D16" w:rsidRDefault="00EE5E62" w14:paraId="304649C1" w14:textId="23DCB08B">
      <w:r w:rsidRPr="007116AF">
        <w:t xml:space="preserve">Safe Tech Subcommittee is sending its own work plan and budget request separately. </w:t>
      </w:r>
      <w:r w:rsidR="001C1B08">
        <w:t xml:space="preserve">The workplan for </w:t>
      </w:r>
      <w:r w:rsidRPr="007116AF" w:rsidR="001C1B08">
        <w:t>Substance Use Prevention Subcommittee</w:t>
      </w:r>
      <w:r w:rsidR="001C1B08">
        <w:t xml:space="preserve"> </w:t>
      </w:r>
      <w:proofErr w:type="gramStart"/>
      <w:r w:rsidR="001C1B08">
        <w:t>is separately appended</w:t>
      </w:r>
      <w:proofErr w:type="gramEnd"/>
      <w:r w:rsidR="001C1B08">
        <w:t xml:space="preserve"> at the end of this document. </w:t>
      </w:r>
    </w:p>
    <w:p w:rsidRPr="007116AF" w:rsidR="00EE5E62" w:rsidP="00D73E22" w:rsidRDefault="00EE5E62" w14:paraId="6DD21C35" w14:textId="77777777">
      <w:pPr>
        <w:rPr>
          <w:b/>
        </w:rPr>
      </w:pPr>
    </w:p>
    <w:p w:rsidRPr="007116AF" w:rsidR="00B4590E" w:rsidP="00D73E22" w:rsidRDefault="00D73E22" w14:paraId="0FF7BEA1" w14:textId="153AA4F9">
      <w:pPr>
        <w:rPr>
          <w:b/>
        </w:rPr>
      </w:pPr>
      <w:r w:rsidRPr="007116AF">
        <w:rPr>
          <w:b/>
        </w:rPr>
        <w:t>Chair</w:t>
      </w:r>
      <w:r w:rsidRPr="007116AF" w:rsidR="00526D16">
        <w:rPr>
          <w:b/>
        </w:rPr>
        <w:t xml:space="preserve">: </w:t>
      </w:r>
      <w:r w:rsidRPr="007116AF" w:rsidR="000332D9">
        <w:rPr>
          <w:b/>
        </w:rPr>
        <w:t>Sunil Dasgupta</w:t>
      </w:r>
    </w:p>
    <w:p w:rsidR="001C1B08" w:rsidP="00D73E22" w:rsidRDefault="001C1B08" w14:paraId="6DB9E9FA" w14:textId="77777777">
      <w:pPr>
        <w:rPr>
          <w:b/>
        </w:rPr>
      </w:pPr>
      <w:r w:rsidRPr="007116AF">
        <w:rPr>
          <w:b/>
        </w:rPr>
        <w:t>Subcommittee</w:t>
      </w:r>
      <w:r w:rsidRPr="007116AF" w:rsidR="00EE5E62">
        <w:rPr>
          <w:b/>
        </w:rPr>
        <w:t xml:space="preserve"> Chairs: </w:t>
      </w:r>
    </w:p>
    <w:p w:rsidR="001C1B08" w:rsidP="00D73E22" w:rsidRDefault="00EE5E62" w14:paraId="372F9957" w14:textId="56FF38DC">
      <w:pPr>
        <w:rPr>
          <w:b/>
        </w:rPr>
      </w:pPr>
      <w:r w:rsidRPr="007116AF">
        <w:rPr>
          <w:b/>
        </w:rPr>
        <w:t>School Nutrition: Lynna Amano</w:t>
      </w:r>
    </w:p>
    <w:p w:rsidR="001C1B08" w:rsidP="00D73E22" w:rsidRDefault="00EE5E62" w14:paraId="6AFB9A0A" w14:textId="4D1C7227">
      <w:pPr>
        <w:rPr>
          <w:b/>
        </w:rPr>
      </w:pPr>
      <w:r w:rsidRPr="007116AF">
        <w:rPr>
          <w:b/>
        </w:rPr>
        <w:t>Substance Use Prevention: Laura Mitchell</w:t>
      </w:r>
    </w:p>
    <w:p w:rsidRPr="007116AF" w:rsidR="00EE5E62" w:rsidP="202483EB" w:rsidRDefault="00EE5E62" w14:paraId="05D7AA98" w14:textId="247135BB">
      <w:pPr>
        <w:rPr>
          <w:b w:val="1"/>
          <w:bCs w:val="1"/>
        </w:rPr>
      </w:pPr>
      <w:r w:rsidRPr="202483EB" w:rsidR="202483EB">
        <w:rPr>
          <w:b w:val="1"/>
          <w:bCs w:val="1"/>
        </w:rPr>
        <w:t xml:space="preserve">Safe Technology: Lisa Cline and </w:t>
      </w:r>
      <w:proofErr w:type="spellStart"/>
      <w:r w:rsidRPr="202483EB" w:rsidR="202483EB">
        <w:rPr>
          <w:b w:val="1"/>
          <w:bCs w:val="1"/>
        </w:rPr>
        <w:t>Assya</w:t>
      </w:r>
      <w:proofErr w:type="spellEnd"/>
      <w:r w:rsidRPr="202483EB" w:rsidR="202483EB">
        <w:rPr>
          <w:b w:val="1"/>
          <w:bCs w:val="1"/>
        </w:rPr>
        <w:t xml:space="preserve"> Pascalev</w:t>
      </w:r>
      <w:r w:rsidRPr="202483EB" w:rsidR="202483EB">
        <w:rPr>
          <w:b w:val="1"/>
          <w:bCs w:val="1"/>
        </w:rPr>
        <w:t xml:space="preserve">  </w:t>
      </w:r>
    </w:p>
    <w:p w:rsidRPr="007116AF" w:rsidR="00EE5E62" w:rsidP="00D73E22" w:rsidRDefault="00EE5E62" w14:paraId="1238EF17" w14:textId="77777777">
      <w:pPr>
        <w:rPr>
          <w:b/>
          <w:lang w:val="fr-FR"/>
        </w:rPr>
      </w:pPr>
    </w:p>
    <w:p w:rsidRPr="007116AF" w:rsidR="00526D16" w:rsidP="00526D16" w:rsidRDefault="00526D16" w14:paraId="1FD45FBE" w14:textId="3B60DDBC">
      <w:pPr>
        <w:rPr>
          <w:b/>
          <w:lang w:val="fr-FR"/>
        </w:rPr>
      </w:pPr>
      <w:proofErr w:type="gramStart"/>
      <w:r w:rsidRPr="007116AF">
        <w:rPr>
          <w:b/>
          <w:lang w:val="fr-FR"/>
        </w:rPr>
        <w:t>Email:</w:t>
      </w:r>
      <w:proofErr w:type="gramEnd"/>
      <w:r w:rsidRPr="007116AF">
        <w:rPr>
          <w:b/>
          <w:lang w:val="fr-FR"/>
        </w:rPr>
        <w:t xml:space="preserve"> </w:t>
      </w:r>
      <w:r w:rsidRPr="007116AF" w:rsidR="000332D9">
        <w:rPr>
          <w:b/>
          <w:lang w:val="fr-FR"/>
        </w:rPr>
        <w:t>sunildasgupta@hotmail.com</w:t>
      </w:r>
      <w:r w:rsidRPr="007116AF" w:rsidR="00B4590E">
        <w:rPr>
          <w:b/>
          <w:lang w:val="fr-FR"/>
        </w:rPr>
        <w:t xml:space="preserve"> </w:t>
      </w:r>
      <w:r w:rsidRPr="007116AF" w:rsidR="008F3FB9">
        <w:rPr>
          <w:b/>
          <w:lang w:val="fr-FR"/>
        </w:rPr>
        <w:tab/>
      </w:r>
      <w:r w:rsidRPr="007116AF" w:rsidR="008F3FB9">
        <w:rPr>
          <w:b/>
          <w:lang w:val="fr-FR"/>
        </w:rPr>
        <w:tab/>
      </w:r>
    </w:p>
    <w:p w:rsidRPr="007116AF" w:rsidR="00B4590E" w:rsidP="00D73E22" w:rsidRDefault="00D73E22" w14:paraId="3169CAD9" w14:textId="7219D52F">
      <w:pPr>
        <w:rPr>
          <w:b/>
        </w:rPr>
      </w:pPr>
      <w:r w:rsidRPr="007116AF">
        <w:rPr>
          <w:b/>
        </w:rPr>
        <w:t>Phone</w:t>
      </w:r>
      <w:r w:rsidRPr="007116AF" w:rsidR="00526D16">
        <w:rPr>
          <w:b/>
        </w:rPr>
        <w:t xml:space="preserve">: </w:t>
      </w:r>
      <w:r w:rsidRPr="007116AF" w:rsidR="000332D9">
        <w:rPr>
          <w:b/>
        </w:rPr>
        <w:t>410-913-4272</w:t>
      </w:r>
    </w:p>
    <w:p w:rsidRPr="007116AF" w:rsidR="00526D16" w:rsidP="00526D16" w:rsidRDefault="00526D16" w14:paraId="5345D277" w14:textId="77777777">
      <w:pPr>
        <w:rPr>
          <w:b/>
        </w:rPr>
      </w:pPr>
    </w:p>
    <w:p w:rsidRPr="007116AF" w:rsidR="00526D16" w:rsidP="00526D16" w:rsidRDefault="00526D16" w14:paraId="38A8031C" w14:textId="77777777">
      <w:pPr>
        <w:rPr>
          <w:b/>
        </w:rPr>
      </w:pPr>
      <w:r w:rsidRPr="007116AF">
        <w:rPr>
          <w:b/>
        </w:rPr>
        <w:t>Vision</w:t>
      </w:r>
    </w:p>
    <w:p w:rsidRPr="007116AF" w:rsidR="004B75DF" w:rsidP="004B75DF" w:rsidRDefault="004B75DF" w14:paraId="2ACB39A6" w14:textId="68E740D0">
      <w:pPr>
        <w:rPr>
          <w:bCs/>
          <w:iCs/>
        </w:rPr>
      </w:pPr>
      <w:r w:rsidRPr="007116AF">
        <w:rPr>
          <w:bCs/>
          <w:iCs/>
        </w:rPr>
        <w:t xml:space="preserve">We support comprehensive health and wellness for </w:t>
      </w:r>
      <w:r w:rsidRPr="004B75DF">
        <w:rPr>
          <w:bCs/>
          <w:iCs/>
        </w:rPr>
        <w:t>every child</w:t>
      </w:r>
      <w:r w:rsidRPr="007116AF">
        <w:rPr>
          <w:bCs/>
          <w:iCs/>
        </w:rPr>
        <w:t xml:space="preserve"> in MCPS so that they may reach their full</w:t>
      </w:r>
      <w:r w:rsidRPr="004B75DF">
        <w:rPr>
          <w:bCs/>
          <w:iCs/>
        </w:rPr>
        <w:t xml:space="preserve"> potential</w:t>
      </w:r>
      <w:r w:rsidRPr="007116AF">
        <w:rPr>
          <w:bCs/>
          <w:iCs/>
        </w:rPr>
        <w:t>. We engage and empower students, families and communities, advocate to school and public officials, and stay abreast of and propagate best practices in youth health and wellness.</w:t>
      </w:r>
    </w:p>
    <w:p w:rsidRPr="007116AF" w:rsidR="00526D16" w:rsidP="00526D16" w:rsidRDefault="00526D16" w14:paraId="07D32420" w14:textId="77777777"/>
    <w:p w:rsidRPr="007116AF" w:rsidR="00526D16" w:rsidP="00526D16" w:rsidRDefault="00526D16" w14:paraId="4A1D9FD7" w14:textId="77777777">
      <w:pPr>
        <w:rPr>
          <w:b/>
        </w:rPr>
      </w:pPr>
      <w:r w:rsidRPr="007116AF">
        <w:rPr>
          <w:b/>
        </w:rPr>
        <w:t>Goals</w:t>
      </w:r>
    </w:p>
    <w:p w:rsidRPr="007116AF" w:rsidR="000A0E53" w:rsidP="000A0E53" w:rsidRDefault="00B240A8" w14:paraId="3AD07EC6" w14:textId="3C63A750">
      <w:pPr>
        <w:rPr>
          <w:iCs/>
        </w:rPr>
      </w:pPr>
      <w:r w:rsidRPr="007116AF">
        <w:rPr>
          <w:iCs/>
        </w:rPr>
        <w:t xml:space="preserve">Push for better health and wellness support within MCPS for all students, focusing specifically on </w:t>
      </w:r>
      <w:r w:rsidRPr="007116AF" w:rsidR="000A0E53">
        <w:rPr>
          <w:iCs/>
        </w:rPr>
        <w:t xml:space="preserve">trauma-informed practice, social-emotional learning, opioids and vaping, and improved access to and quality of school food. </w:t>
      </w:r>
    </w:p>
    <w:p w:rsidRPr="007116AF" w:rsidR="000A0E53" w:rsidP="00526D16" w:rsidRDefault="000A0E53" w14:paraId="67ABC3DF" w14:textId="77777777">
      <w:pPr>
        <w:rPr>
          <w:iCs/>
        </w:rPr>
      </w:pPr>
    </w:p>
    <w:p w:rsidRPr="007116AF" w:rsidR="004B75DF" w:rsidP="00526D16" w:rsidRDefault="000A0E53" w14:paraId="3CEBC6C4" w14:textId="3D553950">
      <w:pPr>
        <w:rPr>
          <w:iCs/>
        </w:rPr>
      </w:pPr>
      <w:r w:rsidRPr="007116AF">
        <w:rPr>
          <w:iCs/>
        </w:rPr>
        <w:t>Support MCPS’ BeWell365 program</w:t>
      </w:r>
    </w:p>
    <w:p w:rsidRPr="007116AF" w:rsidR="007116AF" w:rsidP="00526D16" w:rsidRDefault="007116AF" w14:paraId="0984871C" w14:textId="3C3FF6DE">
      <w:pPr>
        <w:rPr>
          <w:iCs/>
        </w:rPr>
      </w:pPr>
    </w:p>
    <w:p w:rsidRPr="007116AF" w:rsidR="007116AF" w:rsidP="00526D16" w:rsidRDefault="007116AF" w14:paraId="7CEE773D" w14:textId="15EBDE32">
      <w:pPr>
        <w:rPr>
          <w:iCs/>
        </w:rPr>
      </w:pPr>
      <w:r w:rsidRPr="001C1B08">
        <w:rPr>
          <w:b/>
          <w:iCs/>
        </w:rPr>
        <w:t>School Nutrition Subcommittee</w:t>
      </w:r>
      <w:r w:rsidRPr="007116AF">
        <w:rPr>
          <w:iCs/>
        </w:rPr>
        <w:t xml:space="preserve"> is interested investigating and advocating around the following areas:</w:t>
      </w:r>
    </w:p>
    <w:p w:rsidRPr="007116AF" w:rsidR="007116AF" w:rsidP="007116AF" w:rsidRDefault="007116AF" w14:paraId="6FA6F468" w14:textId="77777777">
      <w:pPr>
        <w:rPr>
          <w:iCs/>
        </w:rPr>
      </w:pPr>
      <w:r w:rsidRPr="007116AF">
        <w:rPr>
          <w:iCs/>
        </w:rPr>
        <w:t>1) Snack and Vending Machines (both contents and availability)</w:t>
      </w:r>
    </w:p>
    <w:p w:rsidRPr="007116AF" w:rsidR="007116AF" w:rsidP="007116AF" w:rsidRDefault="007116AF" w14:paraId="72FB2992" w14:textId="77777777">
      <w:pPr>
        <w:rPr>
          <w:iCs/>
        </w:rPr>
      </w:pPr>
      <w:r w:rsidRPr="007116AF">
        <w:rPr>
          <w:iCs/>
        </w:rPr>
        <w:t xml:space="preserve">2) Staggered Lunch times in elementary schools </w:t>
      </w:r>
      <w:proofErr w:type="gramStart"/>
      <w:r w:rsidRPr="007116AF">
        <w:rPr>
          <w:iCs/>
        </w:rPr>
        <w:t>as a means to</w:t>
      </w:r>
      <w:proofErr w:type="gramEnd"/>
      <w:r w:rsidRPr="007116AF">
        <w:rPr>
          <w:iCs/>
        </w:rPr>
        <w:t xml:space="preserve"> equitable access for all students (those dependent on School lunches have their full lunch period to eat their lunch)</w:t>
      </w:r>
    </w:p>
    <w:p w:rsidRPr="007116AF" w:rsidR="007116AF" w:rsidP="007116AF" w:rsidRDefault="007116AF" w14:paraId="6FAB89C0" w14:textId="57543329">
      <w:pPr>
        <w:rPr>
          <w:iCs/>
        </w:rPr>
      </w:pPr>
      <w:r w:rsidRPr="007116AF">
        <w:rPr>
          <w:iCs/>
        </w:rPr>
        <w:t xml:space="preserve">3) A healthy, quick Grab and Go </w:t>
      </w:r>
      <w:proofErr w:type="gramStart"/>
      <w:r w:rsidRPr="007116AF">
        <w:rPr>
          <w:iCs/>
        </w:rPr>
        <w:t>option</w:t>
      </w:r>
      <w:proofErr w:type="gramEnd"/>
      <w:r w:rsidRPr="007116AF">
        <w:rPr>
          <w:iCs/>
        </w:rPr>
        <w:t xml:space="preserve"> (brown bag) provided by DFNS or catered by a restaurant for kids who need to meet with teachers, participate in tutoring, or study during lunch.) </w:t>
      </w:r>
    </w:p>
    <w:p w:rsidRPr="007116AF" w:rsidR="007116AF" w:rsidP="007116AF" w:rsidRDefault="007116AF" w14:paraId="22D080FD" w14:textId="77777777">
      <w:pPr>
        <w:rPr>
          <w:iCs/>
        </w:rPr>
      </w:pPr>
      <w:r w:rsidRPr="007116AF">
        <w:rPr>
          <w:iCs/>
        </w:rPr>
        <w:t>4)Food waste/composting.</w:t>
      </w:r>
    </w:p>
    <w:p w:rsidRPr="007116AF" w:rsidR="003437E8" w:rsidP="00526D16" w:rsidRDefault="003437E8" w14:paraId="0AC8ADA8" w14:textId="77777777"/>
    <w:p w:rsidRPr="007116AF" w:rsidR="00526D16" w:rsidP="00526D16" w:rsidRDefault="00526D16" w14:paraId="4FBAC186" w14:textId="77777777">
      <w:pPr>
        <w:rPr>
          <w:b/>
        </w:rPr>
      </w:pPr>
      <w:r w:rsidRPr="007116AF">
        <w:rPr>
          <w:b/>
        </w:rPr>
        <w:t>Action Steps</w:t>
      </w:r>
    </w:p>
    <w:p w:rsidRPr="007116AF" w:rsidR="000A0E53" w:rsidP="000A0E53" w:rsidRDefault="000A0E53" w14:paraId="1AEE1ED7" w14:textId="4BA864D3">
      <w:pPr>
        <w:pStyle w:val="ListParagraph"/>
        <w:numPr>
          <w:ilvl w:val="0"/>
          <w:numId w:val="4"/>
        </w:numPr>
        <w:rPr>
          <w:iCs/>
        </w:rPr>
      </w:pPr>
      <w:r w:rsidRPr="007116AF">
        <w:rPr>
          <w:iCs/>
        </w:rPr>
        <w:t xml:space="preserve">Organize 2020 Mental Health and Wellness Forum. Date Jan 11, 2020. Snow date: Jan 24, 2020. </w:t>
      </w:r>
    </w:p>
    <w:p w:rsidRPr="007116AF" w:rsidR="000A0E53" w:rsidP="000A0E53" w:rsidRDefault="007116AF" w14:paraId="1630C933" w14:textId="7E99E19B">
      <w:pPr>
        <w:pStyle w:val="ListParagraph"/>
        <w:numPr>
          <w:ilvl w:val="0"/>
          <w:numId w:val="4"/>
        </w:numPr>
        <w:rPr>
          <w:iCs/>
        </w:rPr>
      </w:pPr>
      <w:r w:rsidRPr="007116AF">
        <w:rPr>
          <w:iCs/>
        </w:rPr>
        <w:t>Organize p</w:t>
      </w:r>
      <w:r w:rsidRPr="007116AF" w:rsidR="000A0E53">
        <w:rPr>
          <w:iCs/>
        </w:rPr>
        <w:t>ostcard writing campaign on opioid prescription abuse</w:t>
      </w:r>
      <w:r w:rsidR="001C1B08">
        <w:rPr>
          <w:iCs/>
        </w:rPr>
        <w:t>.</w:t>
      </w:r>
    </w:p>
    <w:p w:rsidRPr="007116AF" w:rsidR="000A0E53" w:rsidP="000A0E53" w:rsidRDefault="000A0E53" w14:paraId="4FB6B13B" w14:textId="6BCBBB07">
      <w:pPr>
        <w:pStyle w:val="ListParagraph"/>
        <w:numPr>
          <w:ilvl w:val="0"/>
          <w:numId w:val="4"/>
        </w:numPr>
        <w:rPr>
          <w:iCs/>
        </w:rPr>
      </w:pPr>
      <w:r w:rsidRPr="007116AF">
        <w:rPr>
          <w:iCs/>
        </w:rPr>
        <w:lastRenderedPageBreak/>
        <w:t>Meet with stakeholder groups across various work areas inside and outside MCPS</w:t>
      </w:r>
      <w:r w:rsidRPr="007116AF" w:rsidR="007116AF">
        <w:rPr>
          <w:iCs/>
        </w:rPr>
        <w:t xml:space="preserve">, including but not exclusively OSFSE, CAO, OSSI, DHHS, County Council, CE, </w:t>
      </w:r>
      <w:proofErr w:type="spellStart"/>
      <w:r w:rsidRPr="007116AF" w:rsidR="007116AF">
        <w:rPr>
          <w:iCs/>
        </w:rPr>
        <w:t>MoCo</w:t>
      </w:r>
      <w:proofErr w:type="spellEnd"/>
      <w:r w:rsidRPr="007116AF" w:rsidR="007116AF">
        <w:rPr>
          <w:iCs/>
        </w:rPr>
        <w:t xml:space="preserve"> delegation to Annapolis</w:t>
      </w:r>
    </w:p>
    <w:p w:rsidRPr="007116AF" w:rsidR="007116AF" w:rsidP="007116AF" w:rsidRDefault="007116AF" w14:paraId="768E0395" w14:textId="69B58DFF">
      <w:pPr>
        <w:pStyle w:val="ListParagraph"/>
        <w:numPr>
          <w:ilvl w:val="0"/>
          <w:numId w:val="4"/>
        </w:numPr>
        <w:rPr>
          <w:iCs/>
        </w:rPr>
      </w:pPr>
      <w:r w:rsidRPr="007116AF">
        <w:rPr>
          <w:iCs/>
        </w:rPr>
        <w:t>School Nutrition Subcommittee: Planning meetings with interested stake holders, advocacy at public BOE and County Council hearings, as well as other means of advocacy and investigation.</w:t>
      </w:r>
    </w:p>
    <w:p w:rsidRPr="007116AF" w:rsidR="00526D16" w:rsidP="00CA26B2" w:rsidRDefault="00526D16" w14:paraId="24CBF0D6" w14:textId="77777777"/>
    <w:p w:rsidRPr="007116AF" w:rsidR="004A58CF" w:rsidP="00CA26B2" w:rsidRDefault="004A58CF" w14:paraId="3EE31450" w14:textId="77777777">
      <w:pPr>
        <w:rPr>
          <w:b/>
        </w:rPr>
      </w:pPr>
      <w:r w:rsidRPr="007116AF">
        <w:rPr>
          <w:b/>
        </w:rPr>
        <w:t>Meeting Schedule</w:t>
      </w:r>
    </w:p>
    <w:p w:rsidRPr="007116AF" w:rsidR="007116AF" w:rsidP="007116AF" w:rsidRDefault="007116AF" w14:paraId="579C2230" w14:textId="1BD86F78">
      <w:r w:rsidRPr="007116AF">
        <w:t>As necessary in most cases.</w:t>
      </w:r>
    </w:p>
    <w:p w:rsidRPr="007116AF" w:rsidR="007116AF" w:rsidP="007116AF" w:rsidRDefault="007116AF" w14:paraId="5BDD9C91" w14:textId="64F4FFD2">
      <w:r>
        <w:rPr>
          <w:iCs/>
        </w:rPr>
        <w:t xml:space="preserve">School Nutrition </w:t>
      </w:r>
      <w:r w:rsidRPr="007116AF">
        <w:rPr>
          <w:iCs/>
        </w:rPr>
        <w:t>plan</w:t>
      </w:r>
      <w:r>
        <w:rPr>
          <w:iCs/>
        </w:rPr>
        <w:t>s</w:t>
      </w:r>
      <w:r w:rsidRPr="007116AF">
        <w:rPr>
          <w:iCs/>
        </w:rPr>
        <w:t xml:space="preserve"> to hold monthly meetings with at least 4-in person meetings and many virtual meetings. </w:t>
      </w:r>
    </w:p>
    <w:p w:rsidRPr="007116AF" w:rsidR="00526D16" w:rsidP="00D73E22" w:rsidRDefault="004A58CF" w14:paraId="15FF1678" w14:textId="77777777">
      <w:r w:rsidRPr="007116AF">
        <w:tab/>
      </w:r>
    </w:p>
    <w:p w:rsidRPr="007116AF" w:rsidR="008C63FE" w:rsidP="00526D16" w:rsidRDefault="001C1B08" w14:paraId="0A052B8E" w14:textId="13DDD900">
      <w:pPr>
        <w:rPr>
          <w:b/>
        </w:rPr>
      </w:pPr>
      <w:r>
        <w:rPr>
          <w:b/>
        </w:rPr>
        <w:t>Budget (including all subcommittees)</w:t>
      </w:r>
    </w:p>
    <w:p w:rsidR="00CA26B2" w:rsidP="00526D16" w:rsidRDefault="007116AF" w14:paraId="0364902D" w14:textId="7CFA72FF">
      <w:r>
        <w:t>Mental Health and Wellness Forum: $3,000</w:t>
      </w:r>
    </w:p>
    <w:p w:rsidR="001C1B08" w:rsidP="00526D16" w:rsidRDefault="001C1B08" w14:paraId="1C33B0AA" w14:textId="0D5060EC">
      <w:r>
        <w:t>Substance Use Prevention Subcommittee: $1000</w:t>
      </w:r>
    </w:p>
    <w:p w:rsidR="001C1B08" w:rsidP="00526D16" w:rsidRDefault="001C1B08" w14:paraId="5FA2FC39" w14:textId="07EB9956">
      <w:r>
        <w:t>Safe Technology Subcommittee: $1400</w:t>
      </w:r>
    </w:p>
    <w:p w:rsidR="001C1B08" w:rsidP="001C1B08" w:rsidRDefault="001C1B08" w14:paraId="3DC162E1" w14:textId="300D5A0E">
      <w:r>
        <w:t>Meeting room reservation, materials, and refreshments for other meetings: $1,500</w:t>
      </w:r>
    </w:p>
    <w:p w:rsidR="0064789F" w:rsidP="001C1B08" w:rsidRDefault="0064789F" w14:paraId="0B448C5A" w14:textId="7C428419">
      <w:r>
        <w:t xml:space="preserve">Total: </w:t>
      </w:r>
      <w:r w:rsidR="00B17108">
        <w:t>$5900</w:t>
      </w:r>
      <w:bookmarkStart w:name="_GoBack" w:id="0"/>
      <w:bookmarkEnd w:id="0"/>
    </w:p>
    <w:p w:rsidRPr="007116AF" w:rsidR="007116AF" w:rsidP="00526D16" w:rsidRDefault="007116AF" w14:paraId="2BCF3EEA" w14:textId="77777777"/>
    <w:p w:rsidR="001C1B08" w:rsidRDefault="001C1B08" w14:paraId="4EB371BA" w14:textId="43A180CF">
      <w:r>
        <w:br w:type="page"/>
      </w:r>
    </w:p>
    <w:p w:rsidRPr="00612E89" w:rsidR="001C1B08" w:rsidP="001C1B08" w:rsidRDefault="001C1B08" w14:paraId="33EE67CB" w14:textId="77777777">
      <w:pPr>
        <w:pStyle w:val="Heading1"/>
        <w:spacing w:before="0" w:after="0"/>
        <w:rPr>
          <w:sz w:val="28"/>
        </w:rPr>
      </w:pPr>
      <w:r>
        <w:rPr>
          <w:sz w:val="28"/>
        </w:rPr>
        <w:lastRenderedPageBreak/>
        <w:t>Substance Use Prevention</w:t>
      </w:r>
      <w:r w:rsidRPr="00612E89">
        <w:rPr>
          <w:sz w:val="28"/>
        </w:rPr>
        <w:t xml:space="preserve"> </w:t>
      </w:r>
      <w:r>
        <w:rPr>
          <w:sz w:val="28"/>
        </w:rPr>
        <w:t>Sub-</w:t>
      </w:r>
      <w:r w:rsidRPr="00612E89">
        <w:rPr>
          <w:sz w:val="28"/>
        </w:rPr>
        <w:t>Committee</w:t>
      </w:r>
      <w:r>
        <w:rPr>
          <w:sz w:val="28"/>
        </w:rPr>
        <w:t xml:space="preserve"> Workplan 2019-2020</w:t>
      </w:r>
    </w:p>
    <w:p w:rsidRPr="00612E89" w:rsidR="001C1B08" w:rsidP="001C1B08" w:rsidRDefault="001C1B08" w14:paraId="5C10B7C7" w14:textId="77777777">
      <w:pPr>
        <w:pStyle w:val="Heading1"/>
        <w:tabs>
          <w:tab w:val="left" w:pos="1620"/>
          <w:tab w:val="left" w:pos="4140"/>
          <w:tab w:val="left" w:pos="6300"/>
        </w:tabs>
        <w:spacing w:before="0" w:after="0"/>
        <w:rPr>
          <w:b w:val="0"/>
          <w:sz w:val="24"/>
        </w:rPr>
      </w:pPr>
      <w:r w:rsidRPr="00612E89">
        <w:rPr>
          <w:b w:val="0"/>
          <w:sz w:val="24"/>
        </w:rPr>
        <w:t xml:space="preserve">Submitted </w:t>
      </w:r>
      <w:proofErr w:type="gramStart"/>
      <w:r w:rsidRPr="00612E89">
        <w:rPr>
          <w:b w:val="0"/>
          <w:sz w:val="24"/>
        </w:rPr>
        <w:t>by:</w:t>
      </w:r>
      <w:proofErr w:type="gramEnd"/>
      <w:r w:rsidRPr="00612E89">
        <w:rPr>
          <w:b w:val="0"/>
          <w:sz w:val="24"/>
        </w:rPr>
        <w:tab/>
      </w:r>
      <w:r w:rsidRPr="00612E89">
        <w:rPr>
          <w:b w:val="0"/>
          <w:sz w:val="24"/>
        </w:rPr>
        <w:t>Laura Mitchell, Chair</w:t>
      </w:r>
      <w:r w:rsidRPr="00612E89">
        <w:rPr>
          <w:b w:val="0"/>
          <w:sz w:val="24"/>
        </w:rPr>
        <w:tab/>
      </w:r>
      <w:r w:rsidRPr="00612E89">
        <w:rPr>
          <w:b w:val="0"/>
          <w:sz w:val="24"/>
        </w:rPr>
        <w:t>(410)422-2694</w:t>
      </w:r>
      <w:r w:rsidRPr="00612E89">
        <w:rPr>
          <w:b w:val="0"/>
          <w:sz w:val="24"/>
        </w:rPr>
        <w:tab/>
      </w:r>
      <w:r w:rsidRPr="00612E89">
        <w:rPr>
          <w:b w:val="0"/>
          <w:sz w:val="24"/>
        </w:rPr>
        <w:t>operatingbudget@mccpta.org</w:t>
      </w:r>
    </w:p>
    <w:p w:rsidRPr="009163DD" w:rsidR="001C1B08" w:rsidP="001C1B08" w:rsidRDefault="001C1B08" w14:paraId="08672FC1" w14:textId="77777777">
      <w:pPr>
        <w:pBdr>
          <w:bottom w:val="single" w:color="auto" w:sz="4" w:space="1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7, 2019</w:t>
      </w:r>
    </w:p>
    <w:p w:rsidR="001C1B08" w:rsidP="001C1B08" w:rsidRDefault="001C1B08" w14:paraId="799FA626" w14:textId="7777777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It is the mission of the Substance Use Prevention Committee to build alliances that help make every child's potential to build healthy, safe, successful and substance free lives a reality.</w:t>
      </w:r>
    </w:p>
    <w:p w:rsidR="001C1B08" w:rsidP="001C1B08" w:rsidRDefault="001C1B08" w14:paraId="7CB5F1FE" w14:textId="7777777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68"/>
        <w:gridCol w:w="2572"/>
      </w:tblGrid>
      <w:tr w:rsidRPr="00C72571" w:rsidR="001C1B08" w:rsidTr="00B07A49" w14:paraId="26A715AB" w14:textId="77777777">
        <w:tc>
          <w:tcPr>
            <w:tcW w:w="6570" w:type="dxa"/>
            <w:tcBorders>
              <w:bottom w:val="single" w:color="auto" w:sz="4" w:space="0"/>
            </w:tcBorders>
            <w:shd w:val="clear" w:color="auto" w:fill="auto"/>
          </w:tcPr>
          <w:p w:rsidRPr="00C72571" w:rsidR="001C1B08" w:rsidP="00B07A49" w:rsidRDefault="001C1B08" w14:paraId="6B119694" w14:textId="77777777">
            <w:pPr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</w:pPr>
            <w:bookmarkStart w:name="_Hlk527632401" w:id="1"/>
            <w:r w:rsidRPr="00C72571"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  <w:t>Area</w:t>
            </w:r>
          </w:p>
        </w:tc>
        <w:tc>
          <w:tcPr>
            <w:tcW w:w="2780" w:type="dxa"/>
            <w:tcBorders>
              <w:bottom w:val="single" w:color="auto" w:sz="4" w:space="0"/>
            </w:tcBorders>
            <w:shd w:val="clear" w:color="auto" w:fill="auto"/>
          </w:tcPr>
          <w:p w:rsidRPr="00C72571" w:rsidR="001C1B08" w:rsidP="00B07A49" w:rsidRDefault="001C1B08" w14:paraId="1CCAAEF8" w14:textId="77777777">
            <w:pPr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72571"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  <w:t>Representative</w:t>
            </w:r>
          </w:p>
        </w:tc>
      </w:tr>
      <w:tr w:rsidR="001C1B08" w:rsidTr="00B07A49" w14:paraId="74697334" w14:textId="77777777">
        <w:tc>
          <w:tcPr>
            <w:tcW w:w="6570" w:type="dxa"/>
            <w:tcBorders>
              <w:top w:val="single" w:color="auto" w:sz="4" w:space="0"/>
            </w:tcBorders>
          </w:tcPr>
          <w:p w:rsidR="001C1B08" w:rsidP="00B07A49" w:rsidRDefault="001C1B08" w14:paraId="72F71616" w14:textId="7777777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At Large:</w:t>
            </w:r>
          </w:p>
        </w:tc>
        <w:tc>
          <w:tcPr>
            <w:tcW w:w="2780" w:type="dxa"/>
            <w:tcBorders>
              <w:top w:val="single" w:color="auto" w:sz="4" w:space="0"/>
            </w:tcBorders>
          </w:tcPr>
          <w:p w:rsidR="001C1B08" w:rsidP="00B07A49" w:rsidRDefault="001C1B08" w14:paraId="0C174973" w14:textId="7777777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Laura Mitchell, Chair</w:t>
            </w:r>
          </w:p>
        </w:tc>
      </w:tr>
      <w:tr w:rsidRPr="00C72571" w:rsidR="001C1B08" w:rsidTr="00B07A49" w14:paraId="2E75E608" w14:textId="77777777">
        <w:tc>
          <w:tcPr>
            <w:tcW w:w="6570" w:type="dxa"/>
            <w:shd w:val="clear" w:color="auto" w:fill="F2F2F2" w:themeFill="background1" w:themeFillShade="F2"/>
          </w:tcPr>
          <w:p w:rsidRPr="00C72571" w:rsidR="001C1B08" w:rsidP="00B07A49" w:rsidRDefault="001C1B08" w14:paraId="0C757519" w14:textId="7777777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BCC </w:t>
            </w:r>
            <w:r w:rsidRPr="00B37CCD">
              <w:rPr>
                <w:rFonts w:ascii="Helvetica" w:hAnsi="Helvetica" w:cs="Helvetica"/>
                <w:bCs/>
                <w:sz w:val="18"/>
                <w:szCs w:val="20"/>
              </w:rPr>
              <w:t>(Bethesda-Chevy Chase/Walter Johnson/Whitman)</w:t>
            </w:r>
          </w:p>
        </w:tc>
        <w:tc>
          <w:tcPr>
            <w:tcW w:w="2780" w:type="dxa"/>
            <w:shd w:val="clear" w:color="auto" w:fill="F2F2F2" w:themeFill="background1" w:themeFillShade="F2"/>
          </w:tcPr>
          <w:p w:rsidRPr="00C72571" w:rsidR="001C1B08" w:rsidP="00B07A49" w:rsidRDefault="001C1B08" w14:paraId="111A0671" w14:textId="7777777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Amy Pollok</w:t>
            </w:r>
          </w:p>
        </w:tc>
      </w:tr>
      <w:tr w:rsidRPr="00C72571" w:rsidR="001C1B08" w:rsidTr="00B07A49" w14:paraId="2F36B06F" w14:textId="77777777">
        <w:tc>
          <w:tcPr>
            <w:tcW w:w="6570" w:type="dxa"/>
          </w:tcPr>
          <w:p w:rsidRPr="00C72571" w:rsidR="001C1B08" w:rsidP="00B07A49" w:rsidRDefault="001C1B08" w14:paraId="7C069798" w14:textId="7777777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C72571">
              <w:rPr>
                <w:rFonts w:ascii="Helvetica" w:hAnsi="Helvetica" w:cs="Helvetica"/>
                <w:bCs/>
                <w:sz w:val="20"/>
                <w:szCs w:val="20"/>
              </w:rPr>
              <w:t>D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CC </w:t>
            </w:r>
            <w:r w:rsidRPr="00B37CCD">
              <w:rPr>
                <w:rFonts w:ascii="Helvetica" w:hAnsi="Helvetica" w:cs="Helvetica"/>
                <w:bCs/>
                <w:sz w:val="18"/>
                <w:szCs w:val="20"/>
              </w:rPr>
              <w:t>(Blair/Einstein/Kennedy/Northwood/Wheaton)</w:t>
            </w:r>
          </w:p>
        </w:tc>
        <w:tc>
          <w:tcPr>
            <w:tcW w:w="2780" w:type="dxa"/>
          </w:tcPr>
          <w:p w:rsidRPr="00C72571" w:rsidR="001C1B08" w:rsidP="00B07A49" w:rsidRDefault="001C1B08" w14:paraId="23F2A87E" w14:textId="7777777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Pr="00C72571" w:rsidR="001C1B08" w:rsidTr="00B07A49" w14:paraId="552881C2" w14:textId="77777777">
        <w:tc>
          <w:tcPr>
            <w:tcW w:w="6570" w:type="dxa"/>
            <w:shd w:val="clear" w:color="auto" w:fill="F2F2F2" w:themeFill="background1" w:themeFillShade="F2"/>
          </w:tcPr>
          <w:p w:rsidRPr="00C72571" w:rsidR="001C1B08" w:rsidP="00B07A49" w:rsidRDefault="001C1B08" w14:paraId="601B50D0" w14:textId="7777777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Central PTAs </w:t>
            </w:r>
            <w:r w:rsidRPr="00B37CCD">
              <w:rPr>
                <w:rFonts w:ascii="Helvetica" w:hAnsi="Helvetica" w:cs="Helvetica"/>
                <w:bCs/>
                <w:sz w:val="18"/>
                <w:szCs w:val="20"/>
              </w:rPr>
              <w:t>(Churchill/Richard Montgomery/Poolesville/Rockville/Wootton)</w:t>
            </w:r>
          </w:p>
        </w:tc>
        <w:tc>
          <w:tcPr>
            <w:tcW w:w="2780" w:type="dxa"/>
            <w:shd w:val="clear" w:color="auto" w:fill="F2F2F2" w:themeFill="background1" w:themeFillShade="F2"/>
          </w:tcPr>
          <w:p w:rsidRPr="00C72571" w:rsidR="001C1B08" w:rsidP="00B07A49" w:rsidRDefault="001C1B08" w14:paraId="12F82823" w14:textId="7777777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Pr="00C72571" w:rsidR="001C1B08" w:rsidTr="00B07A49" w14:paraId="6EEC8B09" w14:textId="77777777">
        <w:tc>
          <w:tcPr>
            <w:tcW w:w="6570" w:type="dxa"/>
          </w:tcPr>
          <w:p w:rsidRPr="00C72571" w:rsidR="001C1B08" w:rsidP="00B07A49" w:rsidRDefault="001C1B08" w14:paraId="0E06CE6A" w14:textId="7777777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North PTAs</w:t>
            </w:r>
            <w:r w:rsidRPr="00C72571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Pr="00B37CCD">
              <w:rPr>
                <w:rFonts w:ascii="Helvetica" w:hAnsi="Helvetica" w:cs="Helvetica"/>
                <w:bCs/>
                <w:sz w:val="18"/>
                <w:szCs w:val="20"/>
              </w:rPr>
              <w:t>(Damascus/Gaithersburg/Magruder/Watkins Mill)</w:t>
            </w:r>
          </w:p>
        </w:tc>
        <w:tc>
          <w:tcPr>
            <w:tcW w:w="2780" w:type="dxa"/>
          </w:tcPr>
          <w:p w:rsidRPr="00C72571" w:rsidR="001C1B08" w:rsidP="00B07A49" w:rsidRDefault="001C1B08" w14:paraId="3629714E" w14:textId="7777777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Pr="00C72571" w:rsidR="001C1B08" w:rsidTr="00B07A49" w14:paraId="76B396A1" w14:textId="77777777">
        <w:tc>
          <w:tcPr>
            <w:tcW w:w="6570" w:type="dxa"/>
            <w:shd w:val="clear" w:color="auto" w:fill="F2F2F2" w:themeFill="background1" w:themeFillShade="F2"/>
          </w:tcPr>
          <w:p w:rsidRPr="00C72571" w:rsidR="001C1B08" w:rsidP="00B07A49" w:rsidRDefault="001C1B08" w14:paraId="039EBFF9" w14:textId="7777777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C72571">
              <w:rPr>
                <w:rFonts w:ascii="Helvetica" w:hAnsi="Helvetica" w:cs="Helvetica"/>
                <w:bCs/>
                <w:sz w:val="20"/>
                <w:szCs w:val="20"/>
              </w:rPr>
              <w:t>N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EC </w:t>
            </w:r>
            <w:r w:rsidRPr="00B37CCD">
              <w:rPr>
                <w:rFonts w:ascii="Helvetica" w:hAnsi="Helvetica" w:cs="Helvetica"/>
                <w:bCs/>
                <w:sz w:val="18"/>
                <w:szCs w:val="20"/>
              </w:rPr>
              <w:t>(Blake/Paint Branch/Springbrook And Sherwood)</w:t>
            </w:r>
          </w:p>
        </w:tc>
        <w:tc>
          <w:tcPr>
            <w:tcW w:w="2780" w:type="dxa"/>
            <w:shd w:val="clear" w:color="auto" w:fill="F2F2F2" w:themeFill="background1" w:themeFillShade="F2"/>
          </w:tcPr>
          <w:p w:rsidRPr="00C72571" w:rsidR="001C1B08" w:rsidP="00B07A49" w:rsidRDefault="001C1B08" w14:paraId="7C3775EA" w14:textId="7777777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Pr="00C72571" w:rsidR="001C1B08" w:rsidTr="00B07A49" w14:paraId="1B917646" w14:textId="77777777">
        <w:tc>
          <w:tcPr>
            <w:tcW w:w="6570" w:type="dxa"/>
          </w:tcPr>
          <w:p w:rsidRPr="00C72571" w:rsidR="001C1B08" w:rsidP="00B07A49" w:rsidRDefault="001C1B08" w14:paraId="62A68BCF" w14:textId="7777777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West PTAs</w:t>
            </w:r>
            <w:r w:rsidRPr="00C72571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Pr="00B37CCD">
              <w:rPr>
                <w:rFonts w:ascii="Helvetica" w:hAnsi="Helvetica" w:cs="Helvetica"/>
                <w:bCs/>
                <w:sz w:val="18"/>
                <w:szCs w:val="20"/>
              </w:rPr>
              <w:t>(Clarksburg/Northwest/Quince Orchard/Seneca Valley)</w:t>
            </w:r>
          </w:p>
        </w:tc>
        <w:tc>
          <w:tcPr>
            <w:tcW w:w="2780" w:type="dxa"/>
          </w:tcPr>
          <w:p w:rsidRPr="00C72571" w:rsidR="001C1B08" w:rsidP="00B07A49" w:rsidRDefault="001C1B08" w14:paraId="2A4E5EA4" w14:textId="7777777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bookmarkEnd w:id="1"/>
    </w:tbl>
    <w:p w:rsidR="001C1B08" w:rsidP="001C1B08" w:rsidRDefault="001C1B08" w14:paraId="367313DA" w14:textId="7777777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1C1B08" w:rsidP="001C1B08" w:rsidRDefault="001C1B08" w14:paraId="77CD636A" w14:textId="7777777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We still need representation from each area. Please help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identify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AT LEAST one person from your area to serve on this important committee. </w:t>
      </w:r>
    </w:p>
    <w:p w:rsidR="001C1B08" w:rsidP="001C1B08" w:rsidRDefault="001C1B08" w14:paraId="1D6BD5D1" w14:textId="7777777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1C1B08" w:rsidP="001C1B08" w:rsidRDefault="001C1B08" w14:paraId="4CF67397" w14:textId="7777777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Goals: </w:t>
      </w:r>
    </w:p>
    <w:p w:rsidR="001C1B08" w:rsidP="001C1B08" w:rsidRDefault="001C1B08" w14:paraId="25BD3855" w14:textId="77777777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</w:t>
      </w:r>
      <w:r w:rsidRPr="00237E79">
        <w:rPr>
          <w:rFonts w:ascii="Arial" w:hAnsi="Arial" w:cs="Arial"/>
          <w:bCs/>
          <w:sz w:val="20"/>
          <w:szCs w:val="20"/>
        </w:rPr>
        <w:t xml:space="preserve">aping </w:t>
      </w:r>
    </w:p>
    <w:p w:rsidR="001C1B08" w:rsidP="001C1B08" w:rsidRDefault="001C1B08" w14:paraId="6726CB80" w14:textId="77777777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Educate parents and students on the facts about vaping; dispel the myths that vaping is safer than traditional tobacco products. </w:t>
      </w:r>
    </w:p>
    <w:p w:rsidR="001C1B08" w:rsidP="001C1B08" w:rsidRDefault="001C1B08" w14:paraId="5659D74C" w14:textId="77777777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Launch a public information campaign within MCCPTA: #</w:t>
      </w:r>
      <w:proofErr w:type="spellStart"/>
      <w:r>
        <w:rPr>
          <w:rFonts w:ascii="Arial" w:hAnsi="Arial" w:cs="Arial"/>
          <w:bCs/>
          <w:sz w:val="20"/>
          <w:szCs w:val="20"/>
        </w:rPr>
        <w:t>LoveMyLungs</w:t>
      </w:r>
      <w:proofErr w:type="spellEnd"/>
    </w:p>
    <w:p w:rsidRPr="001D2B23" w:rsidR="001C1B08" w:rsidP="001C1B08" w:rsidRDefault="001C1B08" w14:paraId="4FA56ABB" w14:textId="77777777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Collaborate with </w:t>
      </w:r>
      <w:r w:rsidRPr="00237E79">
        <w:rPr>
          <w:rFonts w:ascii="Arial" w:hAnsi="Arial" w:cs="Arial"/>
          <w:bCs/>
          <w:sz w:val="20"/>
          <w:szCs w:val="20"/>
        </w:rPr>
        <w:t>MCPS students</w:t>
      </w:r>
      <w:r>
        <w:rPr>
          <w:rFonts w:ascii="Arial" w:hAnsi="Arial" w:cs="Arial"/>
          <w:bCs/>
          <w:sz w:val="20"/>
          <w:szCs w:val="20"/>
        </w:rPr>
        <w:t xml:space="preserve"> &amp; parents as well as third party groups to </w:t>
      </w:r>
      <w:proofErr w:type="gramStart"/>
      <w:r>
        <w:rPr>
          <w:rFonts w:ascii="Arial" w:hAnsi="Arial" w:cs="Arial"/>
          <w:bCs/>
          <w:sz w:val="20"/>
          <w:szCs w:val="20"/>
        </w:rPr>
        <w:t>eliminate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vaping</w:t>
      </w:r>
    </w:p>
    <w:p w:rsidR="001C1B08" w:rsidP="001C1B08" w:rsidRDefault="001C1B08" w14:paraId="17FC65E5" w14:textId="77777777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Advocate for an MCPS substance use survey in all secondary schools to determine the extent of student usage. </w:t>
      </w:r>
    </w:p>
    <w:p w:rsidR="001C1B08" w:rsidP="001C1B08" w:rsidRDefault="001C1B08" w14:paraId="48DDD37D" w14:textId="77777777">
      <w:pPr>
        <w:pStyle w:val="ListParagraph"/>
        <w:numPr>
          <w:ilvl w:val="2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Substances surveyed should include alcohol, tobacco products, opiates, benzodiazepines, and specifically vapes</w:t>
      </w:r>
    </w:p>
    <w:p w:rsidR="001C1B08" w:rsidP="001C1B08" w:rsidRDefault="001C1B08" w14:paraId="01073F53" w14:textId="77777777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Work with MCPS to </w:t>
      </w:r>
      <w:proofErr w:type="gramStart"/>
      <w:r>
        <w:rPr>
          <w:rFonts w:ascii="Arial" w:hAnsi="Arial" w:cs="Arial"/>
          <w:bCs/>
          <w:sz w:val="20"/>
          <w:szCs w:val="20"/>
        </w:rPr>
        <w:t>maintain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accurate, timely statistics for incidents of vaping in schools, to include the substance being vaped</w:t>
      </w:r>
    </w:p>
    <w:p w:rsidR="001C1B08" w:rsidP="001C1B08" w:rsidRDefault="001C1B08" w14:paraId="0E150F9F" w14:textId="77777777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Advocate for the Board of Education to offer student education and </w:t>
      </w:r>
      <w:proofErr w:type="gramStart"/>
      <w:r>
        <w:rPr>
          <w:rFonts w:ascii="Arial" w:hAnsi="Arial" w:cs="Arial"/>
          <w:bCs/>
          <w:sz w:val="20"/>
          <w:szCs w:val="20"/>
        </w:rPr>
        <w:t>assistance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programs in </w:t>
      </w:r>
      <w:r w:rsidRPr="000308DE">
        <w:rPr>
          <w:rFonts w:ascii="Arial" w:hAnsi="Arial" w:cs="Arial"/>
          <w:bCs/>
          <w:i/>
          <w:iCs/>
          <w:sz w:val="20"/>
          <w:szCs w:val="20"/>
          <w:u w:val="single"/>
        </w:rPr>
        <w:t>all</w:t>
      </w:r>
      <w:r>
        <w:rPr>
          <w:rFonts w:ascii="Arial" w:hAnsi="Arial" w:cs="Arial"/>
          <w:bCs/>
          <w:sz w:val="20"/>
          <w:szCs w:val="20"/>
        </w:rPr>
        <w:t xml:space="preserve"> secondary schools and to require students who vape to complete a cessation program. Two such programs are Caron’s Student Assistance programs and </w:t>
      </w:r>
      <w:r w:rsidRPr="000308DE">
        <w:rPr>
          <w:rFonts w:ascii="Arial" w:hAnsi="Arial" w:cs="Arial"/>
          <w:bCs/>
          <w:sz w:val="20"/>
          <w:szCs w:val="20"/>
        </w:rPr>
        <w:t>Stanford Tobacco Prevention Tool</w:t>
      </w:r>
      <w:r>
        <w:rPr>
          <w:rFonts w:ascii="Arial" w:hAnsi="Arial" w:cs="Arial"/>
          <w:bCs/>
          <w:sz w:val="20"/>
          <w:szCs w:val="20"/>
        </w:rPr>
        <w:t xml:space="preserve">, both of which currently have a presence in at least some MCPS schools. </w:t>
      </w:r>
    </w:p>
    <w:p w:rsidR="001C1B08" w:rsidP="001C1B08" w:rsidRDefault="001C1B08" w14:paraId="590510A4" w14:textId="77777777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Advocate for the Board of Education to authorize the immediate confiscation and disposal of vapes found in the possession of students.</w:t>
      </w:r>
    </w:p>
    <w:p w:rsidR="001C1B08" w:rsidP="001C1B08" w:rsidRDefault="001C1B08" w14:paraId="325C4CAB" w14:textId="77777777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Measure progress by the results of the 2020/2021 survey of all secondary schools.</w:t>
      </w:r>
    </w:p>
    <w:p w:rsidR="001C1B08" w:rsidP="001C1B08" w:rsidRDefault="001C1B08" w14:paraId="19F5F944" w14:textId="77777777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Work with state and local legislators to endure more effective enforcement of underaged vaping/smoking, and to create and pass new legislation, where necessary, stop sales to, and straw purchase for minors.</w:t>
      </w:r>
    </w:p>
    <w:p w:rsidR="001C1B08" w:rsidP="001C1B08" w:rsidRDefault="001C1B08" w14:paraId="0C686193" w14:textId="77777777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Opiates and benzodiazepines</w:t>
      </w:r>
    </w:p>
    <w:p w:rsidR="001C1B08" w:rsidP="001C1B08" w:rsidRDefault="001C1B08" w14:paraId="1B73FCE7" w14:textId="77777777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Educate parents and students on the facts about opiates and benzodiazepines; dispel the myths that legally prescribed and professionally manufactured pills cannot kill. </w:t>
      </w:r>
    </w:p>
    <w:p w:rsidR="001C1B08" w:rsidP="001C1B08" w:rsidRDefault="001C1B08" w14:paraId="4BB9DBBF" w14:textId="77777777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Host the “Hidden in plain sight” mock teen bedroom exhibit at least once to teach parents the signs of substance use and how to spot them in your home.</w:t>
      </w:r>
    </w:p>
    <w:p w:rsidR="001C1B08" w:rsidP="001C1B08" w:rsidRDefault="001C1B08" w14:paraId="34300036" w14:textId="77777777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Support continued funding of and referrals to (as </w:t>
      </w:r>
      <w:proofErr w:type="gramStart"/>
      <w:r>
        <w:rPr>
          <w:rFonts w:ascii="Arial" w:hAnsi="Arial" w:cs="Arial"/>
          <w:bCs/>
          <w:sz w:val="20"/>
          <w:szCs w:val="20"/>
        </w:rPr>
        <w:t>appropriate)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the Recovery Academic Program.</w:t>
      </w:r>
    </w:p>
    <w:p w:rsidR="001C1B08" w:rsidP="001C1B08" w:rsidRDefault="001C1B08" w14:paraId="3084D895" w14:textId="77777777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Conduct a campaign to contact area dentists and doctors, particularly sports doctors, to demand an end to opiate prescriptions to adolescents until at least age 21. </w:t>
      </w:r>
    </w:p>
    <w:p w:rsidR="001C1B08" w:rsidP="001C1B08" w:rsidRDefault="001C1B08" w14:paraId="7375921C" w14:textId="77777777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Ensure that sports medicine providers, physical therapists, trainers and coaches know the signs of substance misuse and know who to contact or refer students to for evaluation and treatment.</w:t>
      </w:r>
    </w:p>
    <w:p w:rsidR="001C1B08" w:rsidP="001C1B08" w:rsidRDefault="001C1B08" w14:paraId="00732F0B" w14:textId="77777777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Measure compliance with the “Start Talking Maryland Act of 2017”</w:t>
      </w:r>
    </w:p>
    <w:p w:rsidR="001C1B08" w:rsidP="001C1B08" w:rsidRDefault="001C1B08" w14:paraId="5DE057A4" w14:textId="77777777">
      <w:pPr>
        <w:pStyle w:val="ListParagraph"/>
        <w:numPr>
          <w:ilvl w:val="2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Verify that Narcan (naloxone) in MCPS schools is </w:t>
      </w:r>
      <w:proofErr w:type="gramStart"/>
      <w:r>
        <w:rPr>
          <w:rFonts w:ascii="Arial" w:hAnsi="Arial" w:cs="Arial"/>
          <w:bCs/>
          <w:sz w:val="20"/>
          <w:szCs w:val="20"/>
        </w:rPr>
        <w:t>being replenished/replaced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as it is used or expires. </w:t>
      </w:r>
    </w:p>
    <w:p w:rsidR="001C1B08" w:rsidP="001C1B08" w:rsidRDefault="001C1B08" w14:paraId="028F1396" w14:textId="77777777">
      <w:pPr>
        <w:pStyle w:val="ListParagraph"/>
        <w:numPr>
          <w:ilvl w:val="2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Ensure that personnel </w:t>
      </w:r>
      <w:proofErr w:type="gramStart"/>
      <w:r>
        <w:rPr>
          <w:rFonts w:ascii="Arial" w:hAnsi="Arial" w:cs="Arial"/>
          <w:bCs/>
          <w:sz w:val="20"/>
          <w:szCs w:val="20"/>
        </w:rPr>
        <w:t>are trained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and available to administer Narcan at any given time; including replacements for personnel previously in positions that required training. </w:t>
      </w:r>
    </w:p>
    <w:p w:rsidR="001C1B08" w:rsidP="001C1B08" w:rsidRDefault="001C1B08" w14:paraId="45EF1ABD" w14:textId="77777777">
      <w:pPr>
        <w:pStyle w:val="ListParagraph"/>
        <w:numPr>
          <w:ilvl w:val="2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Ensure that EVERY secondary school in MCPS is providing opioid and heroin education to students </w:t>
      </w:r>
      <w:proofErr w:type="gramStart"/>
      <w:r>
        <w:rPr>
          <w:rFonts w:ascii="Arial" w:hAnsi="Arial" w:cs="Arial"/>
          <w:bCs/>
          <w:sz w:val="20"/>
          <w:szCs w:val="20"/>
        </w:rPr>
        <w:t>in accordance with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the STMA. </w:t>
      </w:r>
    </w:p>
    <w:p w:rsidR="001C1B08" w:rsidP="001C1B08" w:rsidRDefault="001C1B08" w14:paraId="00E195D0" w14:textId="77777777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Alcohol (and other drugs)</w:t>
      </w:r>
    </w:p>
    <w:p w:rsidR="001C1B08" w:rsidP="001C1B08" w:rsidRDefault="001C1B08" w14:paraId="693D0C2D" w14:textId="77777777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Collaborate with parents, students and law enforcement to boost pre-prom education about substance use. </w:t>
      </w:r>
    </w:p>
    <w:p w:rsidR="001C1B08" w:rsidP="001C1B08" w:rsidRDefault="001C1B08" w14:paraId="6608FC5A" w14:textId="77777777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Handle </w:t>
      </w:r>
      <w:proofErr w:type="gramStart"/>
      <w:r>
        <w:rPr>
          <w:rFonts w:ascii="Arial" w:hAnsi="Arial" w:cs="Arial"/>
          <w:bCs/>
          <w:sz w:val="20"/>
          <w:szCs w:val="20"/>
        </w:rPr>
        <w:t>With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Care</w:t>
      </w:r>
    </w:p>
    <w:p w:rsidR="001C1B08" w:rsidP="001C1B08" w:rsidRDefault="001C1B08" w14:paraId="01C6047B" w14:textId="77777777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Work with MCPS and police, fire, EMS, social service agencies and the statewide HWC coordinator to implement HWC no later than the start of the 2020 school year. HWC provides a front-line recognition and response to ACEs (Adverse Childhood Experiences/trauma) to ensure that trauma sensitive assessment is </w:t>
      </w:r>
      <w:proofErr w:type="gramStart"/>
      <w:r>
        <w:rPr>
          <w:rFonts w:ascii="Arial" w:hAnsi="Arial" w:cs="Arial"/>
          <w:bCs/>
          <w:sz w:val="20"/>
          <w:szCs w:val="20"/>
        </w:rPr>
        <w:t>initiated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and trauma informed care is offered, where necessary, to minimize the long term consequences of the trauma. Childhood ACEs have a direct correlation to substance use as well as depression, suicide, eating disorders and a host of other challenges. That risk can </w:t>
      </w:r>
      <w:proofErr w:type="gramStart"/>
      <w:r>
        <w:rPr>
          <w:rFonts w:ascii="Arial" w:hAnsi="Arial" w:cs="Arial"/>
          <w:bCs/>
          <w:sz w:val="20"/>
          <w:szCs w:val="20"/>
        </w:rPr>
        <w:t>be mitigated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when trauma is promptly and properly addressed. HWC alerts the </w:t>
      </w:r>
      <w:proofErr w:type="gramStart"/>
      <w:r>
        <w:rPr>
          <w:rFonts w:ascii="Arial" w:hAnsi="Arial" w:cs="Arial"/>
          <w:bCs/>
          <w:sz w:val="20"/>
          <w:szCs w:val="20"/>
        </w:rPr>
        <w:t>appropriate persons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that a child may need the aforementioned care.</w:t>
      </w:r>
    </w:p>
    <w:p w:rsidR="001C1B08" w:rsidP="001C1B08" w:rsidRDefault="001C1B08" w14:paraId="24A698DC" w14:textId="77777777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Continue Partnerships</w:t>
      </w:r>
    </w:p>
    <w:p w:rsidRPr="00BC0C5E" w:rsidR="001C1B08" w:rsidP="001C1B08" w:rsidRDefault="001C1B08" w14:paraId="2642EFEA" w14:textId="77777777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2A1381">
        <w:rPr>
          <w:rFonts w:ascii="Arial" w:hAnsi="Arial" w:cs="Arial"/>
          <w:sz w:val="20"/>
          <w:szCs w:val="20"/>
        </w:rPr>
        <w:t xml:space="preserve">Brave &amp; Bold Community Coalition </w:t>
      </w:r>
      <w:r>
        <w:rPr>
          <w:rFonts w:ascii="Arial" w:hAnsi="Arial" w:cs="Arial"/>
          <w:sz w:val="20"/>
          <w:szCs w:val="20"/>
        </w:rPr>
        <w:t xml:space="preserve">and the </w:t>
      </w:r>
      <w:hyperlink w:history="1" r:id="rId7">
        <w:r w:rsidRPr="002A1381">
          <w:rPr>
            <w:rStyle w:val="Hyperlink"/>
            <w:rFonts w:ascii="Arial" w:hAnsi="Arial" w:cs="Arial"/>
            <w:sz w:val="20"/>
            <w:szCs w:val="20"/>
          </w:rPr>
          <w:t>RAP (Recovery and Academic Program)</w:t>
        </w:r>
      </w:hyperlink>
      <w:r w:rsidRPr="002A1381">
        <w:rPr>
          <w:rFonts w:ascii="Arial" w:hAnsi="Arial" w:cs="Arial"/>
          <w:sz w:val="20"/>
          <w:szCs w:val="20"/>
        </w:rPr>
        <w:t xml:space="preserve"> </w:t>
      </w:r>
    </w:p>
    <w:p w:rsidRPr="00BC0C5E" w:rsidR="001C1B08" w:rsidP="001C1B08" w:rsidRDefault="001C1B08" w14:paraId="70FAB321" w14:textId="77777777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hyperlink w:history="1" r:id="rId8">
        <w:r w:rsidRPr="00BC0C5E">
          <w:rPr>
            <w:rStyle w:val="Hyperlink"/>
            <w:rFonts w:ascii="Arial" w:hAnsi="Arial" w:cs="Arial"/>
            <w:bCs/>
            <w:sz w:val="20"/>
            <w:szCs w:val="20"/>
          </w:rPr>
          <w:t>The Landing at Family Services, Inc.</w:t>
        </w:r>
      </w:hyperlink>
    </w:p>
    <w:p w:rsidR="001C1B08" w:rsidP="001C1B08" w:rsidRDefault="001C1B08" w14:paraId="5CB6F1FF" w14:textId="77777777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hyperlink w:history="1" r:id="rId9">
        <w:r w:rsidRPr="00BC0C5E">
          <w:rPr>
            <w:rStyle w:val="Hyperlink"/>
            <w:rFonts w:ascii="Arial" w:hAnsi="Arial" w:cs="Arial"/>
            <w:sz w:val="20"/>
            <w:szCs w:val="20"/>
          </w:rPr>
          <w:t>Montgomery County Collaboration Council for Children, Youth and Families, Inc.</w:t>
        </w:r>
      </w:hyperlink>
      <w:r>
        <w:rPr>
          <w:rStyle w:val="Hyperlink"/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C0C5E">
        <w:rPr>
          <w:rFonts w:ascii="Arial" w:hAnsi="Arial" w:cs="Arial"/>
          <w:sz w:val="20"/>
          <w:szCs w:val="20"/>
        </w:rPr>
        <w:t>Jade-Ann Rennie, Prevention Coordinator</w:t>
      </w:r>
    </w:p>
    <w:p w:rsidR="001C1B08" w:rsidP="001C1B08" w:rsidRDefault="001C1B08" w14:paraId="716EAAF6" w14:textId="77777777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BC0C5E">
        <w:rPr>
          <w:rFonts w:ascii="Arial" w:hAnsi="Arial" w:cs="Arial"/>
          <w:sz w:val="20"/>
          <w:szCs w:val="20"/>
        </w:rPr>
        <w:t>Montgomery County DHHS- Behavioral Health and Crisis Services</w:t>
      </w:r>
      <w:r>
        <w:rPr>
          <w:rFonts w:ascii="Arial" w:hAnsi="Arial" w:cs="Arial"/>
          <w:sz w:val="20"/>
          <w:szCs w:val="20"/>
        </w:rPr>
        <w:t xml:space="preserve">, </w:t>
      </w:r>
      <w:r w:rsidRPr="00BC0C5E">
        <w:rPr>
          <w:rFonts w:ascii="Arial" w:hAnsi="Arial" w:cs="Arial"/>
          <w:sz w:val="20"/>
          <w:szCs w:val="20"/>
        </w:rPr>
        <w:t xml:space="preserve">Regina Morales, LCSW-C, Manager III. </w:t>
      </w:r>
      <w:r>
        <w:rPr>
          <w:rFonts w:ascii="Arial" w:hAnsi="Arial" w:cs="Arial"/>
          <w:sz w:val="20"/>
          <w:szCs w:val="20"/>
        </w:rPr>
        <w:t>I have joined</w:t>
      </w:r>
      <w:r w:rsidRPr="00BC0C5E">
        <w:rPr>
          <w:rFonts w:ascii="Arial" w:hAnsi="Arial" w:cs="Arial"/>
          <w:sz w:val="20"/>
          <w:szCs w:val="20"/>
        </w:rPr>
        <w:t xml:space="preserve"> the OIT Prevention workgroup, a part of the OIT (Opioid Intervention Team). Their goal is to Coordinate and increase substance use prevention activities in the community.</w:t>
      </w:r>
    </w:p>
    <w:p w:rsidRPr="00E16BC7" w:rsidR="001C1B08" w:rsidP="001C1B08" w:rsidRDefault="001C1B08" w14:paraId="3DA18BB7" w14:textId="77777777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hyperlink w:history="1" r:id="rId10">
        <w:r w:rsidRPr="00343D9D">
          <w:rPr>
            <w:rStyle w:val="Hyperlink"/>
            <w:rFonts w:ascii="Helvetica" w:hAnsi="Helvetica" w:cs="Helvetica"/>
            <w:iCs/>
            <w:sz w:val="20"/>
            <w:szCs w:val="20"/>
            <w:shd w:val="clear" w:color="auto" w:fill="FFFFFF"/>
          </w:rPr>
          <w:t>Montgomery County Alcohol and Other Drug Abuse Advisory Council (AODAAC)</w:t>
        </w:r>
      </w:hyperlink>
      <w:r>
        <w:rPr>
          <w:rFonts w:ascii="Arial" w:hAnsi="Arial" w:cs="Arial"/>
          <w:sz w:val="20"/>
          <w:szCs w:val="20"/>
        </w:rPr>
        <w:t xml:space="preserve">; Chair </w:t>
      </w:r>
      <w:proofErr w:type="gramStart"/>
      <w:r>
        <w:rPr>
          <w:rFonts w:ascii="Arial" w:hAnsi="Arial" w:cs="Arial"/>
          <w:sz w:val="20"/>
          <w:szCs w:val="20"/>
        </w:rPr>
        <w:t>represents</w:t>
      </w:r>
      <w:proofErr w:type="gramEnd"/>
      <w:r>
        <w:rPr>
          <w:rFonts w:ascii="Arial" w:hAnsi="Arial" w:cs="Arial"/>
          <w:sz w:val="20"/>
          <w:szCs w:val="20"/>
        </w:rPr>
        <w:t xml:space="preserve"> MCCPTA on the Council.</w:t>
      </w:r>
    </w:p>
    <w:p w:rsidR="001C1B08" w:rsidP="001C1B08" w:rsidRDefault="001C1B08" w14:paraId="7979B821" w14:textId="77777777">
      <w:pPr>
        <w:rPr>
          <w:rFonts w:ascii="Arial" w:hAnsi="Arial" w:cs="Arial"/>
          <w:b/>
          <w:sz w:val="20"/>
          <w:szCs w:val="20"/>
        </w:rPr>
      </w:pPr>
    </w:p>
    <w:p w:rsidR="001C1B08" w:rsidP="001C1B08" w:rsidRDefault="001C1B08" w14:paraId="4D99C339" w14:textId="7777777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Budget: </w:t>
      </w:r>
    </w:p>
    <w:p w:rsidRPr="00E16BC7" w:rsidR="001C1B08" w:rsidP="001C1B08" w:rsidRDefault="001C1B08" w14:paraId="1EE337A7" w14:textId="77777777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$1,000 </w:t>
      </w:r>
      <w:r w:rsidRPr="00E16BC7">
        <w:rPr>
          <w:rFonts w:ascii="Arial" w:hAnsi="Arial" w:cs="Arial"/>
          <w:bCs/>
          <w:sz w:val="20"/>
          <w:szCs w:val="20"/>
        </w:rPr>
        <w:t>Contingenc</w:t>
      </w:r>
      <w:r>
        <w:rPr>
          <w:rFonts w:ascii="Arial" w:hAnsi="Arial" w:cs="Arial"/>
          <w:bCs/>
          <w:sz w:val="20"/>
          <w:szCs w:val="20"/>
        </w:rPr>
        <w:t xml:space="preserve">y for securing Hidden in Plain Sight for at least one event, potentially two. </w:t>
      </w:r>
    </w:p>
    <w:p w:rsidRPr="007116AF" w:rsidR="004B75DF" w:rsidP="00526D16" w:rsidRDefault="004B75DF" w14:paraId="683DF23B" w14:textId="77777777"/>
    <w:sectPr w:rsidRPr="007116AF" w:rsidR="004B75DF">
      <w:headerReference w:type="default" r:id="rId11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FDD" w:rsidRDefault="00615FDD" w14:paraId="6D964FF8" w14:textId="77777777">
      <w:r>
        <w:separator/>
      </w:r>
    </w:p>
  </w:endnote>
  <w:endnote w:type="continuationSeparator" w:id="0">
    <w:p w:rsidR="00615FDD" w:rsidRDefault="00615FDD" w14:paraId="5FF080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FDD" w:rsidRDefault="00615FDD" w14:paraId="66B3E307" w14:textId="77777777">
      <w:r>
        <w:separator/>
      </w:r>
    </w:p>
  </w:footnote>
  <w:footnote w:type="continuationSeparator" w:id="0">
    <w:p w:rsidR="00615FDD" w:rsidRDefault="00615FDD" w14:paraId="4FFA94E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51D7E" w:rsidR="002D09DB" w:rsidP="00851D7E" w:rsidRDefault="002D09DB" w14:paraId="4F119FBC" w14:textId="77777777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2EA9"/>
    <w:multiLevelType w:val="hybridMultilevel"/>
    <w:tmpl w:val="8300F9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F75558"/>
    <w:multiLevelType w:val="hybridMultilevel"/>
    <w:tmpl w:val="94FE3F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1535E6"/>
    <w:multiLevelType w:val="hybridMultilevel"/>
    <w:tmpl w:val="9B28D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0188F"/>
    <w:multiLevelType w:val="hybridMultilevel"/>
    <w:tmpl w:val="9300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val="bestFit" w:percent="1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16"/>
    <w:rsid w:val="000159D0"/>
    <w:rsid w:val="00017DAB"/>
    <w:rsid w:val="0002406E"/>
    <w:rsid w:val="0002565D"/>
    <w:rsid w:val="00025DAC"/>
    <w:rsid w:val="000332D9"/>
    <w:rsid w:val="0006150A"/>
    <w:rsid w:val="000771E6"/>
    <w:rsid w:val="00077AB0"/>
    <w:rsid w:val="00077B62"/>
    <w:rsid w:val="00077D17"/>
    <w:rsid w:val="00092927"/>
    <w:rsid w:val="000A0E53"/>
    <w:rsid w:val="000A0FD9"/>
    <w:rsid w:val="000A4461"/>
    <w:rsid w:val="000B5945"/>
    <w:rsid w:val="000B7C0B"/>
    <w:rsid w:val="000C4E32"/>
    <w:rsid w:val="000E5A83"/>
    <w:rsid w:val="00103808"/>
    <w:rsid w:val="001110A5"/>
    <w:rsid w:val="00130896"/>
    <w:rsid w:val="00137785"/>
    <w:rsid w:val="00150DEA"/>
    <w:rsid w:val="00151628"/>
    <w:rsid w:val="00162CDD"/>
    <w:rsid w:val="001648CA"/>
    <w:rsid w:val="00171FD5"/>
    <w:rsid w:val="00187CE1"/>
    <w:rsid w:val="00193DDB"/>
    <w:rsid w:val="001C1B08"/>
    <w:rsid w:val="001E47BB"/>
    <w:rsid w:val="002007F1"/>
    <w:rsid w:val="00217049"/>
    <w:rsid w:val="002274AA"/>
    <w:rsid w:val="00236E4C"/>
    <w:rsid w:val="00237DAC"/>
    <w:rsid w:val="0024505A"/>
    <w:rsid w:val="0025044D"/>
    <w:rsid w:val="002536E9"/>
    <w:rsid w:val="0029664E"/>
    <w:rsid w:val="002A05F2"/>
    <w:rsid w:val="002A14BC"/>
    <w:rsid w:val="002B5CEB"/>
    <w:rsid w:val="002D09DB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5977"/>
    <w:rsid w:val="00385F22"/>
    <w:rsid w:val="003A4B24"/>
    <w:rsid w:val="003A5CED"/>
    <w:rsid w:val="003B3A2C"/>
    <w:rsid w:val="003B4DA0"/>
    <w:rsid w:val="003B51FC"/>
    <w:rsid w:val="003C1DC8"/>
    <w:rsid w:val="003E54C4"/>
    <w:rsid w:val="003E5E19"/>
    <w:rsid w:val="00413A64"/>
    <w:rsid w:val="004301B8"/>
    <w:rsid w:val="0048177E"/>
    <w:rsid w:val="0048548F"/>
    <w:rsid w:val="00490AC7"/>
    <w:rsid w:val="004A01F3"/>
    <w:rsid w:val="004A58CF"/>
    <w:rsid w:val="004B75DF"/>
    <w:rsid w:val="004C612E"/>
    <w:rsid w:val="004D1271"/>
    <w:rsid w:val="004D5C22"/>
    <w:rsid w:val="004D5C47"/>
    <w:rsid w:val="004F16E9"/>
    <w:rsid w:val="004F49B8"/>
    <w:rsid w:val="004F5150"/>
    <w:rsid w:val="00521E04"/>
    <w:rsid w:val="005260A5"/>
    <w:rsid w:val="00526D16"/>
    <w:rsid w:val="00526D6F"/>
    <w:rsid w:val="00532D8D"/>
    <w:rsid w:val="00541BC8"/>
    <w:rsid w:val="00542A1A"/>
    <w:rsid w:val="00553178"/>
    <w:rsid w:val="005555E2"/>
    <w:rsid w:val="005827F6"/>
    <w:rsid w:val="005855A7"/>
    <w:rsid w:val="005B7B79"/>
    <w:rsid w:val="005C4EEA"/>
    <w:rsid w:val="005E2880"/>
    <w:rsid w:val="00612195"/>
    <w:rsid w:val="00615FDD"/>
    <w:rsid w:val="00621F1B"/>
    <w:rsid w:val="0064789F"/>
    <w:rsid w:val="00682134"/>
    <w:rsid w:val="00684FAE"/>
    <w:rsid w:val="00690B4D"/>
    <w:rsid w:val="00691C49"/>
    <w:rsid w:val="006A277A"/>
    <w:rsid w:val="006B273D"/>
    <w:rsid w:val="006D3976"/>
    <w:rsid w:val="006D783C"/>
    <w:rsid w:val="006F3FF1"/>
    <w:rsid w:val="007116AF"/>
    <w:rsid w:val="00736247"/>
    <w:rsid w:val="00740367"/>
    <w:rsid w:val="00744112"/>
    <w:rsid w:val="0075018B"/>
    <w:rsid w:val="0076715F"/>
    <w:rsid w:val="007822A0"/>
    <w:rsid w:val="007B4CB7"/>
    <w:rsid w:val="007B7722"/>
    <w:rsid w:val="007E4F5C"/>
    <w:rsid w:val="007F5211"/>
    <w:rsid w:val="008121DE"/>
    <w:rsid w:val="008263BE"/>
    <w:rsid w:val="00827E04"/>
    <w:rsid w:val="00843B5B"/>
    <w:rsid w:val="008476A4"/>
    <w:rsid w:val="008516A8"/>
    <w:rsid w:val="00851D7E"/>
    <w:rsid w:val="00852902"/>
    <w:rsid w:val="0086735A"/>
    <w:rsid w:val="00890E50"/>
    <w:rsid w:val="008A46B4"/>
    <w:rsid w:val="008B00C3"/>
    <w:rsid w:val="008B28DF"/>
    <w:rsid w:val="008C63FE"/>
    <w:rsid w:val="008C7253"/>
    <w:rsid w:val="008D5BBF"/>
    <w:rsid w:val="008F3FB9"/>
    <w:rsid w:val="00905D27"/>
    <w:rsid w:val="00911FA7"/>
    <w:rsid w:val="00923BD3"/>
    <w:rsid w:val="0093555D"/>
    <w:rsid w:val="00940550"/>
    <w:rsid w:val="00941370"/>
    <w:rsid w:val="00947ADC"/>
    <w:rsid w:val="00964C8C"/>
    <w:rsid w:val="00966F97"/>
    <w:rsid w:val="00984AA6"/>
    <w:rsid w:val="00990AB9"/>
    <w:rsid w:val="009A51AE"/>
    <w:rsid w:val="009B7BAE"/>
    <w:rsid w:val="009C3012"/>
    <w:rsid w:val="009C630B"/>
    <w:rsid w:val="009C7FE7"/>
    <w:rsid w:val="009D6FCF"/>
    <w:rsid w:val="00A01D8C"/>
    <w:rsid w:val="00A15936"/>
    <w:rsid w:val="00A41599"/>
    <w:rsid w:val="00A85DB9"/>
    <w:rsid w:val="00A91CCD"/>
    <w:rsid w:val="00AA16D4"/>
    <w:rsid w:val="00AA5246"/>
    <w:rsid w:val="00AD4AF1"/>
    <w:rsid w:val="00AD50A8"/>
    <w:rsid w:val="00AD5C8C"/>
    <w:rsid w:val="00AD68BA"/>
    <w:rsid w:val="00AF61B7"/>
    <w:rsid w:val="00B04C4B"/>
    <w:rsid w:val="00B10019"/>
    <w:rsid w:val="00B13CEC"/>
    <w:rsid w:val="00B17108"/>
    <w:rsid w:val="00B234C3"/>
    <w:rsid w:val="00B240A8"/>
    <w:rsid w:val="00B4590E"/>
    <w:rsid w:val="00B70AFB"/>
    <w:rsid w:val="00B725F7"/>
    <w:rsid w:val="00B951DD"/>
    <w:rsid w:val="00BA3E02"/>
    <w:rsid w:val="00BA4BAE"/>
    <w:rsid w:val="00BA4F51"/>
    <w:rsid w:val="00BB383F"/>
    <w:rsid w:val="00BC2D5B"/>
    <w:rsid w:val="00BE2966"/>
    <w:rsid w:val="00BF238F"/>
    <w:rsid w:val="00C25B0E"/>
    <w:rsid w:val="00C47765"/>
    <w:rsid w:val="00C6654D"/>
    <w:rsid w:val="00C87697"/>
    <w:rsid w:val="00C91D17"/>
    <w:rsid w:val="00CA0DFC"/>
    <w:rsid w:val="00CA26B2"/>
    <w:rsid w:val="00CA6ADF"/>
    <w:rsid w:val="00CB7857"/>
    <w:rsid w:val="00CD6B84"/>
    <w:rsid w:val="00CE0D67"/>
    <w:rsid w:val="00CF12C0"/>
    <w:rsid w:val="00CF3F01"/>
    <w:rsid w:val="00D01470"/>
    <w:rsid w:val="00D166CF"/>
    <w:rsid w:val="00D53415"/>
    <w:rsid w:val="00D73E22"/>
    <w:rsid w:val="00D75AC7"/>
    <w:rsid w:val="00D87C92"/>
    <w:rsid w:val="00DB1677"/>
    <w:rsid w:val="00DB2E73"/>
    <w:rsid w:val="00DB4602"/>
    <w:rsid w:val="00DB4768"/>
    <w:rsid w:val="00DC0627"/>
    <w:rsid w:val="00DC3E65"/>
    <w:rsid w:val="00DF41F9"/>
    <w:rsid w:val="00E161EA"/>
    <w:rsid w:val="00E316E6"/>
    <w:rsid w:val="00E3191E"/>
    <w:rsid w:val="00E31E74"/>
    <w:rsid w:val="00E35ACA"/>
    <w:rsid w:val="00E365FA"/>
    <w:rsid w:val="00E54CEA"/>
    <w:rsid w:val="00E94A03"/>
    <w:rsid w:val="00EA2AAA"/>
    <w:rsid w:val="00EE5E62"/>
    <w:rsid w:val="00F01B11"/>
    <w:rsid w:val="00F04F18"/>
    <w:rsid w:val="00F12190"/>
    <w:rsid w:val="00F43B54"/>
    <w:rsid w:val="00F551E7"/>
    <w:rsid w:val="00F5696F"/>
    <w:rsid w:val="00F71E46"/>
    <w:rsid w:val="00F72364"/>
    <w:rsid w:val="00F736B2"/>
    <w:rsid w:val="00F82625"/>
    <w:rsid w:val="00F83B23"/>
    <w:rsid w:val="00F8431E"/>
    <w:rsid w:val="00FA699A"/>
    <w:rsid w:val="00FB1E12"/>
    <w:rsid w:val="20248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7DA64"/>
  <w15:docId w15:val="{4B00D7D1-D3F7-4D94-8B57-1B231A5CA4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B08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E5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1C1B08"/>
    <w:rPr>
      <w:rFonts w:asciiTheme="majorHAnsi" w:hAnsiTheme="majorHAnsi" w:eastAsiaTheme="majorEastAs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1C1B08"/>
    <w:rPr>
      <w:rFonts w:asciiTheme="minorHAnsi" w:hAnsiTheme="minorHAnsi"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s-inc.org/services/programs/the-landing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montgomeryschoolsmd.org/mainstory/story/588036/Recovery-Program/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yperlink" Target="https://www.montgomerycountymd.gov/hhs/boardscomm/boardscommmain.htm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collaborationcouncil.or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MCCPTA Committee Work Plan 2009-10</dc:title>
  <dc:creator>Kay</dc:creator>
  <lastModifiedBy>Fred Azcarate, Blair Cluster Coordinator</lastModifiedBy>
  <revision>10</revision>
  <dcterms:created xsi:type="dcterms:W3CDTF">2019-09-06T17:22:00.0000000Z</dcterms:created>
  <dcterms:modified xsi:type="dcterms:W3CDTF">2019-09-16T23:38:09.9610768Z</dcterms:modified>
</coreProperties>
</file>