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Unity Area Regional Recycling Center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95 Leonard Road</w:t>
        <w:tab/>
        <w:tab/>
        <w:tab/>
        <w:tab/>
        <w:tab/>
        <w:tab/>
        <w:tab/>
        <w:t>Phone: 207-568-3117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Thorndike, Maine 04986</w:t>
        <w:tab/>
        <w:tab/>
        <w:tab/>
        <w:tab/>
        <w:tab/>
        <w:tab/>
        <w:t>Fax: 207-568-3119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email: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"mailto:uarrc@recycle.org"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uarrc@recycle.org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 xml:space="preserve">website: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"http://www.uarrc.org"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www.uarrc.org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May 18, 2023</w:t>
      </w:r>
    </w:p>
    <w:p>
      <w:pPr>
        <w:pStyle w:val="Body"/>
        <w:numPr>
          <w:ilvl w:val="0"/>
          <w:numId w:val="2"/>
        </w:numPr>
        <w:spacing w:line="288" w:lineRule="auto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Bring Meeting to Order</w:t>
      </w:r>
      <w:r>
        <w:rPr>
          <w:rFonts w:ascii="Times New Roman" w:hAnsi="Times New Roman"/>
          <w:sz w:val="24"/>
          <w:szCs w:val="24"/>
          <w:rtl w:val="0"/>
          <w:lang w:val="en-US"/>
        </w:rPr>
        <w:t>: Meeting brought to order at 6:58 p.m.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an in-person meeting at UARRC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Board Members &amp; Alternates Present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Phil Bloomstein (Freedom)</w:t>
        <w:tab/>
        <w:tab/>
        <w:tab/>
        <w:t xml:space="preserve">       Michael Berry (Thorndike)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Diana Hauser (Unity)</w:t>
        <w:tab/>
        <w:tab/>
        <w:tab/>
        <w:tab/>
        <w:t xml:space="preserve">       Eleanor MacMackin (Freedom-ALT)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Kip Penney (Knox)</w:t>
        <w:tab/>
        <w:tab/>
        <w:tab/>
        <w:tab/>
        <w:t xml:space="preserve">       Ross Nason (Dixmont)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Paige Zeigler (Montville)</w:t>
        <w:tab/>
        <w:tab/>
        <w:tab/>
        <w:tab/>
        <w:t xml:space="preserve">       Beth Soucie (Unity)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Jeff Reynolds (UARRC Staff)</w:t>
        <w:tab/>
        <w:tab/>
        <w:tab/>
        <w:t xml:space="preserve">       Robert Hogg (Troy)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Jeri Roberts (Jackson-ALT)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3.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Board Members &amp; Alternates Absent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Don Pendleton (Dixmont-AlT)</w:t>
        <w:tab/>
        <w:tab/>
        <w:tab/>
        <w:t xml:space="preserve">       Greg Falzetta (Thorndike-ALT)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Jenny Tibbetts (Jackson)</w:t>
        <w:tab/>
        <w:tab/>
        <w:tab/>
        <w:tab/>
        <w:t xml:space="preserve">       Sharon Hibbard (Montville-ALT)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Agenda Adjustments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Jeri Reynolds was introduced. She is a new Alternate from Jackson.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Thank you Jeri. Welcome.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5.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Approve April Minutes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A Motion was made, Seconded and Approved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6.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Manager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 Report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Jeff &amp; Steve attended the MRRA Trade Show and Conference May 7-9 at Sunday River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</w:t>
        <w:tab/>
        <w:t>MRRA stands for Maine Resource &amp; Recovery Association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New Hammers were installed in the glass crusher May 12. Crushing/Grinding Glass can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begin again. 18 barrels of glass have been put through the machine since the new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hammers were installed and no issues have arisen so far.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Since the April Board Meeting, a truckload of mixed paper has been shipped.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On Wednesday the 10th, a truckload of electronics was shipped.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Notice - as of today, May 18, we are no longer accepting clothes. The bins have been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removed.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The idea is to have a central location for drop-off - a hub for central Maine either at the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  <w:tab/>
        <w:t>UARRC or in Brooks.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The new bins (whether in Thorndike or Brooks) would have sensors that alert the New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Hampshire company when they are full, avoiding long, expensive hauling trips for semi-</w:t>
        <w:tab/>
        <w:tab/>
        <w:tab/>
        <w:t>empty bins of clothes.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7.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Information from the MRRA Conference &amp; Trade Show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The Conference was well-attended.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Jeff &amp; Steve had certificates updated dealing with Household Hazardous Waste.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Many contacts were made and/or renewed. Very educational.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A contact was made with the MPW (Maine Public Works) regarding the use of the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crushed glass.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It was suggested that Staff and even Board Members attend next year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Conference &amp;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Trade Show. Perhaps more money could be set aside in the Budget to offset fees.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8.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Strategic Plan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It is important to review the Strategic Plan and make any adjustments before Budget </w:t>
        <w:tab/>
        <w:tab/>
        <w:tab/>
        <w:tab/>
        <w:t>Planning for next fiscal year begins in October.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9. 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Discussion of Manager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 Position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There were several spreadsheets discussed. The spreadsheets outlined duties and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responsibilities for a Bookkeeper position and Manager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position. There is some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discussion of a combined Bookkeeper/Manager position.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All duties/responsibilities were discussed with many amended. Everyone had copies 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and are encouraged to look at them further. The Personnel Committee will meet and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go over all suggestions and amended items. There will be a vote next Board meeting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in June.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We looked over a draft re: advertising the Manager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position. That was discussed and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amended.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10.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Agenda Items for June 15 Board Meeting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Look over and discuss Strategic Plan. Discuss any adjustments or recommendations.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Look over spreadsheets of duties/responsibilities of a Manager position. There will be a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second reading with amended items and suggestions. Relay any suggestions to the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Personnel Committee. Personnel Committee will meet and construct a final draft of </w:t>
        <w:tab/>
        <w:tab/>
        <w:tab/>
        <w:t>duties/responsibilities.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11.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Adjournment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A Motion was Made, Seconded and Approved to adjourn at 9:05 p.m.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12.  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Minutes Submitted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Diana Hauser (Unity) UARRC Secretary</w:t>
      </w:r>
    </w:p>
    <w:p>
      <w:pPr>
        <w:pStyle w:val="Body"/>
        <w:spacing w:line="288" w:lineRule="auto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288" w:lineRule="auto"/>
        <w:jc w:val="left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