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41EDFD" w14:textId="698024F5" w:rsidR="00163097" w:rsidRDefault="007F1FE4" w:rsidP="00895EC7">
      <w:pPr>
        <w:pStyle w:val="Title"/>
        <w:rPr>
          <w:rFonts w:ascii="Garamond" w:eastAsia="Garamond" w:hAnsi="Garamond" w:cs="Garamond"/>
          <w:sz w:val="28"/>
          <w:szCs w:val="28"/>
        </w:rPr>
      </w:pPr>
      <w:r>
        <w:rPr>
          <w:rFonts w:ascii="Garamond" w:eastAsia="Garamond" w:hAnsi="Garamond" w:cs="Garamond"/>
          <w:sz w:val="28"/>
          <w:szCs w:val="28"/>
        </w:rPr>
        <w:t>Fourth</w:t>
      </w:r>
      <w:r w:rsidR="00B47B0C">
        <w:rPr>
          <w:rFonts w:ascii="Garamond" w:eastAsia="Garamond" w:hAnsi="Garamond" w:cs="Garamond"/>
          <w:sz w:val="28"/>
          <w:szCs w:val="28"/>
        </w:rPr>
        <w:t xml:space="preserve"> </w:t>
      </w:r>
      <w:r w:rsidR="00B10912">
        <w:rPr>
          <w:rFonts w:ascii="Garamond" w:eastAsia="Garamond" w:hAnsi="Garamond" w:cs="Garamond"/>
          <w:sz w:val="28"/>
          <w:szCs w:val="28"/>
        </w:rPr>
        <w:t>Quarter 2017</w:t>
      </w:r>
      <w:r w:rsidR="001B21E4" w:rsidRPr="00DF38EC">
        <w:rPr>
          <w:rFonts w:ascii="Garamond" w:eastAsia="Garamond" w:hAnsi="Garamond" w:cs="Garamond"/>
          <w:b w:val="0"/>
          <w:sz w:val="28"/>
          <w:szCs w:val="28"/>
        </w:rPr>
        <w:t xml:space="preserve"> </w:t>
      </w:r>
      <w:r w:rsidR="001B21E4" w:rsidRPr="00DF38EC">
        <w:rPr>
          <w:rFonts w:ascii="Garamond" w:eastAsia="Garamond" w:hAnsi="Garamond" w:cs="Garamond"/>
          <w:sz w:val="28"/>
          <w:szCs w:val="28"/>
        </w:rPr>
        <w:t>Review</w:t>
      </w:r>
      <w:r w:rsidR="001B21E4" w:rsidRPr="00DF38EC">
        <w:rPr>
          <w:rFonts w:ascii="Garamond" w:eastAsia="Garamond" w:hAnsi="Garamond" w:cs="Garamond"/>
          <w:b w:val="0"/>
          <w:sz w:val="28"/>
          <w:szCs w:val="28"/>
        </w:rPr>
        <w:t xml:space="preserve"> </w:t>
      </w:r>
      <w:r w:rsidR="001B21E4" w:rsidRPr="00DF38EC">
        <w:rPr>
          <w:rFonts w:ascii="Garamond" w:eastAsia="Garamond" w:hAnsi="Garamond" w:cs="Garamond"/>
          <w:sz w:val="28"/>
          <w:szCs w:val="28"/>
        </w:rPr>
        <w:t>and Outlook</w:t>
      </w:r>
    </w:p>
    <w:p w14:paraId="5F53CE96" w14:textId="60BC684E" w:rsidR="00895EC7" w:rsidRDefault="00895EC7" w:rsidP="00895EC7"/>
    <w:p w14:paraId="36FA70BF" w14:textId="77777777" w:rsidR="005B7B08" w:rsidRPr="00895EC7" w:rsidRDefault="005B7B08" w:rsidP="00895EC7"/>
    <w:p w14:paraId="27C2B082" w14:textId="4A714598" w:rsidR="0078160C" w:rsidRDefault="00FA7011" w:rsidP="00DF38EC">
      <w:pPr>
        <w:spacing w:after="280" w:line="240" w:lineRule="auto"/>
        <w:contextualSpacing/>
        <w:rPr>
          <w:rFonts w:ascii="Garamond" w:hAnsi="Garamond"/>
          <w:sz w:val="24"/>
          <w:szCs w:val="24"/>
        </w:rPr>
      </w:pPr>
      <w:r>
        <w:rPr>
          <w:rFonts w:ascii="Garamond" w:hAnsi="Garamond"/>
          <w:sz w:val="24"/>
          <w:szCs w:val="24"/>
        </w:rPr>
        <w:t xml:space="preserve">What a quarter!  What a year!  Both the economy and the stock market showed strength and growth.  The major </w:t>
      </w:r>
      <w:r w:rsidR="0029501D">
        <w:rPr>
          <w:rFonts w:ascii="Garamond" w:hAnsi="Garamond"/>
          <w:sz w:val="24"/>
          <w:szCs w:val="24"/>
        </w:rPr>
        <w:t>s</w:t>
      </w:r>
      <w:r>
        <w:rPr>
          <w:rFonts w:ascii="Garamond" w:hAnsi="Garamond"/>
          <w:sz w:val="24"/>
          <w:szCs w:val="24"/>
        </w:rPr>
        <w:t xml:space="preserve">tock and bond market </w:t>
      </w:r>
      <w:r w:rsidR="00E113CD">
        <w:rPr>
          <w:rFonts w:ascii="Garamond" w:hAnsi="Garamond"/>
          <w:sz w:val="24"/>
          <w:szCs w:val="24"/>
        </w:rPr>
        <w:t>indices</w:t>
      </w:r>
      <w:r>
        <w:rPr>
          <w:rFonts w:ascii="Garamond" w:hAnsi="Garamond"/>
          <w:sz w:val="24"/>
          <w:szCs w:val="24"/>
        </w:rPr>
        <w:t xml:space="preserve"> performed very well.  The Dow Jones Industrial Average </w:t>
      </w:r>
      <w:r w:rsidR="00E113CD">
        <w:rPr>
          <w:rFonts w:ascii="Garamond" w:hAnsi="Garamond"/>
          <w:sz w:val="24"/>
          <w:szCs w:val="24"/>
        </w:rPr>
        <w:t>was up</w:t>
      </w:r>
      <w:r>
        <w:rPr>
          <w:rFonts w:ascii="Garamond" w:hAnsi="Garamond"/>
          <w:sz w:val="24"/>
          <w:szCs w:val="24"/>
        </w:rPr>
        <w:t xml:space="preserve"> </w:t>
      </w:r>
      <w:r w:rsidR="0029501D">
        <w:rPr>
          <w:rFonts w:ascii="Garamond" w:hAnsi="Garamond"/>
          <w:sz w:val="24"/>
          <w:szCs w:val="24"/>
        </w:rPr>
        <w:t>+</w:t>
      </w:r>
      <w:r>
        <w:rPr>
          <w:rFonts w:ascii="Garamond" w:hAnsi="Garamond"/>
          <w:sz w:val="24"/>
          <w:szCs w:val="24"/>
        </w:rPr>
        <w:t xml:space="preserve">11.0% and for </w:t>
      </w:r>
      <w:r w:rsidR="0029501D">
        <w:rPr>
          <w:rFonts w:ascii="Garamond" w:hAnsi="Garamond"/>
          <w:sz w:val="24"/>
          <w:szCs w:val="24"/>
        </w:rPr>
        <w:t>+</w:t>
      </w:r>
      <w:r>
        <w:rPr>
          <w:rFonts w:ascii="Garamond" w:hAnsi="Garamond"/>
          <w:sz w:val="24"/>
          <w:szCs w:val="24"/>
        </w:rPr>
        <w:t>28.1% for the year.  The broader S&amp;P 500 was up+ 6.6% and +21.8% for the quarter and the year respectively.  The NASDA</w:t>
      </w:r>
      <w:r w:rsidR="008A3771">
        <w:rPr>
          <w:rFonts w:ascii="Garamond" w:hAnsi="Garamond"/>
          <w:sz w:val="24"/>
          <w:szCs w:val="24"/>
        </w:rPr>
        <w:t>Q</w:t>
      </w:r>
      <w:r>
        <w:rPr>
          <w:rFonts w:ascii="Garamond" w:hAnsi="Garamond"/>
          <w:sz w:val="24"/>
          <w:szCs w:val="24"/>
        </w:rPr>
        <w:t xml:space="preserve"> Composite had returns of +6.6% and </w:t>
      </w:r>
      <w:r w:rsidR="008A3771">
        <w:rPr>
          <w:rFonts w:ascii="Garamond" w:hAnsi="Garamond"/>
          <w:sz w:val="24"/>
          <w:szCs w:val="24"/>
        </w:rPr>
        <w:t>+</w:t>
      </w:r>
      <w:r>
        <w:rPr>
          <w:rFonts w:ascii="Garamond" w:hAnsi="Garamond"/>
          <w:sz w:val="24"/>
          <w:szCs w:val="24"/>
        </w:rPr>
        <w:t xml:space="preserve">29.6% </w:t>
      </w:r>
      <w:r w:rsidR="0090338A">
        <w:rPr>
          <w:rFonts w:ascii="Garamond" w:hAnsi="Garamond"/>
          <w:sz w:val="24"/>
          <w:szCs w:val="24"/>
        </w:rPr>
        <w:t>for</w:t>
      </w:r>
      <w:r w:rsidR="008A3771">
        <w:rPr>
          <w:rFonts w:ascii="Garamond" w:hAnsi="Garamond"/>
          <w:sz w:val="24"/>
          <w:szCs w:val="24"/>
        </w:rPr>
        <w:t xml:space="preserve"> the quarter and year.  </w:t>
      </w:r>
      <w:r w:rsidR="0090338A">
        <w:rPr>
          <w:rFonts w:ascii="Garamond" w:hAnsi="Garamond"/>
          <w:sz w:val="24"/>
          <w:szCs w:val="24"/>
        </w:rPr>
        <w:t xml:space="preserve">The bull market has now endured for 103 months, the second longest in history.  What will interrupt the upward trend is the question at hand.  </w:t>
      </w:r>
      <w:r>
        <w:rPr>
          <w:rFonts w:ascii="Garamond" w:hAnsi="Garamond"/>
          <w:sz w:val="24"/>
          <w:szCs w:val="24"/>
        </w:rPr>
        <w:t xml:space="preserve">The bond market had lower level positive gains </w:t>
      </w:r>
      <w:r w:rsidR="008A3771">
        <w:rPr>
          <w:rFonts w:ascii="Garamond" w:hAnsi="Garamond"/>
          <w:sz w:val="24"/>
          <w:szCs w:val="24"/>
        </w:rPr>
        <w:t>despite three interest rate increases during 2017; the</w:t>
      </w:r>
      <w:r>
        <w:rPr>
          <w:rFonts w:ascii="Garamond" w:hAnsi="Garamond"/>
          <w:sz w:val="24"/>
          <w:szCs w:val="24"/>
        </w:rPr>
        <w:t xml:space="preserve"> Barclay’s Aggregate Index </w:t>
      </w:r>
      <w:r w:rsidR="0090338A">
        <w:rPr>
          <w:rFonts w:ascii="Garamond" w:hAnsi="Garamond"/>
          <w:sz w:val="24"/>
          <w:szCs w:val="24"/>
        </w:rPr>
        <w:t xml:space="preserve">was </w:t>
      </w:r>
      <w:r>
        <w:rPr>
          <w:rFonts w:ascii="Garamond" w:hAnsi="Garamond"/>
          <w:sz w:val="24"/>
          <w:szCs w:val="24"/>
        </w:rPr>
        <w:t>up +</w:t>
      </w:r>
      <w:r w:rsidR="00E113CD">
        <w:rPr>
          <w:rFonts w:ascii="Garamond" w:hAnsi="Garamond"/>
          <w:sz w:val="24"/>
          <w:szCs w:val="24"/>
        </w:rPr>
        <w:t xml:space="preserve">0.4% </w:t>
      </w:r>
      <w:r w:rsidR="008A3771">
        <w:rPr>
          <w:rFonts w:ascii="Garamond" w:hAnsi="Garamond"/>
          <w:sz w:val="24"/>
          <w:szCs w:val="24"/>
        </w:rPr>
        <w:t xml:space="preserve">for the quarter </w:t>
      </w:r>
      <w:r w:rsidR="0090338A">
        <w:rPr>
          <w:rFonts w:ascii="Garamond" w:hAnsi="Garamond"/>
          <w:sz w:val="24"/>
          <w:szCs w:val="24"/>
        </w:rPr>
        <w:t>and 3.5</w:t>
      </w:r>
      <w:r w:rsidR="00E113CD">
        <w:rPr>
          <w:rFonts w:ascii="Garamond" w:hAnsi="Garamond"/>
          <w:sz w:val="24"/>
          <w:szCs w:val="24"/>
        </w:rPr>
        <w:t>%</w:t>
      </w:r>
      <w:r w:rsidR="008A3771">
        <w:rPr>
          <w:rFonts w:ascii="Garamond" w:hAnsi="Garamond"/>
          <w:sz w:val="24"/>
          <w:szCs w:val="24"/>
        </w:rPr>
        <w:t xml:space="preserve"> for the year.</w:t>
      </w:r>
    </w:p>
    <w:p w14:paraId="2E0E2D5C" w14:textId="77777777" w:rsidR="00E113CD" w:rsidRPr="005B7B08" w:rsidRDefault="00E113CD" w:rsidP="00DF38EC">
      <w:pPr>
        <w:spacing w:after="280" w:line="240" w:lineRule="auto"/>
        <w:contextualSpacing/>
        <w:rPr>
          <w:rFonts w:ascii="Garamond" w:hAnsi="Garamond"/>
          <w:sz w:val="24"/>
          <w:szCs w:val="24"/>
        </w:rPr>
      </w:pPr>
    </w:p>
    <w:p w14:paraId="18AE1AFD" w14:textId="7B1FFB94" w:rsidR="00C90BC0" w:rsidRPr="005B7B08" w:rsidRDefault="00E113CD" w:rsidP="00DF38EC">
      <w:pPr>
        <w:spacing w:after="280" w:line="240" w:lineRule="auto"/>
        <w:contextualSpacing/>
        <w:rPr>
          <w:rFonts w:ascii="Garamond" w:hAnsi="Garamond"/>
          <w:sz w:val="24"/>
          <w:szCs w:val="24"/>
        </w:rPr>
      </w:pPr>
      <w:r>
        <w:rPr>
          <w:rFonts w:ascii="Garamond" w:hAnsi="Garamond"/>
          <w:sz w:val="24"/>
          <w:szCs w:val="24"/>
        </w:rPr>
        <w:t>The economy broke out in 2017.  Confidence is high</w:t>
      </w:r>
      <w:r w:rsidR="0029501D">
        <w:rPr>
          <w:rFonts w:ascii="Garamond" w:hAnsi="Garamond"/>
          <w:sz w:val="24"/>
          <w:szCs w:val="24"/>
        </w:rPr>
        <w:t xml:space="preserve"> and</w:t>
      </w:r>
      <w:r w:rsidR="00335EFA">
        <w:rPr>
          <w:rFonts w:ascii="Garamond" w:hAnsi="Garamond"/>
          <w:sz w:val="24"/>
          <w:szCs w:val="24"/>
        </w:rPr>
        <w:t xml:space="preserve"> </w:t>
      </w:r>
      <w:r>
        <w:rPr>
          <w:rFonts w:ascii="Garamond" w:hAnsi="Garamond"/>
          <w:sz w:val="24"/>
          <w:szCs w:val="24"/>
        </w:rPr>
        <w:t>employment, in terms of jobs created</w:t>
      </w:r>
      <w:r w:rsidR="0029501D">
        <w:rPr>
          <w:rFonts w:ascii="Garamond" w:hAnsi="Garamond"/>
          <w:sz w:val="24"/>
          <w:szCs w:val="24"/>
        </w:rPr>
        <w:t>,</w:t>
      </w:r>
      <w:r>
        <w:rPr>
          <w:rFonts w:ascii="Garamond" w:hAnsi="Garamond"/>
          <w:sz w:val="24"/>
          <w:szCs w:val="24"/>
        </w:rPr>
        <w:t xml:space="preserve"> is growing (th</w:t>
      </w:r>
      <w:r w:rsidR="008A3771">
        <w:rPr>
          <w:rFonts w:ascii="Garamond" w:hAnsi="Garamond"/>
          <w:sz w:val="24"/>
          <w:szCs w:val="24"/>
        </w:rPr>
        <w:t>e</w:t>
      </w:r>
      <w:r>
        <w:rPr>
          <w:rFonts w:ascii="Garamond" w:hAnsi="Garamond"/>
          <w:sz w:val="24"/>
          <w:szCs w:val="24"/>
        </w:rPr>
        <w:t xml:space="preserve"> unemployment rate is down to about 4%)</w:t>
      </w:r>
      <w:r w:rsidR="0029501D">
        <w:rPr>
          <w:rFonts w:ascii="Garamond" w:hAnsi="Garamond"/>
          <w:sz w:val="24"/>
          <w:szCs w:val="24"/>
        </w:rPr>
        <w:t>; w</w:t>
      </w:r>
      <w:r>
        <w:rPr>
          <w:rFonts w:ascii="Garamond" w:hAnsi="Garamond"/>
          <w:sz w:val="24"/>
          <w:szCs w:val="24"/>
        </w:rPr>
        <w:t xml:space="preserve">ages are beginning to move up.  A large factor in the economic growth has been the reduction in the number of </w:t>
      </w:r>
      <w:r w:rsidR="008A3771">
        <w:rPr>
          <w:rFonts w:ascii="Garamond" w:hAnsi="Garamond"/>
          <w:sz w:val="24"/>
          <w:szCs w:val="24"/>
        </w:rPr>
        <w:t>anti-business</w:t>
      </w:r>
      <w:r>
        <w:rPr>
          <w:rFonts w:ascii="Garamond" w:hAnsi="Garamond"/>
          <w:sz w:val="24"/>
          <w:szCs w:val="24"/>
        </w:rPr>
        <w:t xml:space="preserve"> regulation</w:t>
      </w:r>
      <w:r w:rsidR="0029501D">
        <w:rPr>
          <w:rFonts w:ascii="Garamond" w:hAnsi="Garamond"/>
          <w:sz w:val="24"/>
          <w:szCs w:val="24"/>
        </w:rPr>
        <w:t>s</w:t>
      </w:r>
      <w:r>
        <w:rPr>
          <w:rFonts w:ascii="Garamond" w:hAnsi="Garamond"/>
          <w:sz w:val="24"/>
          <w:szCs w:val="24"/>
        </w:rPr>
        <w:t xml:space="preserve"> on the books </w:t>
      </w:r>
      <w:r w:rsidR="0090338A">
        <w:rPr>
          <w:rFonts w:ascii="Garamond" w:hAnsi="Garamond"/>
          <w:sz w:val="24"/>
          <w:szCs w:val="24"/>
        </w:rPr>
        <w:t>as well as the tax reform law.  The major tax overhaul passed in December lowered corporate tax rates making the U.S. more competitive worldwide and individual tax rates were also lowered.  It is anticipated that this will spur investment and job creation in the U.S.  However, a very significant number of tax deductions – state/local taxes, mortgage interest and property taxes – were either eliminated or capped.  The implication of this on the high tax states-NY, NJ, California and Illinois – remains to be seen.</w:t>
      </w:r>
    </w:p>
    <w:p w14:paraId="63E14814" w14:textId="0CFF5610" w:rsidR="005B7B08" w:rsidRDefault="005B7B08" w:rsidP="00DF38EC">
      <w:pPr>
        <w:spacing w:after="280" w:line="240" w:lineRule="auto"/>
        <w:contextualSpacing/>
        <w:rPr>
          <w:rFonts w:ascii="Garamond" w:hAnsi="Garamond"/>
          <w:sz w:val="24"/>
          <w:szCs w:val="24"/>
        </w:rPr>
      </w:pPr>
    </w:p>
    <w:p w14:paraId="3A9552DE" w14:textId="74E89BA9" w:rsidR="00E113CD" w:rsidRDefault="00E113CD" w:rsidP="00DF38EC">
      <w:pPr>
        <w:spacing w:after="280" w:line="240" w:lineRule="auto"/>
        <w:contextualSpacing/>
        <w:rPr>
          <w:rFonts w:ascii="Garamond" w:hAnsi="Garamond"/>
          <w:sz w:val="24"/>
          <w:szCs w:val="24"/>
        </w:rPr>
      </w:pPr>
      <w:r>
        <w:rPr>
          <w:rFonts w:ascii="Garamond" w:hAnsi="Garamond"/>
          <w:sz w:val="24"/>
          <w:szCs w:val="24"/>
        </w:rPr>
        <w:t xml:space="preserve">Inflation is </w:t>
      </w:r>
      <w:r w:rsidR="00A13790">
        <w:rPr>
          <w:rFonts w:ascii="Garamond" w:hAnsi="Garamond"/>
          <w:sz w:val="24"/>
          <w:szCs w:val="24"/>
        </w:rPr>
        <w:t>s</w:t>
      </w:r>
      <w:r>
        <w:rPr>
          <w:rFonts w:ascii="Garamond" w:hAnsi="Garamond"/>
          <w:sz w:val="24"/>
          <w:szCs w:val="24"/>
        </w:rPr>
        <w:t>till low, however, a</w:t>
      </w:r>
      <w:r w:rsidR="0029501D">
        <w:rPr>
          <w:rFonts w:ascii="Garamond" w:hAnsi="Garamond"/>
          <w:sz w:val="24"/>
          <w:szCs w:val="24"/>
        </w:rPr>
        <w:t>s</w:t>
      </w:r>
      <w:r w:rsidR="0090338A">
        <w:rPr>
          <w:rFonts w:ascii="Garamond" w:hAnsi="Garamond"/>
          <w:sz w:val="24"/>
          <w:szCs w:val="24"/>
        </w:rPr>
        <w:t xml:space="preserve"> part of the effort to return rates to more normal historical levels, the</w:t>
      </w:r>
      <w:r>
        <w:rPr>
          <w:rFonts w:ascii="Garamond" w:hAnsi="Garamond"/>
          <w:sz w:val="24"/>
          <w:szCs w:val="24"/>
        </w:rPr>
        <w:t xml:space="preserve"> Federal Reserve increased rate</w:t>
      </w:r>
      <w:r w:rsidR="00A13790">
        <w:rPr>
          <w:rFonts w:ascii="Garamond" w:hAnsi="Garamond"/>
          <w:sz w:val="24"/>
          <w:szCs w:val="24"/>
        </w:rPr>
        <w:t>s</w:t>
      </w:r>
      <w:r>
        <w:rPr>
          <w:rFonts w:ascii="Garamond" w:hAnsi="Garamond"/>
          <w:sz w:val="24"/>
          <w:szCs w:val="24"/>
        </w:rPr>
        <w:t xml:space="preserve"> again in December by 25bp (1/4%)</w:t>
      </w:r>
      <w:r w:rsidR="00A13790">
        <w:rPr>
          <w:rFonts w:ascii="Garamond" w:hAnsi="Garamond"/>
          <w:sz w:val="24"/>
          <w:szCs w:val="24"/>
        </w:rPr>
        <w:t xml:space="preserve">. </w:t>
      </w:r>
      <w:r>
        <w:rPr>
          <w:rFonts w:ascii="Garamond" w:hAnsi="Garamond"/>
          <w:sz w:val="24"/>
          <w:szCs w:val="24"/>
        </w:rPr>
        <w:t xml:space="preserve"> They will also probably increase rate</w:t>
      </w:r>
      <w:r w:rsidR="00A13790">
        <w:rPr>
          <w:rFonts w:ascii="Garamond" w:hAnsi="Garamond"/>
          <w:sz w:val="24"/>
          <w:szCs w:val="24"/>
        </w:rPr>
        <w:t>s</w:t>
      </w:r>
      <w:r>
        <w:rPr>
          <w:rFonts w:ascii="Garamond" w:hAnsi="Garamond"/>
          <w:sz w:val="24"/>
          <w:szCs w:val="24"/>
        </w:rPr>
        <w:t xml:space="preserve"> 2 or 3 times in 2018.</w:t>
      </w:r>
      <w:r w:rsidR="00A13790">
        <w:rPr>
          <w:rFonts w:ascii="Garamond" w:hAnsi="Garamond"/>
          <w:sz w:val="24"/>
          <w:szCs w:val="24"/>
        </w:rPr>
        <w:t xml:space="preserve">  </w:t>
      </w:r>
      <w:r w:rsidR="0090338A">
        <w:rPr>
          <w:rFonts w:ascii="Garamond" w:hAnsi="Garamond"/>
          <w:sz w:val="24"/>
          <w:szCs w:val="24"/>
        </w:rPr>
        <w:t>How this increase in rates will affect stock market valuation and investors’ appetite for equities is uncertain.</w:t>
      </w:r>
    </w:p>
    <w:p w14:paraId="7937704A" w14:textId="28D6C8D0" w:rsidR="00C90BC0" w:rsidRDefault="00C90BC0" w:rsidP="00DF38EC">
      <w:pPr>
        <w:spacing w:after="280" w:line="240" w:lineRule="auto"/>
        <w:contextualSpacing/>
        <w:rPr>
          <w:rFonts w:ascii="Garamond" w:hAnsi="Garamond"/>
          <w:sz w:val="24"/>
          <w:szCs w:val="24"/>
        </w:rPr>
      </w:pPr>
    </w:p>
    <w:p w14:paraId="52E29F17" w14:textId="7D58E647" w:rsidR="00396214" w:rsidRDefault="00396214" w:rsidP="00DF38EC">
      <w:pPr>
        <w:spacing w:after="280" w:line="240" w:lineRule="auto"/>
        <w:contextualSpacing/>
        <w:rPr>
          <w:rFonts w:ascii="Garamond" w:hAnsi="Garamond"/>
          <w:sz w:val="24"/>
          <w:szCs w:val="24"/>
        </w:rPr>
      </w:pPr>
      <w:r>
        <w:rPr>
          <w:rFonts w:ascii="Garamond" w:hAnsi="Garamond"/>
          <w:sz w:val="24"/>
          <w:szCs w:val="24"/>
        </w:rPr>
        <w:t>On the economic front, as measured by stock market indices, international markets also had a very good year.  China led the way up +42.4%.  The other major Pacific areas also had strong growth as did Europe (Germany, France</w:t>
      </w:r>
      <w:r w:rsidR="0029501D">
        <w:rPr>
          <w:rFonts w:ascii="Garamond" w:hAnsi="Garamond"/>
          <w:sz w:val="24"/>
          <w:szCs w:val="24"/>
        </w:rPr>
        <w:t xml:space="preserve"> and</w:t>
      </w:r>
      <w:r>
        <w:rPr>
          <w:rFonts w:ascii="Garamond" w:hAnsi="Garamond"/>
          <w:sz w:val="24"/>
          <w:szCs w:val="24"/>
        </w:rPr>
        <w:t xml:space="preserve"> Italy in particular) and in Latin America stronger economic growth paved the way.</w:t>
      </w:r>
    </w:p>
    <w:p w14:paraId="616564DD" w14:textId="09DB6C1F" w:rsidR="00396214" w:rsidRDefault="00396214" w:rsidP="00DF38EC">
      <w:pPr>
        <w:spacing w:after="280" w:line="240" w:lineRule="auto"/>
        <w:contextualSpacing/>
        <w:rPr>
          <w:rFonts w:ascii="Garamond" w:hAnsi="Garamond"/>
          <w:sz w:val="24"/>
          <w:szCs w:val="24"/>
        </w:rPr>
      </w:pPr>
    </w:p>
    <w:p w14:paraId="41CFA213" w14:textId="263DD128" w:rsidR="00396214" w:rsidRDefault="00396214" w:rsidP="00DF38EC">
      <w:pPr>
        <w:spacing w:after="280" w:line="240" w:lineRule="auto"/>
        <w:contextualSpacing/>
        <w:rPr>
          <w:rFonts w:ascii="Garamond" w:hAnsi="Garamond"/>
          <w:sz w:val="24"/>
          <w:szCs w:val="24"/>
        </w:rPr>
      </w:pPr>
      <w:r>
        <w:rPr>
          <w:rFonts w:ascii="Garamond" w:hAnsi="Garamond"/>
          <w:sz w:val="24"/>
          <w:szCs w:val="24"/>
        </w:rPr>
        <w:t>The International non-economic scene (if you can separate the two) was and is troubling.  The Middle East continued to be a problem</w:t>
      </w:r>
      <w:r w:rsidR="0090338A">
        <w:rPr>
          <w:rFonts w:ascii="Garamond" w:hAnsi="Garamond"/>
          <w:sz w:val="24"/>
          <w:szCs w:val="24"/>
        </w:rPr>
        <w:t xml:space="preserve"> a</w:t>
      </w:r>
      <w:r w:rsidR="0029501D">
        <w:rPr>
          <w:rFonts w:ascii="Garamond" w:hAnsi="Garamond"/>
          <w:sz w:val="24"/>
          <w:szCs w:val="24"/>
        </w:rPr>
        <w:t>s</w:t>
      </w:r>
      <w:r w:rsidR="0090338A">
        <w:rPr>
          <w:rFonts w:ascii="Garamond" w:hAnsi="Garamond"/>
          <w:sz w:val="24"/>
          <w:szCs w:val="24"/>
        </w:rPr>
        <w:t xml:space="preserve"> North Korea’s nuclear threats and provocations are very real issues.  As the </w:t>
      </w:r>
      <w:r>
        <w:rPr>
          <w:rFonts w:ascii="Garamond" w:hAnsi="Garamond"/>
          <w:sz w:val="24"/>
          <w:szCs w:val="24"/>
        </w:rPr>
        <w:t>U.S. has embarked on tougher pro-US foreign policy</w:t>
      </w:r>
      <w:r w:rsidR="0090338A">
        <w:rPr>
          <w:rFonts w:ascii="Garamond" w:hAnsi="Garamond"/>
          <w:sz w:val="24"/>
          <w:szCs w:val="24"/>
        </w:rPr>
        <w:t xml:space="preserve">, </w:t>
      </w:r>
      <w:r w:rsidR="0029501D">
        <w:rPr>
          <w:rFonts w:ascii="Garamond" w:hAnsi="Garamond"/>
          <w:sz w:val="24"/>
          <w:szCs w:val="24"/>
        </w:rPr>
        <w:t>the</w:t>
      </w:r>
      <w:r w:rsidR="0090338A">
        <w:rPr>
          <w:rFonts w:ascii="Garamond" w:hAnsi="Garamond"/>
          <w:sz w:val="24"/>
          <w:szCs w:val="24"/>
        </w:rPr>
        <w:t xml:space="preserve"> impact on trade is also at issue.</w:t>
      </w:r>
    </w:p>
    <w:p w14:paraId="6D6B4A32" w14:textId="480A4AF0" w:rsidR="00396214" w:rsidRDefault="00396214" w:rsidP="00DF38EC">
      <w:pPr>
        <w:spacing w:after="280" w:line="240" w:lineRule="auto"/>
        <w:contextualSpacing/>
        <w:rPr>
          <w:rFonts w:ascii="Garamond" w:hAnsi="Garamond"/>
          <w:sz w:val="24"/>
          <w:szCs w:val="24"/>
        </w:rPr>
      </w:pPr>
    </w:p>
    <w:p w14:paraId="47D26CF5" w14:textId="4C40BFF1" w:rsidR="00396214" w:rsidRDefault="00396214" w:rsidP="00DF38EC">
      <w:pPr>
        <w:spacing w:after="280" w:line="240" w:lineRule="auto"/>
        <w:contextualSpacing/>
        <w:rPr>
          <w:rFonts w:ascii="Garamond" w:hAnsi="Garamond"/>
          <w:sz w:val="24"/>
          <w:szCs w:val="24"/>
        </w:rPr>
      </w:pPr>
      <w:r>
        <w:rPr>
          <w:rFonts w:ascii="Garamond" w:hAnsi="Garamond"/>
          <w:sz w:val="24"/>
          <w:szCs w:val="24"/>
        </w:rPr>
        <w:t>Aside from International political uncertainties, the US domestic scene has a</w:t>
      </w:r>
      <w:r w:rsidR="0029501D">
        <w:rPr>
          <w:rFonts w:ascii="Garamond" w:hAnsi="Garamond"/>
          <w:sz w:val="24"/>
          <w:szCs w:val="24"/>
        </w:rPr>
        <w:t xml:space="preserve"> </w:t>
      </w:r>
      <w:r>
        <w:rPr>
          <w:rFonts w:ascii="Garamond" w:hAnsi="Garamond"/>
          <w:sz w:val="24"/>
          <w:szCs w:val="24"/>
        </w:rPr>
        <w:t xml:space="preserve">number of issues; immigration, infrastructure, welfare reform, opioid/drug use.  </w:t>
      </w:r>
      <w:r w:rsidR="0090338A">
        <w:rPr>
          <w:rFonts w:ascii="Garamond" w:hAnsi="Garamond"/>
          <w:sz w:val="24"/>
          <w:szCs w:val="24"/>
        </w:rPr>
        <w:t>While the unemployment rate remains low, the labor participation rate which surveys adults age 16 or older who are employed or seeking work, remains at 62.7%</w:t>
      </w:r>
      <w:r w:rsidR="0029501D">
        <w:rPr>
          <w:rFonts w:ascii="Garamond" w:hAnsi="Garamond"/>
          <w:sz w:val="24"/>
          <w:szCs w:val="24"/>
        </w:rPr>
        <w:t>,</w:t>
      </w:r>
      <w:r w:rsidR="0090338A">
        <w:rPr>
          <w:rFonts w:ascii="Garamond" w:hAnsi="Garamond"/>
          <w:sz w:val="24"/>
          <w:szCs w:val="24"/>
        </w:rPr>
        <w:t xml:space="preserve"> virtually unchanged since September 2015.  </w:t>
      </w:r>
      <w:r>
        <w:rPr>
          <w:rFonts w:ascii="Garamond" w:hAnsi="Garamond"/>
          <w:sz w:val="24"/>
          <w:szCs w:val="24"/>
        </w:rPr>
        <w:t>Market results are detailed below.</w:t>
      </w:r>
    </w:p>
    <w:p w14:paraId="7FE447E9" w14:textId="77777777" w:rsidR="00B47B0C" w:rsidRDefault="00B47B0C" w:rsidP="00DF38EC">
      <w:pPr>
        <w:spacing w:after="280" w:line="240" w:lineRule="auto"/>
        <w:contextualSpacing/>
        <w:rPr>
          <w:rFonts w:ascii="Garamond" w:eastAsia="Garamond" w:hAnsi="Garamond" w:cs="Garamond"/>
        </w:rPr>
      </w:pPr>
    </w:p>
    <w:p w14:paraId="58200871" w14:textId="77777777" w:rsidR="00DF38EC" w:rsidRPr="00DF38EC" w:rsidRDefault="00DF38EC" w:rsidP="00DF38EC">
      <w:pPr>
        <w:spacing w:after="280" w:line="240" w:lineRule="auto"/>
        <w:contextualSpacing/>
        <w:rPr>
          <w:rFonts w:ascii="Garamond" w:eastAsia="Garamond" w:hAnsi="Garamond" w:cs="Garamond"/>
        </w:rPr>
      </w:pPr>
    </w:p>
    <w:tbl>
      <w:tblPr>
        <w:tblStyle w:val="a"/>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1530"/>
        <w:gridCol w:w="1685"/>
        <w:gridCol w:w="1890"/>
        <w:gridCol w:w="1800"/>
      </w:tblGrid>
      <w:tr w:rsidR="0052480B" w:rsidRPr="005B7B08" w14:paraId="7E87562E" w14:textId="77777777" w:rsidTr="00E6169B">
        <w:tc>
          <w:tcPr>
            <w:tcW w:w="2635" w:type="dxa"/>
          </w:tcPr>
          <w:p w14:paraId="5FF0C951" w14:textId="77777777" w:rsidR="0052480B" w:rsidRPr="005B7B08" w:rsidRDefault="0052480B">
            <w:pPr>
              <w:rPr>
                <w:sz w:val="24"/>
                <w:szCs w:val="24"/>
              </w:rPr>
            </w:pPr>
          </w:p>
        </w:tc>
        <w:tc>
          <w:tcPr>
            <w:tcW w:w="1530" w:type="dxa"/>
          </w:tcPr>
          <w:p w14:paraId="33680257" w14:textId="2401B509" w:rsidR="0052480B" w:rsidRPr="005B7B08" w:rsidRDefault="001B21E4">
            <w:pPr>
              <w:jc w:val="center"/>
              <w:rPr>
                <w:sz w:val="24"/>
                <w:szCs w:val="24"/>
              </w:rPr>
            </w:pPr>
            <w:r w:rsidRPr="005B7B08">
              <w:rPr>
                <w:rFonts w:ascii="Garamond" w:eastAsia="Garamond" w:hAnsi="Garamond" w:cs="Garamond"/>
                <w:b/>
                <w:sz w:val="24"/>
                <w:szCs w:val="24"/>
              </w:rPr>
              <w:t>QUARTER</w:t>
            </w:r>
            <w:r w:rsidR="00B47B0C" w:rsidRPr="005B7B08">
              <w:rPr>
                <w:rFonts w:ascii="Garamond" w:eastAsia="Garamond" w:hAnsi="Garamond" w:cs="Garamond"/>
                <w:b/>
                <w:sz w:val="24"/>
                <w:szCs w:val="24"/>
              </w:rPr>
              <w:t xml:space="preserve"> Ending </w:t>
            </w:r>
            <w:r w:rsidR="00396214">
              <w:rPr>
                <w:rFonts w:ascii="Garamond" w:eastAsia="Garamond" w:hAnsi="Garamond" w:cs="Garamond"/>
                <w:b/>
                <w:sz w:val="24"/>
                <w:szCs w:val="24"/>
              </w:rPr>
              <w:t>12/</w:t>
            </w:r>
            <w:r w:rsidR="00D90B3B" w:rsidRPr="005B7B08">
              <w:rPr>
                <w:rFonts w:ascii="Garamond" w:eastAsia="Garamond" w:hAnsi="Garamond" w:cs="Garamond"/>
                <w:b/>
                <w:sz w:val="24"/>
                <w:szCs w:val="24"/>
              </w:rPr>
              <w:t>3</w:t>
            </w:r>
            <w:r w:rsidR="00396214">
              <w:rPr>
                <w:rFonts w:ascii="Garamond" w:eastAsia="Garamond" w:hAnsi="Garamond" w:cs="Garamond"/>
                <w:b/>
                <w:sz w:val="24"/>
                <w:szCs w:val="24"/>
              </w:rPr>
              <w:t>1</w:t>
            </w:r>
            <w:r w:rsidR="00B10912" w:rsidRPr="005B7B08">
              <w:rPr>
                <w:rFonts w:ascii="Garamond" w:eastAsia="Garamond" w:hAnsi="Garamond" w:cs="Garamond"/>
                <w:b/>
                <w:sz w:val="24"/>
                <w:szCs w:val="24"/>
              </w:rPr>
              <w:t>/2017</w:t>
            </w:r>
          </w:p>
        </w:tc>
        <w:tc>
          <w:tcPr>
            <w:tcW w:w="1685" w:type="dxa"/>
          </w:tcPr>
          <w:p w14:paraId="382E9C3F" w14:textId="77777777" w:rsidR="0052480B" w:rsidRPr="005B7B08" w:rsidRDefault="001B21E4">
            <w:pPr>
              <w:jc w:val="center"/>
              <w:rPr>
                <w:sz w:val="24"/>
                <w:szCs w:val="24"/>
              </w:rPr>
            </w:pPr>
            <w:r w:rsidRPr="005B7B08">
              <w:rPr>
                <w:rFonts w:ascii="Garamond" w:eastAsia="Garamond" w:hAnsi="Garamond" w:cs="Garamond"/>
                <w:b/>
                <w:sz w:val="24"/>
                <w:szCs w:val="24"/>
              </w:rPr>
              <w:t>12 MONTHS Ending</w:t>
            </w:r>
          </w:p>
          <w:p w14:paraId="6F2CF227" w14:textId="6A8B2192" w:rsidR="0052480B" w:rsidRPr="005B7B08" w:rsidRDefault="00B47B0C" w:rsidP="006F40FD">
            <w:pPr>
              <w:jc w:val="center"/>
              <w:rPr>
                <w:sz w:val="24"/>
                <w:szCs w:val="24"/>
              </w:rPr>
            </w:pPr>
            <w:r w:rsidRPr="005B7B08">
              <w:rPr>
                <w:rFonts w:ascii="Garamond" w:eastAsia="Garamond" w:hAnsi="Garamond" w:cs="Garamond"/>
                <w:b/>
                <w:sz w:val="24"/>
                <w:szCs w:val="24"/>
              </w:rPr>
              <w:t xml:space="preserve"> </w:t>
            </w:r>
            <w:r w:rsidR="00396214">
              <w:rPr>
                <w:rFonts w:ascii="Garamond" w:eastAsia="Garamond" w:hAnsi="Garamond" w:cs="Garamond"/>
                <w:b/>
                <w:sz w:val="24"/>
                <w:szCs w:val="24"/>
              </w:rPr>
              <w:t>12</w:t>
            </w:r>
            <w:r w:rsidR="00D90B3B" w:rsidRPr="005B7B08">
              <w:rPr>
                <w:rFonts w:ascii="Garamond" w:eastAsia="Garamond" w:hAnsi="Garamond" w:cs="Garamond"/>
                <w:b/>
                <w:sz w:val="24"/>
                <w:szCs w:val="24"/>
              </w:rPr>
              <w:t>/3</w:t>
            </w:r>
            <w:r w:rsidR="00396214">
              <w:rPr>
                <w:rFonts w:ascii="Garamond" w:eastAsia="Garamond" w:hAnsi="Garamond" w:cs="Garamond"/>
                <w:b/>
                <w:sz w:val="24"/>
                <w:szCs w:val="24"/>
              </w:rPr>
              <w:t>1</w:t>
            </w:r>
            <w:r w:rsidR="00B10912" w:rsidRPr="005B7B08">
              <w:rPr>
                <w:rFonts w:ascii="Garamond" w:eastAsia="Garamond" w:hAnsi="Garamond" w:cs="Garamond"/>
                <w:b/>
                <w:sz w:val="24"/>
                <w:szCs w:val="24"/>
              </w:rPr>
              <w:t>/2017</w:t>
            </w:r>
          </w:p>
        </w:tc>
        <w:tc>
          <w:tcPr>
            <w:tcW w:w="1890" w:type="dxa"/>
          </w:tcPr>
          <w:p w14:paraId="2A52B722" w14:textId="77777777" w:rsidR="0052480B" w:rsidRPr="005B7B08" w:rsidRDefault="001B21E4">
            <w:pPr>
              <w:jc w:val="center"/>
              <w:rPr>
                <w:sz w:val="24"/>
                <w:szCs w:val="24"/>
              </w:rPr>
            </w:pPr>
            <w:r w:rsidRPr="005B7B08">
              <w:rPr>
                <w:rFonts w:ascii="Garamond" w:eastAsia="Garamond" w:hAnsi="Garamond" w:cs="Garamond"/>
                <w:b/>
                <w:sz w:val="24"/>
                <w:szCs w:val="24"/>
              </w:rPr>
              <w:t>THREE YEARS Ending</w:t>
            </w:r>
          </w:p>
          <w:p w14:paraId="42485BA8" w14:textId="058942DB" w:rsidR="0052480B" w:rsidRPr="005B7B08" w:rsidRDefault="00B47B0C">
            <w:pPr>
              <w:jc w:val="center"/>
              <w:rPr>
                <w:sz w:val="24"/>
                <w:szCs w:val="24"/>
              </w:rPr>
            </w:pPr>
            <w:r w:rsidRPr="005B7B08">
              <w:rPr>
                <w:rFonts w:ascii="Garamond" w:eastAsia="Garamond" w:hAnsi="Garamond" w:cs="Garamond"/>
                <w:b/>
                <w:sz w:val="24"/>
                <w:szCs w:val="24"/>
              </w:rPr>
              <w:t xml:space="preserve"> </w:t>
            </w:r>
            <w:r w:rsidR="00396214">
              <w:rPr>
                <w:rFonts w:ascii="Garamond" w:eastAsia="Garamond" w:hAnsi="Garamond" w:cs="Garamond"/>
                <w:b/>
                <w:sz w:val="24"/>
                <w:szCs w:val="24"/>
              </w:rPr>
              <w:t>12</w:t>
            </w:r>
            <w:r w:rsidR="00D90B3B" w:rsidRPr="005B7B08">
              <w:rPr>
                <w:rFonts w:ascii="Garamond" w:eastAsia="Garamond" w:hAnsi="Garamond" w:cs="Garamond"/>
                <w:b/>
                <w:sz w:val="24"/>
                <w:szCs w:val="24"/>
              </w:rPr>
              <w:t>/3</w:t>
            </w:r>
            <w:r w:rsidR="00396214">
              <w:rPr>
                <w:rFonts w:ascii="Garamond" w:eastAsia="Garamond" w:hAnsi="Garamond" w:cs="Garamond"/>
                <w:b/>
                <w:sz w:val="24"/>
                <w:szCs w:val="24"/>
              </w:rPr>
              <w:t>1</w:t>
            </w:r>
            <w:r w:rsidR="00B10912" w:rsidRPr="005B7B08">
              <w:rPr>
                <w:rFonts w:ascii="Garamond" w:eastAsia="Garamond" w:hAnsi="Garamond" w:cs="Garamond"/>
                <w:b/>
                <w:sz w:val="24"/>
                <w:szCs w:val="24"/>
              </w:rPr>
              <w:t>/2017</w:t>
            </w:r>
          </w:p>
        </w:tc>
        <w:tc>
          <w:tcPr>
            <w:tcW w:w="1800" w:type="dxa"/>
          </w:tcPr>
          <w:p w14:paraId="6CF120BC" w14:textId="77777777" w:rsidR="0052480B" w:rsidRPr="005B7B08" w:rsidRDefault="001B21E4">
            <w:pPr>
              <w:jc w:val="center"/>
              <w:rPr>
                <w:sz w:val="24"/>
                <w:szCs w:val="24"/>
              </w:rPr>
            </w:pPr>
            <w:r w:rsidRPr="005B7B08">
              <w:rPr>
                <w:rFonts w:ascii="Garamond" w:eastAsia="Garamond" w:hAnsi="Garamond" w:cs="Garamond"/>
                <w:b/>
                <w:sz w:val="24"/>
                <w:szCs w:val="24"/>
              </w:rPr>
              <w:t xml:space="preserve">FIVE YEARS Ending </w:t>
            </w:r>
          </w:p>
          <w:p w14:paraId="7981AAEE" w14:textId="2774ECBF" w:rsidR="0052480B" w:rsidRPr="005B7B08" w:rsidRDefault="00396214">
            <w:pPr>
              <w:jc w:val="center"/>
              <w:rPr>
                <w:sz w:val="24"/>
                <w:szCs w:val="24"/>
              </w:rPr>
            </w:pPr>
            <w:r>
              <w:rPr>
                <w:rFonts w:ascii="Garamond" w:eastAsia="Garamond" w:hAnsi="Garamond" w:cs="Garamond"/>
                <w:b/>
                <w:sz w:val="24"/>
                <w:szCs w:val="24"/>
              </w:rPr>
              <w:t>12</w:t>
            </w:r>
            <w:r w:rsidR="00D90B3B" w:rsidRPr="005B7B08">
              <w:rPr>
                <w:rFonts w:ascii="Garamond" w:eastAsia="Garamond" w:hAnsi="Garamond" w:cs="Garamond"/>
                <w:b/>
                <w:sz w:val="24"/>
                <w:szCs w:val="24"/>
              </w:rPr>
              <w:t>/3</w:t>
            </w:r>
            <w:r>
              <w:rPr>
                <w:rFonts w:ascii="Garamond" w:eastAsia="Garamond" w:hAnsi="Garamond" w:cs="Garamond"/>
                <w:b/>
                <w:sz w:val="24"/>
                <w:szCs w:val="24"/>
              </w:rPr>
              <w:t>1</w:t>
            </w:r>
            <w:r w:rsidR="00B10912" w:rsidRPr="005B7B08">
              <w:rPr>
                <w:rFonts w:ascii="Garamond" w:eastAsia="Garamond" w:hAnsi="Garamond" w:cs="Garamond"/>
                <w:b/>
                <w:sz w:val="24"/>
                <w:szCs w:val="24"/>
              </w:rPr>
              <w:t>/2017</w:t>
            </w:r>
          </w:p>
        </w:tc>
      </w:tr>
      <w:tr w:rsidR="0052480B" w:rsidRPr="005B7B08" w14:paraId="0E5EB0CA" w14:textId="77777777" w:rsidTr="00E6169B">
        <w:tc>
          <w:tcPr>
            <w:tcW w:w="2635" w:type="dxa"/>
          </w:tcPr>
          <w:p w14:paraId="29022E4E" w14:textId="77777777" w:rsidR="0052480B" w:rsidRPr="005B7B08" w:rsidRDefault="001B21E4">
            <w:pPr>
              <w:pStyle w:val="Heading2"/>
              <w:outlineLvl w:val="1"/>
            </w:pPr>
            <w:r w:rsidRPr="005B7B08">
              <w:rPr>
                <w:rFonts w:ascii="Garamond" w:eastAsia="Garamond" w:hAnsi="Garamond" w:cs="Garamond"/>
                <w:b/>
                <w:u w:val="none"/>
              </w:rPr>
              <w:t>DJIA</w:t>
            </w:r>
          </w:p>
        </w:tc>
        <w:tc>
          <w:tcPr>
            <w:tcW w:w="1530" w:type="dxa"/>
          </w:tcPr>
          <w:p w14:paraId="53B72919" w14:textId="468D44F6" w:rsidR="0052480B" w:rsidRPr="005B7B08" w:rsidRDefault="00396214">
            <w:pPr>
              <w:jc w:val="center"/>
              <w:rPr>
                <w:sz w:val="24"/>
                <w:szCs w:val="24"/>
              </w:rPr>
            </w:pPr>
            <w:r>
              <w:rPr>
                <w:rFonts w:ascii="Garamond" w:eastAsia="Garamond" w:hAnsi="Garamond" w:cs="Garamond"/>
                <w:sz w:val="24"/>
                <w:szCs w:val="24"/>
              </w:rPr>
              <w:t>11</w:t>
            </w:r>
            <w:r w:rsidR="00C713B9">
              <w:rPr>
                <w:rFonts w:ascii="Garamond" w:eastAsia="Garamond" w:hAnsi="Garamond" w:cs="Garamond"/>
                <w:sz w:val="24"/>
                <w:szCs w:val="24"/>
              </w:rPr>
              <w:t>.</w:t>
            </w:r>
            <w:r>
              <w:rPr>
                <w:rFonts w:ascii="Garamond" w:eastAsia="Garamond" w:hAnsi="Garamond" w:cs="Garamond"/>
                <w:sz w:val="24"/>
                <w:szCs w:val="24"/>
              </w:rPr>
              <w:t>0</w:t>
            </w:r>
            <w:r w:rsidR="006916E2" w:rsidRPr="005B7B08">
              <w:rPr>
                <w:rFonts w:ascii="Garamond" w:eastAsia="Garamond" w:hAnsi="Garamond" w:cs="Garamond"/>
                <w:sz w:val="24"/>
                <w:szCs w:val="24"/>
              </w:rPr>
              <w:t>%</w:t>
            </w:r>
          </w:p>
        </w:tc>
        <w:tc>
          <w:tcPr>
            <w:tcW w:w="1685" w:type="dxa"/>
          </w:tcPr>
          <w:p w14:paraId="34B077DA" w14:textId="1608D8D6" w:rsidR="0052480B" w:rsidRPr="005B7B08" w:rsidRDefault="00C713B9">
            <w:pPr>
              <w:jc w:val="center"/>
              <w:rPr>
                <w:sz w:val="24"/>
                <w:szCs w:val="24"/>
              </w:rPr>
            </w:pPr>
            <w:r>
              <w:rPr>
                <w:rFonts w:ascii="Garamond" w:eastAsia="Garamond" w:hAnsi="Garamond" w:cs="Garamond"/>
                <w:sz w:val="24"/>
                <w:szCs w:val="24"/>
              </w:rPr>
              <w:t>2</w:t>
            </w:r>
            <w:r w:rsidR="008A3771">
              <w:rPr>
                <w:rFonts w:ascii="Garamond" w:eastAsia="Garamond" w:hAnsi="Garamond" w:cs="Garamond"/>
                <w:sz w:val="24"/>
                <w:szCs w:val="24"/>
              </w:rPr>
              <w:t>8.1</w:t>
            </w:r>
            <w:r w:rsidR="001B21E4" w:rsidRPr="005B7B08">
              <w:rPr>
                <w:rFonts w:ascii="Garamond" w:eastAsia="Garamond" w:hAnsi="Garamond" w:cs="Garamond"/>
                <w:sz w:val="24"/>
                <w:szCs w:val="24"/>
              </w:rPr>
              <w:t>%</w:t>
            </w:r>
          </w:p>
        </w:tc>
        <w:tc>
          <w:tcPr>
            <w:tcW w:w="1890" w:type="dxa"/>
          </w:tcPr>
          <w:p w14:paraId="70F2C2E1" w14:textId="7202828D"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6.0</w:t>
            </w:r>
            <w:r w:rsidR="001B21E4" w:rsidRPr="005B7B08">
              <w:rPr>
                <w:rFonts w:ascii="Garamond" w:eastAsia="Garamond" w:hAnsi="Garamond" w:cs="Garamond"/>
                <w:sz w:val="24"/>
                <w:szCs w:val="24"/>
              </w:rPr>
              <w:t>%</w:t>
            </w:r>
          </w:p>
        </w:tc>
        <w:tc>
          <w:tcPr>
            <w:tcW w:w="1800" w:type="dxa"/>
          </w:tcPr>
          <w:p w14:paraId="2C2B2607" w14:textId="37E271ED"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6.3</w:t>
            </w:r>
            <w:r w:rsidR="001B21E4" w:rsidRPr="005B7B08">
              <w:rPr>
                <w:rFonts w:ascii="Garamond" w:eastAsia="Garamond" w:hAnsi="Garamond" w:cs="Garamond"/>
                <w:sz w:val="24"/>
                <w:szCs w:val="24"/>
              </w:rPr>
              <w:t>%</w:t>
            </w:r>
          </w:p>
        </w:tc>
      </w:tr>
      <w:tr w:rsidR="0052480B" w:rsidRPr="005B7B08" w14:paraId="40A83E67" w14:textId="77777777" w:rsidTr="00E6169B">
        <w:tc>
          <w:tcPr>
            <w:tcW w:w="2635" w:type="dxa"/>
          </w:tcPr>
          <w:p w14:paraId="61B0EB7B" w14:textId="77777777" w:rsidR="0052480B" w:rsidRPr="005B7B08" w:rsidRDefault="001B21E4">
            <w:pPr>
              <w:rPr>
                <w:sz w:val="24"/>
                <w:szCs w:val="24"/>
              </w:rPr>
            </w:pPr>
            <w:r w:rsidRPr="005B7B08">
              <w:rPr>
                <w:rFonts w:ascii="Garamond" w:eastAsia="Garamond" w:hAnsi="Garamond" w:cs="Garamond"/>
                <w:b/>
                <w:sz w:val="24"/>
                <w:szCs w:val="24"/>
              </w:rPr>
              <w:t>S &amp; P 500</w:t>
            </w:r>
          </w:p>
        </w:tc>
        <w:tc>
          <w:tcPr>
            <w:tcW w:w="1530" w:type="dxa"/>
          </w:tcPr>
          <w:p w14:paraId="5B46AD11" w14:textId="48042B5B" w:rsidR="0052480B" w:rsidRPr="005B7B08" w:rsidRDefault="008A3771">
            <w:pPr>
              <w:jc w:val="center"/>
              <w:rPr>
                <w:sz w:val="24"/>
                <w:szCs w:val="24"/>
              </w:rPr>
            </w:pPr>
            <w:r>
              <w:rPr>
                <w:rFonts w:ascii="Garamond" w:eastAsia="Garamond" w:hAnsi="Garamond" w:cs="Garamond"/>
                <w:sz w:val="24"/>
                <w:szCs w:val="24"/>
              </w:rPr>
              <w:t>6.6</w:t>
            </w:r>
            <w:r w:rsidR="001B21E4" w:rsidRPr="005B7B08">
              <w:rPr>
                <w:rFonts w:ascii="Garamond" w:eastAsia="Garamond" w:hAnsi="Garamond" w:cs="Garamond"/>
                <w:sz w:val="24"/>
                <w:szCs w:val="24"/>
              </w:rPr>
              <w:t>%</w:t>
            </w:r>
          </w:p>
        </w:tc>
        <w:tc>
          <w:tcPr>
            <w:tcW w:w="1685" w:type="dxa"/>
          </w:tcPr>
          <w:p w14:paraId="416A47C8" w14:textId="1B0C3D97" w:rsidR="0052480B" w:rsidRPr="005B7B08" w:rsidRDefault="008A3771">
            <w:pPr>
              <w:jc w:val="center"/>
              <w:rPr>
                <w:sz w:val="24"/>
                <w:szCs w:val="24"/>
              </w:rPr>
            </w:pPr>
            <w:r>
              <w:rPr>
                <w:rFonts w:ascii="Garamond" w:eastAsia="Garamond" w:hAnsi="Garamond" w:cs="Garamond"/>
                <w:sz w:val="24"/>
                <w:szCs w:val="24"/>
              </w:rPr>
              <w:t>21.8</w:t>
            </w:r>
            <w:r w:rsidR="001B21E4" w:rsidRPr="005B7B08">
              <w:rPr>
                <w:rFonts w:ascii="Garamond" w:eastAsia="Garamond" w:hAnsi="Garamond" w:cs="Garamond"/>
                <w:sz w:val="24"/>
                <w:szCs w:val="24"/>
              </w:rPr>
              <w:t>%</w:t>
            </w:r>
          </w:p>
        </w:tc>
        <w:tc>
          <w:tcPr>
            <w:tcW w:w="1890" w:type="dxa"/>
          </w:tcPr>
          <w:p w14:paraId="25509EFF" w14:textId="32CB0CB7"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3.1</w:t>
            </w:r>
            <w:r w:rsidR="001B21E4" w:rsidRPr="005B7B08">
              <w:rPr>
                <w:rFonts w:ascii="Garamond" w:eastAsia="Garamond" w:hAnsi="Garamond" w:cs="Garamond"/>
                <w:sz w:val="24"/>
                <w:szCs w:val="24"/>
              </w:rPr>
              <w:t>%</w:t>
            </w:r>
          </w:p>
        </w:tc>
        <w:tc>
          <w:tcPr>
            <w:tcW w:w="1800" w:type="dxa"/>
          </w:tcPr>
          <w:p w14:paraId="20F06039" w14:textId="795D0FB9"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5.7</w:t>
            </w:r>
            <w:r w:rsidR="001B21E4" w:rsidRPr="005B7B08">
              <w:rPr>
                <w:rFonts w:ascii="Garamond" w:eastAsia="Garamond" w:hAnsi="Garamond" w:cs="Garamond"/>
                <w:sz w:val="24"/>
                <w:szCs w:val="24"/>
              </w:rPr>
              <w:t>%</w:t>
            </w:r>
          </w:p>
        </w:tc>
      </w:tr>
      <w:tr w:rsidR="0052480B" w:rsidRPr="005B7B08" w14:paraId="7409ED40" w14:textId="77777777" w:rsidTr="00E6169B">
        <w:tc>
          <w:tcPr>
            <w:tcW w:w="2635" w:type="dxa"/>
          </w:tcPr>
          <w:p w14:paraId="116ECB24" w14:textId="77777777" w:rsidR="0052480B" w:rsidRPr="005B7B08" w:rsidRDefault="001B21E4">
            <w:pPr>
              <w:rPr>
                <w:sz w:val="24"/>
                <w:szCs w:val="24"/>
              </w:rPr>
            </w:pPr>
            <w:r w:rsidRPr="005B7B08">
              <w:rPr>
                <w:rFonts w:ascii="Garamond" w:eastAsia="Garamond" w:hAnsi="Garamond" w:cs="Garamond"/>
                <w:b/>
                <w:sz w:val="24"/>
                <w:szCs w:val="24"/>
              </w:rPr>
              <w:t>NASDAQ Composite</w:t>
            </w:r>
          </w:p>
        </w:tc>
        <w:tc>
          <w:tcPr>
            <w:tcW w:w="1530" w:type="dxa"/>
          </w:tcPr>
          <w:p w14:paraId="6273CFC2" w14:textId="30AA4AB0" w:rsidR="0052480B" w:rsidRPr="005B7B08" w:rsidRDefault="00C713B9">
            <w:pPr>
              <w:jc w:val="center"/>
              <w:rPr>
                <w:sz w:val="24"/>
                <w:szCs w:val="24"/>
              </w:rPr>
            </w:pPr>
            <w:r>
              <w:rPr>
                <w:rFonts w:ascii="Garamond" w:eastAsia="Garamond" w:hAnsi="Garamond" w:cs="Garamond"/>
                <w:sz w:val="24"/>
                <w:szCs w:val="24"/>
              </w:rPr>
              <w:t>6.</w:t>
            </w:r>
            <w:r w:rsidR="008A3771">
              <w:rPr>
                <w:rFonts w:ascii="Garamond" w:eastAsia="Garamond" w:hAnsi="Garamond" w:cs="Garamond"/>
                <w:sz w:val="24"/>
                <w:szCs w:val="24"/>
              </w:rPr>
              <w:t>6</w:t>
            </w:r>
            <w:r w:rsidR="001B21E4" w:rsidRPr="005B7B08">
              <w:rPr>
                <w:rFonts w:ascii="Garamond" w:eastAsia="Garamond" w:hAnsi="Garamond" w:cs="Garamond"/>
                <w:sz w:val="24"/>
                <w:szCs w:val="24"/>
              </w:rPr>
              <w:t>%</w:t>
            </w:r>
          </w:p>
        </w:tc>
        <w:tc>
          <w:tcPr>
            <w:tcW w:w="1685" w:type="dxa"/>
          </w:tcPr>
          <w:p w14:paraId="0FF641B6" w14:textId="630183F4" w:rsidR="0052480B" w:rsidRPr="005B7B08" w:rsidRDefault="00C713B9">
            <w:pPr>
              <w:jc w:val="center"/>
              <w:rPr>
                <w:sz w:val="24"/>
                <w:szCs w:val="24"/>
              </w:rPr>
            </w:pPr>
            <w:r>
              <w:rPr>
                <w:rFonts w:ascii="Garamond" w:eastAsia="Garamond" w:hAnsi="Garamond" w:cs="Garamond"/>
                <w:sz w:val="24"/>
                <w:szCs w:val="24"/>
              </w:rPr>
              <w:t>2</w:t>
            </w:r>
            <w:r w:rsidR="008A3771">
              <w:rPr>
                <w:rFonts w:ascii="Garamond" w:eastAsia="Garamond" w:hAnsi="Garamond" w:cs="Garamond"/>
                <w:sz w:val="24"/>
                <w:szCs w:val="24"/>
              </w:rPr>
              <w:t>9.6</w:t>
            </w:r>
            <w:r w:rsidR="001B21E4" w:rsidRPr="005B7B08">
              <w:rPr>
                <w:rFonts w:ascii="Garamond" w:eastAsia="Garamond" w:hAnsi="Garamond" w:cs="Garamond"/>
                <w:sz w:val="24"/>
                <w:szCs w:val="24"/>
              </w:rPr>
              <w:t>%</w:t>
            </w:r>
          </w:p>
        </w:tc>
        <w:tc>
          <w:tcPr>
            <w:tcW w:w="1890" w:type="dxa"/>
          </w:tcPr>
          <w:p w14:paraId="75439CBC" w14:textId="4F37AE21"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6.7</w:t>
            </w:r>
            <w:r w:rsidR="001B21E4" w:rsidRPr="005B7B08">
              <w:rPr>
                <w:rFonts w:ascii="Garamond" w:eastAsia="Garamond" w:hAnsi="Garamond" w:cs="Garamond"/>
                <w:sz w:val="24"/>
                <w:szCs w:val="24"/>
              </w:rPr>
              <w:t>%</w:t>
            </w:r>
          </w:p>
        </w:tc>
        <w:tc>
          <w:tcPr>
            <w:tcW w:w="1800" w:type="dxa"/>
          </w:tcPr>
          <w:p w14:paraId="3DE0CC49" w14:textId="1977E9DC" w:rsidR="0052480B" w:rsidRPr="005B7B08" w:rsidRDefault="00C713B9">
            <w:pPr>
              <w:jc w:val="center"/>
              <w:rPr>
                <w:sz w:val="24"/>
                <w:szCs w:val="24"/>
              </w:rPr>
            </w:pPr>
            <w:r>
              <w:rPr>
                <w:rFonts w:ascii="Garamond" w:eastAsia="Garamond" w:hAnsi="Garamond" w:cs="Garamond"/>
                <w:sz w:val="24"/>
                <w:szCs w:val="24"/>
              </w:rPr>
              <w:t>1</w:t>
            </w:r>
            <w:r w:rsidR="008A3771">
              <w:rPr>
                <w:rFonts w:ascii="Garamond" w:eastAsia="Garamond" w:hAnsi="Garamond" w:cs="Garamond"/>
                <w:sz w:val="24"/>
                <w:szCs w:val="24"/>
              </w:rPr>
              <w:t>9.6</w:t>
            </w:r>
            <w:r w:rsidR="001B21E4" w:rsidRPr="005B7B08">
              <w:rPr>
                <w:rFonts w:ascii="Garamond" w:eastAsia="Garamond" w:hAnsi="Garamond" w:cs="Garamond"/>
                <w:sz w:val="24"/>
                <w:szCs w:val="24"/>
              </w:rPr>
              <w:t>%</w:t>
            </w:r>
          </w:p>
        </w:tc>
      </w:tr>
      <w:tr w:rsidR="0052480B" w:rsidRPr="005B7B08" w14:paraId="5278042D" w14:textId="77777777" w:rsidTr="00E6169B">
        <w:tc>
          <w:tcPr>
            <w:tcW w:w="2635" w:type="dxa"/>
          </w:tcPr>
          <w:p w14:paraId="3BDF9D32" w14:textId="39418FE4" w:rsidR="0052480B" w:rsidRPr="005B7B08" w:rsidRDefault="001B21E4">
            <w:pPr>
              <w:rPr>
                <w:sz w:val="24"/>
                <w:szCs w:val="24"/>
              </w:rPr>
            </w:pPr>
            <w:r w:rsidRPr="005B7B08">
              <w:rPr>
                <w:rFonts w:ascii="Garamond" w:eastAsia="Garamond" w:hAnsi="Garamond" w:cs="Garamond"/>
                <w:b/>
                <w:sz w:val="24"/>
                <w:szCs w:val="24"/>
              </w:rPr>
              <w:t xml:space="preserve">Barclay Agg. </w:t>
            </w:r>
            <w:r w:rsidR="00A13790">
              <w:rPr>
                <w:rFonts w:ascii="Garamond" w:eastAsia="Garamond" w:hAnsi="Garamond" w:cs="Garamond"/>
                <w:b/>
                <w:sz w:val="24"/>
                <w:szCs w:val="24"/>
              </w:rPr>
              <w:t>B</w:t>
            </w:r>
            <w:r w:rsidRPr="005B7B08">
              <w:rPr>
                <w:rFonts w:ascii="Garamond" w:eastAsia="Garamond" w:hAnsi="Garamond" w:cs="Garamond"/>
                <w:b/>
                <w:sz w:val="24"/>
                <w:szCs w:val="24"/>
              </w:rPr>
              <w:t>ond</w:t>
            </w:r>
          </w:p>
        </w:tc>
        <w:tc>
          <w:tcPr>
            <w:tcW w:w="1530" w:type="dxa"/>
          </w:tcPr>
          <w:p w14:paraId="0C9E6534" w14:textId="2211AA45" w:rsidR="0052480B" w:rsidRPr="005B7B08" w:rsidRDefault="00C713B9">
            <w:pPr>
              <w:jc w:val="center"/>
              <w:rPr>
                <w:sz w:val="24"/>
                <w:szCs w:val="24"/>
              </w:rPr>
            </w:pPr>
            <w:r>
              <w:rPr>
                <w:rFonts w:ascii="Garamond" w:eastAsia="Garamond" w:hAnsi="Garamond" w:cs="Garamond"/>
                <w:sz w:val="24"/>
                <w:szCs w:val="24"/>
              </w:rPr>
              <w:t>0.</w:t>
            </w:r>
            <w:r w:rsidR="008A3771">
              <w:rPr>
                <w:rFonts w:ascii="Garamond" w:eastAsia="Garamond" w:hAnsi="Garamond" w:cs="Garamond"/>
                <w:sz w:val="24"/>
                <w:szCs w:val="24"/>
              </w:rPr>
              <w:t>4</w:t>
            </w:r>
            <w:r w:rsidR="001B21E4" w:rsidRPr="005B7B08">
              <w:rPr>
                <w:rFonts w:ascii="Garamond" w:eastAsia="Garamond" w:hAnsi="Garamond" w:cs="Garamond"/>
                <w:sz w:val="24"/>
                <w:szCs w:val="24"/>
              </w:rPr>
              <w:t>%</w:t>
            </w:r>
          </w:p>
        </w:tc>
        <w:tc>
          <w:tcPr>
            <w:tcW w:w="1685" w:type="dxa"/>
          </w:tcPr>
          <w:p w14:paraId="339D2DCB" w14:textId="5C809F40" w:rsidR="0052480B" w:rsidRPr="005B7B08" w:rsidRDefault="008A3771">
            <w:pPr>
              <w:jc w:val="center"/>
              <w:rPr>
                <w:sz w:val="24"/>
                <w:szCs w:val="24"/>
              </w:rPr>
            </w:pPr>
            <w:r>
              <w:rPr>
                <w:rFonts w:ascii="Garamond" w:eastAsia="Garamond" w:hAnsi="Garamond" w:cs="Garamond"/>
                <w:sz w:val="24"/>
                <w:szCs w:val="24"/>
              </w:rPr>
              <w:t>3.5</w:t>
            </w:r>
            <w:r w:rsidR="001B21E4" w:rsidRPr="005B7B08">
              <w:rPr>
                <w:rFonts w:ascii="Garamond" w:eastAsia="Garamond" w:hAnsi="Garamond" w:cs="Garamond"/>
                <w:sz w:val="24"/>
                <w:szCs w:val="24"/>
              </w:rPr>
              <w:t>%</w:t>
            </w:r>
          </w:p>
        </w:tc>
        <w:tc>
          <w:tcPr>
            <w:tcW w:w="1890" w:type="dxa"/>
          </w:tcPr>
          <w:p w14:paraId="2FF29D8A" w14:textId="1C61A976" w:rsidR="0052480B" w:rsidRPr="005B7B08" w:rsidRDefault="008A3771">
            <w:pPr>
              <w:jc w:val="center"/>
              <w:rPr>
                <w:sz w:val="24"/>
                <w:szCs w:val="24"/>
              </w:rPr>
            </w:pPr>
            <w:r>
              <w:rPr>
                <w:rFonts w:ascii="Garamond" w:eastAsia="Garamond" w:hAnsi="Garamond" w:cs="Garamond"/>
                <w:sz w:val="24"/>
                <w:szCs w:val="24"/>
              </w:rPr>
              <w:t>1.9</w:t>
            </w:r>
            <w:r w:rsidR="001B21E4" w:rsidRPr="005B7B08">
              <w:rPr>
                <w:rFonts w:ascii="Garamond" w:eastAsia="Garamond" w:hAnsi="Garamond" w:cs="Garamond"/>
                <w:sz w:val="24"/>
                <w:szCs w:val="24"/>
              </w:rPr>
              <w:t>%</w:t>
            </w:r>
          </w:p>
        </w:tc>
        <w:tc>
          <w:tcPr>
            <w:tcW w:w="1800" w:type="dxa"/>
          </w:tcPr>
          <w:p w14:paraId="099273FA" w14:textId="648F4AB1" w:rsidR="0052480B" w:rsidRPr="005B7B08" w:rsidRDefault="00C713B9">
            <w:pPr>
              <w:jc w:val="center"/>
              <w:rPr>
                <w:sz w:val="24"/>
                <w:szCs w:val="24"/>
              </w:rPr>
            </w:pPr>
            <w:r>
              <w:rPr>
                <w:rFonts w:ascii="Garamond" w:eastAsia="Garamond" w:hAnsi="Garamond" w:cs="Garamond"/>
                <w:sz w:val="24"/>
                <w:szCs w:val="24"/>
              </w:rPr>
              <w:t>2.1</w:t>
            </w:r>
            <w:r w:rsidR="001B21E4" w:rsidRPr="005B7B08">
              <w:rPr>
                <w:rFonts w:ascii="Garamond" w:eastAsia="Garamond" w:hAnsi="Garamond" w:cs="Garamond"/>
                <w:sz w:val="24"/>
                <w:szCs w:val="24"/>
              </w:rPr>
              <w:t>%</w:t>
            </w:r>
          </w:p>
        </w:tc>
      </w:tr>
      <w:tr w:rsidR="005B7B08" w:rsidRPr="009D638B" w14:paraId="13601059" w14:textId="77777777" w:rsidTr="00E6169B">
        <w:tc>
          <w:tcPr>
            <w:tcW w:w="2635" w:type="dxa"/>
          </w:tcPr>
          <w:p w14:paraId="56ABA543" w14:textId="77777777" w:rsidR="005B7B08" w:rsidRPr="009D638B" w:rsidRDefault="005B7B08" w:rsidP="005B7B08">
            <w:pPr>
              <w:keepNext/>
              <w:widowControl w:val="0"/>
              <w:rPr>
                <w:sz w:val="24"/>
                <w:szCs w:val="24"/>
              </w:rPr>
            </w:pPr>
            <w:r w:rsidRPr="009D638B">
              <w:rPr>
                <w:rFonts w:ascii="Garamond" w:eastAsia="Garamond" w:hAnsi="Garamond" w:cs="Garamond"/>
                <w:b/>
                <w:sz w:val="24"/>
                <w:szCs w:val="24"/>
              </w:rPr>
              <w:t>Mutual Funds</w:t>
            </w:r>
          </w:p>
        </w:tc>
        <w:tc>
          <w:tcPr>
            <w:tcW w:w="1530" w:type="dxa"/>
          </w:tcPr>
          <w:p w14:paraId="11EFDA47" w14:textId="77777777" w:rsidR="005B7B08" w:rsidRPr="009D638B" w:rsidRDefault="005B7B08" w:rsidP="005B7B08">
            <w:pPr>
              <w:jc w:val="center"/>
              <w:rPr>
                <w:sz w:val="24"/>
                <w:szCs w:val="24"/>
              </w:rPr>
            </w:pPr>
          </w:p>
        </w:tc>
        <w:tc>
          <w:tcPr>
            <w:tcW w:w="1685" w:type="dxa"/>
          </w:tcPr>
          <w:p w14:paraId="39958E97" w14:textId="77777777" w:rsidR="005B7B08" w:rsidRPr="009D638B" w:rsidRDefault="005B7B08" w:rsidP="005B7B08">
            <w:pPr>
              <w:jc w:val="center"/>
              <w:rPr>
                <w:sz w:val="24"/>
                <w:szCs w:val="24"/>
              </w:rPr>
            </w:pPr>
          </w:p>
        </w:tc>
        <w:tc>
          <w:tcPr>
            <w:tcW w:w="1890" w:type="dxa"/>
          </w:tcPr>
          <w:p w14:paraId="398C048F" w14:textId="77777777" w:rsidR="005B7B08" w:rsidRPr="009D638B" w:rsidRDefault="005B7B08" w:rsidP="005B7B08">
            <w:pPr>
              <w:jc w:val="center"/>
              <w:rPr>
                <w:sz w:val="24"/>
                <w:szCs w:val="24"/>
              </w:rPr>
            </w:pPr>
          </w:p>
        </w:tc>
        <w:tc>
          <w:tcPr>
            <w:tcW w:w="1800" w:type="dxa"/>
          </w:tcPr>
          <w:p w14:paraId="4B97A349" w14:textId="77777777" w:rsidR="005B7B08" w:rsidRPr="009D638B" w:rsidRDefault="005B7B08" w:rsidP="005B7B08">
            <w:pPr>
              <w:jc w:val="center"/>
              <w:rPr>
                <w:sz w:val="24"/>
                <w:szCs w:val="24"/>
              </w:rPr>
            </w:pPr>
          </w:p>
        </w:tc>
      </w:tr>
      <w:tr w:rsidR="00A5543B" w:rsidRPr="009D638B" w14:paraId="3E50091F" w14:textId="77777777" w:rsidTr="00E6169B">
        <w:tc>
          <w:tcPr>
            <w:tcW w:w="2635" w:type="dxa"/>
          </w:tcPr>
          <w:p w14:paraId="675FDE3A"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Domestic</w:t>
            </w:r>
          </w:p>
        </w:tc>
        <w:tc>
          <w:tcPr>
            <w:tcW w:w="1530" w:type="dxa"/>
          </w:tcPr>
          <w:p w14:paraId="63DD443D" w14:textId="77777777" w:rsidR="00A5543B" w:rsidRPr="009D638B" w:rsidRDefault="00A5543B" w:rsidP="00A5543B">
            <w:pPr>
              <w:jc w:val="center"/>
              <w:rPr>
                <w:sz w:val="24"/>
                <w:szCs w:val="24"/>
              </w:rPr>
            </w:pPr>
          </w:p>
        </w:tc>
        <w:tc>
          <w:tcPr>
            <w:tcW w:w="1685" w:type="dxa"/>
          </w:tcPr>
          <w:p w14:paraId="3A8FCAF3" w14:textId="77777777" w:rsidR="00A5543B" w:rsidRPr="009D638B" w:rsidRDefault="00A5543B" w:rsidP="00A5543B">
            <w:pPr>
              <w:jc w:val="center"/>
              <w:rPr>
                <w:sz w:val="24"/>
                <w:szCs w:val="24"/>
              </w:rPr>
            </w:pPr>
          </w:p>
        </w:tc>
        <w:tc>
          <w:tcPr>
            <w:tcW w:w="1890" w:type="dxa"/>
          </w:tcPr>
          <w:p w14:paraId="3969B09B" w14:textId="405B27DB" w:rsidR="00A5543B" w:rsidRPr="009D638B" w:rsidRDefault="00A5543B" w:rsidP="00A5543B">
            <w:pPr>
              <w:jc w:val="center"/>
              <w:rPr>
                <w:sz w:val="24"/>
                <w:szCs w:val="24"/>
              </w:rPr>
            </w:pPr>
          </w:p>
        </w:tc>
        <w:tc>
          <w:tcPr>
            <w:tcW w:w="1800" w:type="dxa"/>
          </w:tcPr>
          <w:p w14:paraId="26A90C77" w14:textId="77777777" w:rsidR="00A5543B" w:rsidRPr="009D638B" w:rsidRDefault="00A5543B" w:rsidP="00A5543B">
            <w:pPr>
              <w:jc w:val="center"/>
              <w:rPr>
                <w:sz w:val="24"/>
                <w:szCs w:val="24"/>
              </w:rPr>
            </w:pPr>
          </w:p>
        </w:tc>
      </w:tr>
      <w:tr w:rsidR="00A5543B" w:rsidRPr="009D638B" w14:paraId="62E138FC" w14:textId="77777777" w:rsidTr="00E6169B">
        <w:tc>
          <w:tcPr>
            <w:tcW w:w="2635" w:type="dxa"/>
          </w:tcPr>
          <w:p w14:paraId="1F7AC693"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Large Cap</w:t>
            </w:r>
          </w:p>
        </w:tc>
        <w:tc>
          <w:tcPr>
            <w:tcW w:w="1530" w:type="dxa"/>
          </w:tcPr>
          <w:p w14:paraId="4420C6D9" w14:textId="2664C7A7" w:rsidR="00A5543B" w:rsidRPr="009D638B" w:rsidRDefault="00A5543B" w:rsidP="00A5543B">
            <w:pPr>
              <w:jc w:val="center"/>
              <w:rPr>
                <w:sz w:val="24"/>
                <w:szCs w:val="24"/>
              </w:rPr>
            </w:pPr>
          </w:p>
        </w:tc>
        <w:tc>
          <w:tcPr>
            <w:tcW w:w="1685" w:type="dxa"/>
          </w:tcPr>
          <w:p w14:paraId="38795DAE" w14:textId="7EAE0C14" w:rsidR="00A5543B" w:rsidRPr="009D638B" w:rsidRDefault="00A5543B" w:rsidP="00A5543B">
            <w:pPr>
              <w:jc w:val="center"/>
              <w:rPr>
                <w:sz w:val="24"/>
                <w:szCs w:val="24"/>
              </w:rPr>
            </w:pPr>
          </w:p>
        </w:tc>
        <w:tc>
          <w:tcPr>
            <w:tcW w:w="1890" w:type="dxa"/>
          </w:tcPr>
          <w:p w14:paraId="230BB6CD" w14:textId="0414DA13" w:rsidR="00A5543B" w:rsidRPr="009D638B" w:rsidRDefault="00A5543B" w:rsidP="00A5543B">
            <w:pPr>
              <w:jc w:val="center"/>
              <w:rPr>
                <w:sz w:val="24"/>
                <w:szCs w:val="24"/>
              </w:rPr>
            </w:pPr>
          </w:p>
        </w:tc>
        <w:tc>
          <w:tcPr>
            <w:tcW w:w="1800" w:type="dxa"/>
          </w:tcPr>
          <w:p w14:paraId="1370A11B" w14:textId="0F71A076" w:rsidR="00A5543B" w:rsidRPr="009D638B" w:rsidRDefault="00A5543B" w:rsidP="00A5543B">
            <w:pPr>
              <w:jc w:val="center"/>
              <w:rPr>
                <w:sz w:val="24"/>
                <w:szCs w:val="24"/>
              </w:rPr>
            </w:pPr>
          </w:p>
        </w:tc>
      </w:tr>
      <w:tr w:rsidR="00A5543B" w:rsidRPr="009D638B" w14:paraId="2E7584C8" w14:textId="77777777" w:rsidTr="00E6169B">
        <w:tc>
          <w:tcPr>
            <w:tcW w:w="2635" w:type="dxa"/>
          </w:tcPr>
          <w:p w14:paraId="755413E1"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Growth</w:t>
            </w:r>
          </w:p>
        </w:tc>
        <w:tc>
          <w:tcPr>
            <w:tcW w:w="1530" w:type="dxa"/>
          </w:tcPr>
          <w:p w14:paraId="358B9401" w14:textId="4DA185B6" w:rsidR="00A5543B" w:rsidRPr="009D638B" w:rsidRDefault="00307775" w:rsidP="00A5543B">
            <w:pPr>
              <w:jc w:val="center"/>
              <w:rPr>
                <w:sz w:val="24"/>
                <w:szCs w:val="24"/>
              </w:rPr>
            </w:pPr>
            <w:r>
              <w:rPr>
                <w:sz w:val="24"/>
                <w:szCs w:val="24"/>
              </w:rPr>
              <w:t>6.4</w:t>
            </w:r>
            <w:r w:rsidR="00A5543B">
              <w:rPr>
                <w:sz w:val="24"/>
                <w:szCs w:val="24"/>
              </w:rPr>
              <w:t>%</w:t>
            </w:r>
          </w:p>
        </w:tc>
        <w:tc>
          <w:tcPr>
            <w:tcW w:w="1685" w:type="dxa"/>
          </w:tcPr>
          <w:p w14:paraId="46B9A82E" w14:textId="310E1EA0" w:rsidR="00A5543B" w:rsidRPr="009D638B" w:rsidRDefault="00307775" w:rsidP="00A5543B">
            <w:pPr>
              <w:jc w:val="center"/>
              <w:rPr>
                <w:sz w:val="24"/>
                <w:szCs w:val="24"/>
              </w:rPr>
            </w:pPr>
            <w:r>
              <w:rPr>
                <w:sz w:val="24"/>
                <w:szCs w:val="24"/>
              </w:rPr>
              <w:t>27.7</w:t>
            </w:r>
            <w:r w:rsidR="00A5543B">
              <w:rPr>
                <w:sz w:val="24"/>
                <w:szCs w:val="24"/>
              </w:rPr>
              <w:t>%</w:t>
            </w:r>
          </w:p>
        </w:tc>
        <w:tc>
          <w:tcPr>
            <w:tcW w:w="1890" w:type="dxa"/>
          </w:tcPr>
          <w:p w14:paraId="5B75C0EE" w14:textId="04DB0ABE" w:rsidR="00A5543B" w:rsidRPr="009D638B" w:rsidRDefault="00307775" w:rsidP="00A5543B">
            <w:pPr>
              <w:jc w:val="center"/>
              <w:rPr>
                <w:sz w:val="24"/>
                <w:szCs w:val="24"/>
              </w:rPr>
            </w:pPr>
            <w:r>
              <w:rPr>
                <w:sz w:val="24"/>
                <w:szCs w:val="24"/>
              </w:rPr>
              <w:t>22.1</w:t>
            </w:r>
            <w:r w:rsidR="00A5543B">
              <w:rPr>
                <w:sz w:val="24"/>
                <w:szCs w:val="24"/>
              </w:rPr>
              <w:t>%</w:t>
            </w:r>
          </w:p>
        </w:tc>
        <w:tc>
          <w:tcPr>
            <w:tcW w:w="1800" w:type="dxa"/>
          </w:tcPr>
          <w:p w14:paraId="4F774A98" w14:textId="306343D1" w:rsidR="00A5543B" w:rsidRPr="009D638B" w:rsidRDefault="00EB5D88" w:rsidP="00A5543B">
            <w:pPr>
              <w:jc w:val="center"/>
              <w:rPr>
                <w:sz w:val="24"/>
                <w:szCs w:val="24"/>
              </w:rPr>
            </w:pPr>
            <w:r>
              <w:rPr>
                <w:sz w:val="24"/>
                <w:szCs w:val="24"/>
              </w:rPr>
              <w:t>1</w:t>
            </w:r>
            <w:r w:rsidR="00307775">
              <w:rPr>
                <w:sz w:val="24"/>
                <w:szCs w:val="24"/>
              </w:rPr>
              <w:t>5.3</w:t>
            </w:r>
            <w:r w:rsidR="00A5543B">
              <w:rPr>
                <w:sz w:val="24"/>
                <w:szCs w:val="24"/>
              </w:rPr>
              <w:t>%</w:t>
            </w:r>
          </w:p>
        </w:tc>
      </w:tr>
      <w:tr w:rsidR="00A5543B" w:rsidRPr="009D638B" w14:paraId="49714843" w14:textId="77777777" w:rsidTr="00E6169B">
        <w:tc>
          <w:tcPr>
            <w:tcW w:w="2635" w:type="dxa"/>
          </w:tcPr>
          <w:p w14:paraId="6D73C525"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Value</w:t>
            </w:r>
          </w:p>
        </w:tc>
        <w:tc>
          <w:tcPr>
            <w:tcW w:w="1530" w:type="dxa"/>
          </w:tcPr>
          <w:p w14:paraId="0D5F0A24" w14:textId="74D6B213" w:rsidR="00A5543B" w:rsidRPr="009D638B" w:rsidRDefault="00307775" w:rsidP="00A5543B">
            <w:pPr>
              <w:jc w:val="center"/>
              <w:rPr>
                <w:sz w:val="24"/>
                <w:szCs w:val="24"/>
              </w:rPr>
            </w:pPr>
            <w:r>
              <w:rPr>
                <w:rFonts w:ascii="Garamond" w:eastAsia="Garamond" w:hAnsi="Garamond" w:cs="Garamond"/>
                <w:sz w:val="24"/>
                <w:szCs w:val="24"/>
              </w:rPr>
              <w:t>6.0</w:t>
            </w:r>
            <w:r w:rsidR="00A5543B" w:rsidRPr="009D638B">
              <w:rPr>
                <w:rFonts w:ascii="Garamond" w:eastAsia="Garamond" w:hAnsi="Garamond" w:cs="Garamond"/>
                <w:sz w:val="24"/>
                <w:szCs w:val="24"/>
              </w:rPr>
              <w:t>%</w:t>
            </w:r>
          </w:p>
        </w:tc>
        <w:tc>
          <w:tcPr>
            <w:tcW w:w="1685" w:type="dxa"/>
          </w:tcPr>
          <w:p w14:paraId="1214B78F" w14:textId="3501625D" w:rsidR="00A5543B" w:rsidRPr="009D638B" w:rsidRDefault="00A5543B" w:rsidP="00A5543B">
            <w:pPr>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5.9</w:t>
            </w:r>
            <w:r w:rsidRPr="009D638B">
              <w:rPr>
                <w:rFonts w:ascii="Garamond" w:eastAsia="Garamond" w:hAnsi="Garamond" w:cs="Garamond"/>
                <w:sz w:val="24"/>
                <w:szCs w:val="24"/>
              </w:rPr>
              <w:t>%</w:t>
            </w:r>
          </w:p>
        </w:tc>
        <w:tc>
          <w:tcPr>
            <w:tcW w:w="1890" w:type="dxa"/>
          </w:tcPr>
          <w:p w14:paraId="3FD2B06E" w14:textId="2BB62A5F" w:rsidR="00A5543B" w:rsidRPr="009D638B" w:rsidRDefault="00A5543B" w:rsidP="00A5543B">
            <w:pPr>
              <w:jc w:val="center"/>
              <w:rPr>
                <w:sz w:val="24"/>
                <w:szCs w:val="24"/>
              </w:rPr>
            </w:pPr>
            <w:r>
              <w:rPr>
                <w:rFonts w:ascii="Garamond" w:eastAsia="Garamond" w:hAnsi="Garamond" w:cs="Garamond"/>
                <w:sz w:val="24"/>
                <w:szCs w:val="24"/>
              </w:rPr>
              <w:t>8.</w:t>
            </w:r>
            <w:r w:rsidR="00307775">
              <w:rPr>
                <w:rFonts w:ascii="Garamond" w:eastAsia="Garamond" w:hAnsi="Garamond" w:cs="Garamond"/>
                <w:sz w:val="24"/>
                <w:szCs w:val="24"/>
              </w:rPr>
              <w:t>7</w:t>
            </w:r>
            <w:r w:rsidRPr="009D638B">
              <w:rPr>
                <w:rFonts w:ascii="Garamond" w:eastAsia="Garamond" w:hAnsi="Garamond" w:cs="Garamond"/>
                <w:sz w:val="24"/>
                <w:szCs w:val="24"/>
              </w:rPr>
              <w:t>%</w:t>
            </w:r>
          </w:p>
        </w:tc>
        <w:tc>
          <w:tcPr>
            <w:tcW w:w="1800" w:type="dxa"/>
          </w:tcPr>
          <w:p w14:paraId="10C750BE" w14:textId="212D0723" w:rsidR="00A5543B" w:rsidRPr="009D638B" w:rsidRDefault="00A5543B" w:rsidP="00A5543B">
            <w:pPr>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3.3</w:t>
            </w:r>
            <w:r w:rsidRPr="009D638B">
              <w:rPr>
                <w:rFonts w:ascii="Garamond" w:eastAsia="Garamond" w:hAnsi="Garamond" w:cs="Garamond"/>
                <w:sz w:val="24"/>
                <w:szCs w:val="24"/>
              </w:rPr>
              <w:t>%</w:t>
            </w:r>
          </w:p>
        </w:tc>
      </w:tr>
      <w:tr w:rsidR="00A5543B" w:rsidRPr="009D638B" w14:paraId="4343C8FF" w14:textId="77777777" w:rsidTr="00E6169B">
        <w:tc>
          <w:tcPr>
            <w:tcW w:w="2635" w:type="dxa"/>
          </w:tcPr>
          <w:p w14:paraId="19EE17DF"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Small Cap</w:t>
            </w:r>
          </w:p>
        </w:tc>
        <w:tc>
          <w:tcPr>
            <w:tcW w:w="1530" w:type="dxa"/>
          </w:tcPr>
          <w:p w14:paraId="5E167E35" w14:textId="508DD76C" w:rsidR="00A5543B" w:rsidRPr="009D638B" w:rsidRDefault="00A5543B" w:rsidP="00A5543B">
            <w:pPr>
              <w:jc w:val="center"/>
              <w:rPr>
                <w:sz w:val="24"/>
                <w:szCs w:val="24"/>
              </w:rPr>
            </w:pPr>
          </w:p>
        </w:tc>
        <w:tc>
          <w:tcPr>
            <w:tcW w:w="1685" w:type="dxa"/>
          </w:tcPr>
          <w:p w14:paraId="1FF499F0" w14:textId="6ABD381E" w:rsidR="00A5543B" w:rsidRPr="009D638B" w:rsidRDefault="00A5543B" w:rsidP="00A5543B">
            <w:pPr>
              <w:jc w:val="center"/>
              <w:rPr>
                <w:sz w:val="24"/>
                <w:szCs w:val="24"/>
              </w:rPr>
            </w:pPr>
          </w:p>
        </w:tc>
        <w:tc>
          <w:tcPr>
            <w:tcW w:w="1890" w:type="dxa"/>
          </w:tcPr>
          <w:p w14:paraId="05C24822" w14:textId="5C572C3D" w:rsidR="00A5543B" w:rsidRPr="009D638B" w:rsidRDefault="00A5543B" w:rsidP="00A5543B">
            <w:pPr>
              <w:jc w:val="center"/>
              <w:rPr>
                <w:sz w:val="24"/>
                <w:szCs w:val="24"/>
              </w:rPr>
            </w:pPr>
          </w:p>
        </w:tc>
        <w:tc>
          <w:tcPr>
            <w:tcW w:w="1800" w:type="dxa"/>
          </w:tcPr>
          <w:p w14:paraId="0955FFD2" w14:textId="5052D730" w:rsidR="00A5543B" w:rsidRPr="009D638B" w:rsidRDefault="00A5543B" w:rsidP="00A5543B">
            <w:pPr>
              <w:jc w:val="center"/>
              <w:rPr>
                <w:sz w:val="24"/>
                <w:szCs w:val="24"/>
              </w:rPr>
            </w:pPr>
          </w:p>
        </w:tc>
      </w:tr>
      <w:tr w:rsidR="00A5543B" w:rsidRPr="009D638B" w14:paraId="6C07AD91" w14:textId="77777777" w:rsidTr="00E6169B">
        <w:tc>
          <w:tcPr>
            <w:tcW w:w="2635" w:type="dxa"/>
          </w:tcPr>
          <w:p w14:paraId="1A82B0D6"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Growth</w:t>
            </w:r>
          </w:p>
        </w:tc>
        <w:tc>
          <w:tcPr>
            <w:tcW w:w="1530" w:type="dxa"/>
          </w:tcPr>
          <w:p w14:paraId="22C6BF2F" w14:textId="02053540" w:rsidR="00A5543B" w:rsidRPr="009D638B" w:rsidRDefault="00307775" w:rsidP="00A5543B">
            <w:pPr>
              <w:jc w:val="center"/>
              <w:rPr>
                <w:sz w:val="24"/>
                <w:szCs w:val="24"/>
              </w:rPr>
            </w:pPr>
            <w:r>
              <w:rPr>
                <w:rFonts w:ascii="Garamond" w:eastAsia="Garamond" w:hAnsi="Garamond" w:cs="Garamond"/>
                <w:sz w:val="24"/>
                <w:szCs w:val="24"/>
              </w:rPr>
              <w:t>4.7</w:t>
            </w:r>
            <w:r w:rsidR="00A5543B" w:rsidRPr="009D638B">
              <w:rPr>
                <w:rFonts w:ascii="Garamond" w:eastAsia="Garamond" w:hAnsi="Garamond" w:cs="Garamond"/>
                <w:sz w:val="24"/>
                <w:szCs w:val="24"/>
              </w:rPr>
              <w:t>%</w:t>
            </w:r>
          </w:p>
        </w:tc>
        <w:tc>
          <w:tcPr>
            <w:tcW w:w="1685" w:type="dxa"/>
          </w:tcPr>
          <w:p w14:paraId="3DA145D1" w14:textId="35E4DF89" w:rsidR="00A5543B" w:rsidRPr="009D638B" w:rsidRDefault="00A5543B" w:rsidP="00A5543B">
            <w:pPr>
              <w:jc w:val="center"/>
              <w:rPr>
                <w:sz w:val="24"/>
                <w:szCs w:val="24"/>
              </w:rPr>
            </w:pPr>
            <w:r>
              <w:rPr>
                <w:rFonts w:ascii="Garamond" w:eastAsia="Garamond" w:hAnsi="Garamond" w:cs="Garamond"/>
                <w:sz w:val="24"/>
                <w:szCs w:val="24"/>
              </w:rPr>
              <w:t>2</w:t>
            </w:r>
            <w:r w:rsidR="00307775">
              <w:rPr>
                <w:rFonts w:ascii="Garamond" w:eastAsia="Garamond" w:hAnsi="Garamond" w:cs="Garamond"/>
                <w:sz w:val="24"/>
                <w:szCs w:val="24"/>
              </w:rPr>
              <w:t>1.5</w:t>
            </w:r>
            <w:r w:rsidRPr="009D638B">
              <w:rPr>
                <w:rFonts w:ascii="Garamond" w:eastAsia="Garamond" w:hAnsi="Garamond" w:cs="Garamond"/>
                <w:sz w:val="24"/>
                <w:szCs w:val="24"/>
              </w:rPr>
              <w:t>%</w:t>
            </w:r>
          </w:p>
        </w:tc>
        <w:tc>
          <w:tcPr>
            <w:tcW w:w="1890" w:type="dxa"/>
          </w:tcPr>
          <w:p w14:paraId="6F00314C" w14:textId="0429637A" w:rsidR="00A5543B" w:rsidRPr="009D638B" w:rsidRDefault="00A5543B" w:rsidP="00A5543B">
            <w:pPr>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0.0</w:t>
            </w:r>
            <w:r w:rsidRPr="009D638B">
              <w:rPr>
                <w:rFonts w:ascii="Garamond" w:eastAsia="Garamond" w:hAnsi="Garamond" w:cs="Garamond"/>
                <w:sz w:val="24"/>
                <w:szCs w:val="24"/>
              </w:rPr>
              <w:t>%</w:t>
            </w:r>
          </w:p>
        </w:tc>
        <w:tc>
          <w:tcPr>
            <w:tcW w:w="1800" w:type="dxa"/>
          </w:tcPr>
          <w:p w14:paraId="757030A9" w14:textId="795E6F25" w:rsidR="00A5543B" w:rsidRPr="009D638B" w:rsidRDefault="00A5543B" w:rsidP="00A5543B">
            <w:pPr>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4.0</w:t>
            </w:r>
            <w:r w:rsidRPr="009D638B">
              <w:rPr>
                <w:rFonts w:ascii="Garamond" w:eastAsia="Garamond" w:hAnsi="Garamond" w:cs="Garamond"/>
                <w:sz w:val="24"/>
                <w:szCs w:val="24"/>
              </w:rPr>
              <w:t>%</w:t>
            </w:r>
          </w:p>
        </w:tc>
      </w:tr>
      <w:tr w:rsidR="00A5543B" w:rsidRPr="009D638B" w14:paraId="0A7D2F42" w14:textId="77777777" w:rsidTr="00E6169B">
        <w:tc>
          <w:tcPr>
            <w:tcW w:w="2635" w:type="dxa"/>
          </w:tcPr>
          <w:p w14:paraId="7D9A7C59" w14:textId="77777777" w:rsidR="00A5543B" w:rsidRPr="009D638B" w:rsidRDefault="00A5543B" w:rsidP="00A5543B">
            <w:pPr>
              <w:keepNext/>
              <w:widowControl w:val="0"/>
              <w:rPr>
                <w:sz w:val="24"/>
                <w:szCs w:val="24"/>
              </w:rPr>
            </w:pPr>
            <w:r w:rsidRPr="009D638B">
              <w:rPr>
                <w:rFonts w:ascii="Garamond" w:eastAsia="Garamond" w:hAnsi="Garamond" w:cs="Garamond"/>
                <w:b/>
                <w:sz w:val="24"/>
                <w:szCs w:val="24"/>
              </w:rPr>
              <w:t xml:space="preserve">     Value</w:t>
            </w:r>
          </w:p>
        </w:tc>
        <w:tc>
          <w:tcPr>
            <w:tcW w:w="1530" w:type="dxa"/>
          </w:tcPr>
          <w:p w14:paraId="2AA15918" w14:textId="54686B06" w:rsidR="00A5543B" w:rsidRPr="009D638B" w:rsidRDefault="00307775" w:rsidP="00A5543B">
            <w:pPr>
              <w:jc w:val="center"/>
              <w:rPr>
                <w:sz w:val="24"/>
                <w:szCs w:val="24"/>
              </w:rPr>
            </w:pPr>
            <w:r>
              <w:rPr>
                <w:rFonts w:ascii="Garamond" w:eastAsia="Garamond" w:hAnsi="Garamond" w:cs="Garamond"/>
                <w:sz w:val="24"/>
                <w:szCs w:val="24"/>
              </w:rPr>
              <w:t>3.5</w:t>
            </w:r>
            <w:r w:rsidR="00A5543B" w:rsidRPr="009D638B">
              <w:rPr>
                <w:rFonts w:ascii="Garamond" w:eastAsia="Garamond" w:hAnsi="Garamond" w:cs="Garamond"/>
                <w:sz w:val="24"/>
                <w:szCs w:val="24"/>
              </w:rPr>
              <w:t>%</w:t>
            </w:r>
          </w:p>
        </w:tc>
        <w:tc>
          <w:tcPr>
            <w:tcW w:w="1685" w:type="dxa"/>
          </w:tcPr>
          <w:p w14:paraId="0AE3C3D1" w14:textId="739C8F33" w:rsidR="00A5543B" w:rsidRPr="009D638B" w:rsidRDefault="00307775" w:rsidP="00A5543B">
            <w:pPr>
              <w:jc w:val="center"/>
              <w:rPr>
                <w:sz w:val="24"/>
                <w:szCs w:val="24"/>
              </w:rPr>
            </w:pPr>
            <w:r>
              <w:rPr>
                <w:rFonts w:ascii="Garamond" w:eastAsia="Garamond" w:hAnsi="Garamond" w:cs="Garamond"/>
                <w:sz w:val="24"/>
                <w:szCs w:val="24"/>
              </w:rPr>
              <w:t>8.5</w:t>
            </w:r>
            <w:r w:rsidR="00A5543B" w:rsidRPr="009D638B">
              <w:rPr>
                <w:rFonts w:ascii="Garamond" w:eastAsia="Garamond" w:hAnsi="Garamond" w:cs="Garamond"/>
                <w:sz w:val="24"/>
                <w:szCs w:val="24"/>
              </w:rPr>
              <w:t>%</w:t>
            </w:r>
          </w:p>
        </w:tc>
        <w:tc>
          <w:tcPr>
            <w:tcW w:w="1890" w:type="dxa"/>
          </w:tcPr>
          <w:p w14:paraId="5EDBD116" w14:textId="711B6A39" w:rsidR="00A5543B" w:rsidRPr="009D638B" w:rsidRDefault="00307775" w:rsidP="00A5543B">
            <w:pPr>
              <w:jc w:val="center"/>
              <w:rPr>
                <w:sz w:val="24"/>
                <w:szCs w:val="24"/>
              </w:rPr>
            </w:pPr>
            <w:r>
              <w:rPr>
                <w:rFonts w:ascii="Garamond" w:eastAsia="Garamond" w:hAnsi="Garamond" w:cs="Garamond"/>
                <w:sz w:val="24"/>
                <w:szCs w:val="24"/>
              </w:rPr>
              <w:t>8.3</w:t>
            </w:r>
            <w:r w:rsidR="00A5543B" w:rsidRPr="009D638B">
              <w:rPr>
                <w:rFonts w:ascii="Garamond" w:eastAsia="Garamond" w:hAnsi="Garamond" w:cs="Garamond"/>
                <w:sz w:val="24"/>
                <w:szCs w:val="24"/>
              </w:rPr>
              <w:t>%</w:t>
            </w:r>
          </w:p>
        </w:tc>
        <w:tc>
          <w:tcPr>
            <w:tcW w:w="1800" w:type="dxa"/>
          </w:tcPr>
          <w:p w14:paraId="31F1209F" w14:textId="43CBD50C" w:rsidR="00A5543B" w:rsidRPr="009D638B" w:rsidRDefault="00A5543B" w:rsidP="00A5543B">
            <w:pPr>
              <w:jc w:val="center"/>
              <w:rPr>
                <w:sz w:val="24"/>
                <w:szCs w:val="24"/>
              </w:rPr>
            </w:pPr>
            <w:r>
              <w:rPr>
                <w:rFonts w:ascii="Garamond" w:eastAsia="Garamond" w:hAnsi="Garamond" w:cs="Garamond"/>
                <w:sz w:val="24"/>
                <w:szCs w:val="24"/>
              </w:rPr>
              <w:t>12.</w:t>
            </w:r>
            <w:r w:rsidR="00307775">
              <w:rPr>
                <w:rFonts w:ascii="Garamond" w:eastAsia="Garamond" w:hAnsi="Garamond" w:cs="Garamond"/>
                <w:sz w:val="24"/>
                <w:szCs w:val="24"/>
              </w:rPr>
              <w:t>2</w:t>
            </w:r>
            <w:r w:rsidRPr="009D638B">
              <w:rPr>
                <w:rFonts w:ascii="Garamond" w:eastAsia="Garamond" w:hAnsi="Garamond" w:cs="Garamond"/>
                <w:sz w:val="24"/>
                <w:szCs w:val="24"/>
              </w:rPr>
              <w:t>%</w:t>
            </w:r>
          </w:p>
        </w:tc>
      </w:tr>
    </w:tbl>
    <w:tbl>
      <w:tblPr>
        <w:tblStyle w:val="a1"/>
        <w:tblW w:w="9515"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595"/>
        <w:gridCol w:w="1620"/>
        <w:gridCol w:w="1890"/>
        <w:gridCol w:w="1800"/>
      </w:tblGrid>
      <w:tr w:rsidR="0052480B" w:rsidRPr="009D638B" w14:paraId="14246370" w14:textId="77777777" w:rsidTr="00E6169B">
        <w:tc>
          <w:tcPr>
            <w:tcW w:w="2610" w:type="dxa"/>
          </w:tcPr>
          <w:p w14:paraId="49B7D543" w14:textId="3198AB45" w:rsidR="0052480B" w:rsidRPr="009D638B" w:rsidRDefault="0052480B">
            <w:pPr>
              <w:spacing w:after="0" w:line="240" w:lineRule="auto"/>
              <w:rPr>
                <w:sz w:val="24"/>
                <w:szCs w:val="24"/>
              </w:rPr>
            </w:pPr>
          </w:p>
        </w:tc>
        <w:tc>
          <w:tcPr>
            <w:tcW w:w="1595" w:type="dxa"/>
          </w:tcPr>
          <w:p w14:paraId="2C7D415C" w14:textId="065CCFB3" w:rsidR="00705CA2" w:rsidRPr="009D638B" w:rsidRDefault="00705CA2" w:rsidP="007F296E">
            <w:pPr>
              <w:spacing w:after="0" w:line="240" w:lineRule="auto"/>
              <w:jc w:val="center"/>
              <w:rPr>
                <w:rFonts w:ascii="Garamond" w:eastAsia="Garamond" w:hAnsi="Garamond" w:cs="Garamond"/>
                <w:sz w:val="24"/>
                <w:szCs w:val="24"/>
              </w:rPr>
            </w:pPr>
          </w:p>
        </w:tc>
        <w:tc>
          <w:tcPr>
            <w:tcW w:w="1620" w:type="dxa"/>
          </w:tcPr>
          <w:p w14:paraId="5C412DFA" w14:textId="30FA1DFA" w:rsidR="0052480B" w:rsidRPr="009D638B" w:rsidRDefault="0052480B" w:rsidP="007F296E">
            <w:pPr>
              <w:spacing w:after="0" w:line="240" w:lineRule="auto"/>
              <w:jc w:val="center"/>
              <w:rPr>
                <w:sz w:val="24"/>
                <w:szCs w:val="24"/>
              </w:rPr>
            </w:pPr>
          </w:p>
        </w:tc>
        <w:tc>
          <w:tcPr>
            <w:tcW w:w="1890" w:type="dxa"/>
          </w:tcPr>
          <w:p w14:paraId="4B8DBB91" w14:textId="146CE782" w:rsidR="0052480B" w:rsidRPr="009D638B" w:rsidRDefault="0052480B" w:rsidP="007F296E">
            <w:pPr>
              <w:spacing w:after="0" w:line="240" w:lineRule="auto"/>
              <w:jc w:val="center"/>
              <w:rPr>
                <w:sz w:val="24"/>
                <w:szCs w:val="24"/>
              </w:rPr>
            </w:pPr>
          </w:p>
        </w:tc>
        <w:tc>
          <w:tcPr>
            <w:tcW w:w="1800" w:type="dxa"/>
          </w:tcPr>
          <w:p w14:paraId="17618B29" w14:textId="025510A9" w:rsidR="0052480B" w:rsidRPr="009D638B" w:rsidRDefault="0052480B" w:rsidP="007F296E">
            <w:pPr>
              <w:spacing w:after="0" w:line="240" w:lineRule="auto"/>
              <w:jc w:val="center"/>
              <w:rPr>
                <w:sz w:val="24"/>
                <w:szCs w:val="24"/>
              </w:rPr>
            </w:pPr>
          </w:p>
        </w:tc>
      </w:tr>
      <w:tr w:rsidR="005B7B08" w:rsidRPr="009D638B" w14:paraId="5A3442E1" w14:textId="77777777" w:rsidTr="00E6169B">
        <w:tc>
          <w:tcPr>
            <w:tcW w:w="2610" w:type="dxa"/>
          </w:tcPr>
          <w:p w14:paraId="27A2F66A" w14:textId="0AC2C536" w:rsidR="005B7B08" w:rsidRPr="009D638B" w:rsidRDefault="005B7B08" w:rsidP="005B7B08">
            <w:pPr>
              <w:spacing w:after="0" w:line="240" w:lineRule="auto"/>
              <w:rPr>
                <w:rFonts w:ascii="Garamond" w:eastAsia="Garamond" w:hAnsi="Garamond" w:cs="Garamond"/>
                <w:sz w:val="24"/>
                <w:szCs w:val="24"/>
              </w:rPr>
            </w:pPr>
            <w:r w:rsidRPr="009D638B">
              <w:rPr>
                <w:rFonts w:ascii="Garamond" w:eastAsia="Garamond" w:hAnsi="Garamond" w:cs="Garamond"/>
                <w:sz w:val="24"/>
                <w:szCs w:val="24"/>
              </w:rPr>
              <w:t xml:space="preserve">     Europe</w:t>
            </w:r>
          </w:p>
        </w:tc>
        <w:tc>
          <w:tcPr>
            <w:tcW w:w="1595" w:type="dxa"/>
          </w:tcPr>
          <w:p w14:paraId="31D41A0C" w14:textId="48ADAC06" w:rsidR="005B7B08" w:rsidRPr="009D638B" w:rsidRDefault="00307775" w:rsidP="005B7B08">
            <w:pPr>
              <w:spacing w:after="0" w:line="240" w:lineRule="auto"/>
              <w:jc w:val="center"/>
              <w:rPr>
                <w:rFonts w:ascii="Garamond" w:eastAsia="Garamond" w:hAnsi="Garamond" w:cs="Garamond"/>
                <w:sz w:val="24"/>
                <w:szCs w:val="24"/>
              </w:rPr>
            </w:pPr>
            <w:r>
              <w:rPr>
                <w:rFonts w:ascii="Garamond" w:eastAsia="Garamond" w:hAnsi="Garamond" w:cs="Garamond"/>
                <w:sz w:val="24"/>
                <w:szCs w:val="24"/>
              </w:rPr>
              <w:t>1.6</w:t>
            </w:r>
            <w:r w:rsidR="005B7B08" w:rsidRPr="009D638B">
              <w:rPr>
                <w:rFonts w:ascii="Garamond" w:eastAsia="Garamond" w:hAnsi="Garamond" w:cs="Garamond"/>
                <w:sz w:val="24"/>
                <w:szCs w:val="24"/>
              </w:rPr>
              <w:t>%</w:t>
            </w:r>
          </w:p>
        </w:tc>
        <w:tc>
          <w:tcPr>
            <w:tcW w:w="1620" w:type="dxa"/>
          </w:tcPr>
          <w:p w14:paraId="30F81A86" w14:textId="5A4DF11C" w:rsidR="005B7B08" w:rsidRPr="009D638B" w:rsidRDefault="00A5543B" w:rsidP="005B7B08">
            <w:pPr>
              <w:spacing w:after="0" w:line="240" w:lineRule="auto"/>
              <w:jc w:val="center"/>
              <w:rPr>
                <w:rFonts w:ascii="Garamond" w:eastAsia="Garamond" w:hAnsi="Garamond" w:cs="Garamond"/>
                <w:sz w:val="24"/>
                <w:szCs w:val="24"/>
              </w:rPr>
            </w:pPr>
            <w:r>
              <w:rPr>
                <w:rFonts w:ascii="Garamond" w:eastAsia="Garamond" w:hAnsi="Garamond" w:cs="Garamond"/>
                <w:sz w:val="24"/>
                <w:szCs w:val="24"/>
              </w:rPr>
              <w:t>2</w:t>
            </w:r>
            <w:r w:rsidR="00307775">
              <w:rPr>
                <w:rFonts w:ascii="Garamond" w:eastAsia="Garamond" w:hAnsi="Garamond" w:cs="Garamond"/>
                <w:sz w:val="24"/>
                <w:szCs w:val="24"/>
              </w:rPr>
              <w:t>3.7</w:t>
            </w:r>
            <w:r w:rsidR="005B7B08" w:rsidRPr="009D638B">
              <w:rPr>
                <w:rFonts w:ascii="Garamond" w:eastAsia="Garamond" w:hAnsi="Garamond" w:cs="Garamond"/>
                <w:sz w:val="24"/>
                <w:szCs w:val="24"/>
              </w:rPr>
              <w:t>%</w:t>
            </w:r>
          </w:p>
        </w:tc>
        <w:tc>
          <w:tcPr>
            <w:tcW w:w="1890" w:type="dxa"/>
          </w:tcPr>
          <w:p w14:paraId="391E4A31" w14:textId="40A99460" w:rsidR="005B7B08" w:rsidRPr="009D638B" w:rsidRDefault="00307775" w:rsidP="005B7B08">
            <w:pPr>
              <w:spacing w:after="0" w:line="240" w:lineRule="auto"/>
              <w:jc w:val="center"/>
              <w:rPr>
                <w:rFonts w:ascii="Garamond" w:eastAsia="Garamond" w:hAnsi="Garamond" w:cs="Garamond"/>
                <w:sz w:val="24"/>
                <w:szCs w:val="24"/>
              </w:rPr>
            </w:pPr>
            <w:r>
              <w:rPr>
                <w:rFonts w:ascii="Garamond" w:eastAsia="Garamond" w:hAnsi="Garamond" w:cs="Garamond"/>
                <w:sz w:val="24"/>
                <w:szCs w:val="24"/>
              </w:rPr>
              <w:t>7.9</w:t>
            </w:r>
            <w:r w:rsidR="005B7B08" w:rsidRPr="009D638B">
              <w:rPr>
                <w:rFonts w:ascii="Garamond" w:eastAsia="Garamond" w:hAnsi="Garamond" w:cs="Garamond"/>
                <w:sz w:val="24"/>
                <w:szCs w:val="24"/>
              </w:rPr>
              <w:t>%</w:t>
            </w:r>
          </w:p>
        </w:tc>
        <w:tc>
          <w:tcPr>
            <w:tcW w:w="1800" w:type="dxa"/>
          </w:tcPr>
          <w:p w14:paraId="5A110687" w14:textId="0A1A2EC8" w:rsidR="005B7B08" w:rsidRPr="009D638B" w:rsidRDefault="00307775" w:rsidP="005B7B08">
            <w:pPr>
              <w:spacing w:after="0" w:line="240" w:lineRule="auto"/>
              <w:jc w:val="center"/>
              <w:rPr>
                <w:rFonts w:ascii="Garamond" w:eastAsia="Garamond" w:hAnsi="Garamond" w:cs="Garamond"/>
                <w:sz w:val="24"/>
                <w:szCs w:val="24"/>
              </w:rPr>
            </w:pPr>
            <w:r>
              <w:rPr>
                <w:rFonts w:ascii="Garamond" w:eastAsia="Garamond" w:hAnsi="Garamond" w:cs="Garamond"/>
                <w:sz w:val="24"/>
                <w:szCs w:val="24"/>
              </w:rPr>
              <w:t>8.1</w:t>
            </w:r>
            <w:r w:rsidR="005B7B08" w:rsidRPr="009D638B">
              <w:rPr>
                <w:rFonts w:ascii="Garamond" w:eastAsia="Garamond" w:hAnsi="Garamond" w:cs="Garamond"/>
                <w:sz w:val="24"/>
                <w:szCs w:val="24"/>
              </w:rPr>
              <w:t>%</w:t>
            </w:r>
          </w:p>
        </w:tc>
      </w:tr>
      <w:tr w:rsidR="005B7B08" w:rsidRPr="009D638B" w14:paraId="2AC49964" w14:textId="77777777" w:rsidTr="00E6169B">
        <w:tc>
          <w:tcPr>
            <w:tcW w:w="2610" w:type="dxa"/>
          </w:tcPr>
          <w:p w14:paraId="5307745C"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Latin America</w:t>
            </w:r>
          </w:p>
        </w:tc>
        <w:tc>
          <w:tcPr>
            <w:tcW w:w="1595" w:type="dxa"/>
          </w:tcPr>
          <w:p w14:paraId="6007E1DC" w14:textId="5D50B4FD" w:rsidR="005B7B08" w:rsidRPr="009D638B" w:rsidRDefault="00307775" w:rsidP="00307775">
            <w:pPr>
              <w:spacing w:after="0" w:line="240" w:lineRule="auto"/>
              <w:jc w:val="center"/>
              <w:rPr>
                <w:sz w:val="24"/>
                <w:szCs w:val="24"/>
              </w:rPr>
            </w:pPr>
            <w:r>
              <w:rPr>
                <w:rFonts w:ascii="Garamond" w:eastAsia="Garamond" w:hAnsi="Garamond" w:cs="Garamond"/>
                <w:sz w:val="24"/>
                <w:szCs w:val="24"/>
              </w:rPr>
              <w:t>-1.8</w:t>
            </w:r>
            <w:r w:rsidR="005B7B08" w:rsidRPr="009D638B">
              <w:rPr>
                <w:rFonts w:ascii="Garamond" w:eastAsia="Garamond" w:hAnsi="Garamond" w:cs="Garamond"/>
                <w:sz w:val="24"/>
                <w:szCs w:val="24"/>
              </w:rPr>
              <w:t>%</w:t>
            </w:r>
          </w:p>
        </w:tc>
        <w:tc>
          <w:tcPr>
            <w:tcW w:w="1620" w:type="dxa"/>
          </w:tcPr>
          <w:p w14:paraId="2970991A" w14:textId="0961ADA6" w:rsidR="005B7B08" w:rsidRPr="009D638B" w:rsidRDefault="00A5543B" w:rsidP="005B7B08">
            <w:pPr>
              <w:spacing w:after="0" w:line="240" w:lineRule="auto"/>
              <w:jc w:val="center"/>
              <w:rPr>
                <w:sz w:val="24"/>
                <w:szCs w:val="24"/>
              </w:rPr>
            </w:pPr>
            <w:r>
              <w:rPr>
                <w:rFonts w:ascii="Garamond" w:eastAsia="Garamond" w:hAnsi="Garamond" w:cs="Garamond"/>
                <w:sz w:val="24"/>
                <w:szCs w:val="24"/>
              </w:rPr>
              <w:t>2</w:t>
            </w:r>
            <w:r w:rsidR="00307775">
              <w:rPr>
                <w:rFonts w:ascii="Garamond" w:eastAsia="Garamond" w:hAnsi="Garamond" w:cs="Garamond"/>
                <w:sz w:val="24"/>
                <w:szCs w:val="24"/>
              </w:rPr>
              <w:t>9.9</w:t>
            </w:r>
            <w:r w:rsidR="005B7B08" w:rsidRPr="009D638B">
              <w:rPr>
                <w:rFonts w:ascii="Garamond" w:eastAsia="Garamond" w:hAnsi="Garamond" w:cs="Garamond"/>
                <w:sz w:val="24"/>
                <w:szCs w:val="24"/>
              </w:rPr>
              <w:t>%</w:t>
            </w:r>
          </w:p>
        </w:tc>
        <w:tc>
          <w:tcPr>
            <w:tcW w:w="1890" w:type="dxa"/>
          </w:tcPr>
          <w:p w14:paraId="5FAE4EAA" w14:textId="00D58BD4" w:rsidR="005B7B08" w:rsidRPr="009D638B" w:rsidRDefault="00307775" w:rsidP="005B7B08">
            <w:pPr>
              <w:spacing w:after="0" w:line="240" w:lineRule="auto"/>
              <w:jc w:val="center"/>
              <w:rPr>
                <w:sz w:val="24"/>
                <w:szCs w:val="24"/>
              </w:rPr>
            </w:pPr>
            <w:r>
              <w:rPr>
                <w:rFonts w:ascii="Garamond" w:eastAsia="Garamond" w:hAnsi="Garamond" w:cs="Garamond"/>
                <w:sz w:val="24"/>
                <w:szCs w:val="24"/>
              </w:rPr>
              <w:t>5.5</w:t>
            </w:r>
            <w:r w:rsidR="005B7B08" w:rsidRPr="009D638B">
              <w:rPr>
                <w:rFonts w:ascii="Garamond" w:eastAsia="Garamond" w:hAnsi="Garamond" w:cs="Garamond"/>
                <w:sz w:val="24"/>
                <w:szCs w:val="24"/>
              </w:rPr>
              <w:t>%</w:t>
            </w:r>
          </w:p>
        </w:tc>
        <w:tc>
          <w:tcPr>
            <w:tcW w:w="1800" w:type="dxa"/>
          </w:tcPr>
          <w:p w14:paraId="3D0CAFE4" w14:textId="351993C9" w:rsidR="005B7B08" w:rsidRPr="009D638B" w:rsidRDefault="00A5543B" w:rsidP="005B7B08">
            <w:pPr>
              <w:spacing w:after="0" w:line="240" w:lineRule="auto"/>
              <w:jc w:val="center"/>
              <w:rPr>
                <w:sz w:val="24"/>
                <w:szCs w:val="24"/>
              </w:rPr>
            </w:pPr>
            <w:r>
              <w:rPr>
                <w:rFonts w:ascii="Garamond" w:eastAsia="Garamond" w:hAnsi="Garamond" w:cs="Garamond"/>
                <w:sz w:val="24"/>
                <w:szCs w:val="24"/>
              </w:rPr>
              <w:t>-</w:t>
            </w:r>
            <w:r w:rsidR="00307775">
              <w:rPr>
                <w:rFonts w:ascii="Garamond" w:eastAsia="Garamond" w:hAnsi="Garamond" w:cs="Garamond"/>
                <w:sz w:val="24"/>
                <w:szCs w:val="24"/>
              </w:rPr>
              <w:t>3.7</w:t>
            </w:r>
            <w:r w:rsidR="005B7B08" w:rsidRPr="009D638B">
              <w:rPr>
                <w:rFonts w:ascii="Garamond" w:eastAsia="Garamond" w:hAnsi="Garamond" w:cs="Garamond"/>
                <w:sz w:val="24"/>
                <w:szCs w:val="24"/>
              </w:rPr>
              <w:t>%</w:t>
            </w:r>
          </w:p>
        </w:tc>
      </w:tr>
      <w:tr w:rsidR="005B7B08" w:rsidRPr="009D638B" w14:paraId="213B7564" w14:textId="77777777" w:rsidTr="00E6169B">
        <w:tc>
          <w:tcPr>
            <w:tcW w:w="2610" w:type="dxa"/>
          </w:tcPr>
          <w:p w14:paraId="533D69D1"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Japan</w:t>
            </w:r>
          </w:p>
        </w:tc>
        <w:tc>
          <w:tcPr>
            <w:tcW w:w="1595" w:type="dxa"/>
          </w:tcPr>
          <w:p w14:paraId="7611649E" w14:textId="5F80CC1A" w:rsidR="005B7B08" w:rsidRPr="009D638B" w:rsidRDefault="00307775" w:rsidP="005B7B08">
            <w:pPr>
              <w:spacing w:after="0" w:line="240" w:lineRule="auto"/>
              <w:jc w:val="center"/>
              <w:rPr>
                <w:sz w:val="24"/>
                <w:szCs w:val="24"/>
              </w:rPr>
            </w:pPr>
            <w:r>
              <w:rPr>
                <w:rFonts w:ascii="Garamond" w:eastAsia="Garamond" w:hAnsi="Garamond" w:cs="Garamond"/>
                <w:sz w:val="24"/>
                <w:szCs w:val="24"/>
              </w:rPr>
              <w:t>8.5</w:t>
            </w:r>
            <w:r w:rsidR="005B7B08" w:rsidRPr="009D638B">
              <w:rPr>
                <w:rFonts w:ascii="Garamond" w:eastAsia="Garamond" w:hAnsi="Garamond" w:cs="Garamond"/>
                <w:sz w:val="24"/>
                <w:szCs w:val="24"/>
              </w:rPr>
              <w:t>%</w:t>
            </w:r>
          </w:p>
        </w:tc>
        <w:tc>
          <w:tcPr>
            <w:tcW w:w="1620" w:type="dxa"/>
          </w:tcPr>
          <w:p w14:paraId="144DFE9B" w14:textId="349FDD96" w:rsidR="005B7B08" w:rsidRPr="009D638B" w:rsidRDefault="00307775" w:rsidP="005B7B08">
            <w:pPr>
              <w:spacing w:after="0" w:line="240" w:lineRule="auto"/>
              <w:jc w:val="center"/>
              <w:rPr>
                <w:sz w:val="24"/>
                <w:szCs w:val="24"/>
              </w:rPr>
            </w:pPr>
            <w:r>
              <w:rPr>
                <w:rFonts w:ascii="Garamond" w:eastAsia="Garamond" w:hAnsi="Garamond" w:cs="Garamond"/>
                <w:sz w:val="24"/>
                <w:szCs w:val="24"/>
              </w:rPr>
              <w:t>25.5</w:t>
            </w:r>
            <w:r w:rsidR="005B7B08" w:rsidRPr="009D638B">
              <w:rPr>
                <w:rFonts w:ascii="Garamond" w:eastAsia="Garamond" w:hAnsi="Garamond" w:cs="Garamond"/>
                <w:sz w:val="24"/>
                <w:szCs w:val="24"/>
              </w:rPr>
              <w:t>%</w:t>
            </w:r>
          </w:p>
        </w:tc>
        <w:tc>
          <w:tcPr>
            <w:tcW w:w="1890" w:type="dxa"/>
          </w:tcPr>
          <w:p w14:paraId="0F2D47DE" w14:textId="265D118F"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3.3</w:t>
            </w:r>
            <w:r w:rsidR="005B7B08" w:rsidRPr="009D638B">
              <w:rPr>
                <w:rFonts w:ascii="Garamond" w:eastAsia="Garamond" w:hAnsi="Garamond" w:cs="Garamond"/>
                <w:sz w:val="24"/>
                <w:szCs w:val="24"/>
              </w:rPr>
              <w:t>%</w:t>
            </w:r>
          </w:p>
        </w:tc>
        <w:tc>
          <w:tcPr>
            <w:tcW w:w="1800" w:type="dxa"/>
          </w:tcPr>
          <w:p w14:paraId="572AD508" w14:textId="357A2494"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4.2</w:t>
            </w:r>
            <w:r w:rsidR="005B7B08" w:rsidRPr="009D638B">
              <w:rPr>
                <w:rFonts w:ascii="Garamond" w:eastAsia="Garamond" w:hAnsi="Garamond" w:cs="Garamond"/>
                <w:sz w:val="24"/>
                <w:szCs w:val="24"/>
              </w:rPr>
              <w:t>%</w:t>
            </w:r>
          </w:p>
        </w:tc>
      </w:tr>
      <w:tr w:rsidR="005B7B08" w:rsidRPr="009D638B" w14:paraId="5E60C8EC" w14:textId="77777777" w:rsidTr="00E6169B">
        <w:tc>
          <w:tcPr>
            <w:tcW w:w="2610" w:type="dxa"/>
          </w:tcPr>
          <w:p w14:paraId="01133CDF"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Pacific ex Japan</w:t>
            </w:r>
          </w:p>
        </w:tc>
        <w:tc>
          <w:tcPr>
            <w:tcW w:w="1595" w:type="dxa"/>
          </w:tcPr>
          <w:p w14:paraId="5A12EBAF" w14:textId="251480E9" w:rsidR="005B7B08" w:rsidRPr="009D638B" w:rsidRDefault="00307775" w:rsidP="005B7B08">
            <w:pPr>
              <w:spacing w:after="0" w:line="240" w:lineRule="auto"/>
              <w:jc w:val="center"/>
              <w:rPr>
                <w:sz w:val="24"/>
                <w:szCs w:val="24"/>
              </w:rPr>
            </w:pPr>
            <w:r>
              <w:rPr>
                <w:rFonts w:ascii="Garamond" w:eastAsia="Garamond" w:hAnsi="Garamond" w:cs="Garamond"/>
                <w:sz w:val="24"/>
                <w:szCs w:val="24"/>
              </w:rPr>
              <w:t>8.1</w:t>
            </w:r>
            <w:r w:rsidR="005B7B08" w:rsidRPr="009D638B">
              <w:rPr>
                <w:rFonts w:ascii="Garamond" w:eastAsia="Garamond" w:hAnsi="Garamond" w:cs="Garamond"/>
                <w:sz w:val="24"/>
                <w:szCs w:val="24"/>
              </w:rPr>
              <w:t>%</w:t>
            </w:r>
          </w:p>
        </w:tc>
        <w:tc>
          <w:tcPr>
            <w:tcW w:w="1620" w:type="dxa"/>
          </w:tcPr>
          <w:p w14:paraId="22E88D04" w14:textId="4F5A0C00" w:rsidR="005B7B08" w:rsidRPr="009D638B" w:rsidRDefault="00307775" w:rsidP="005B7B08">
            <w:pPr>
              <w:spacing w:after="0" w:line="240" w:lineRule="auto"/>
              <w:jc w:val="center"/>
              <w:rPr>
                <w:sz w:val="24"/>
                <w:szCs w:val="24"/>
              </w:rPr>
            </w:pPr>
            <w:r>
              <w:rPr>
                <w:rFonts w:ascii="Garamond" w:eastAsia="Garamond" w:hAnsi="Garamond" w:cs="Garamond"/>
                <w:sz w:val="24"/>
                <w:szCs w:val="24"/>
              </w:rPr>
              <w:t>37.4</w:t>
            </w:r>
            <w:r w:rsidR="005B7B08" w:rsidRPr="009D638B">
              <w:rPr>
                <w:rFonts w:ascii="Garamond" w:eastAsia="Garamond" w:hAnsi="Garamond" w:cs="Garamond"/>
                <w:sz w:val="24"/>
                <w:szCs w:val="24"/>
              </w:rPr>
              <w:t>%</w:t>
            </w:r>
          </w:p>
        </w:tc>
        <w:tc>
          <w:tcPr>
            <w:tcW w:w="1890" w:type="dxa"/>
          </w:tcPr>
          <w:p w14:paraId="4E769BBC" w14:textId="4E064057" w:rsidR="005B7B08" w:rsidRPr="009D638B" w:rsidRDefault="00307775" w:rsidP="005B7B08">
            <w:pPr>
              <w:spacing w:after="0" w:line="240" w:lineRule="auto"/>
              <w:jc w:val="center"/>
              <w:rPr>
                <w:sz w:val="24"/>
                <w:szCs w:val="24"/>
              </w:rPr>
            </w:pPr>
            <w:r>
              <w:rPr>
                <w:rFonts w:ascii="Garamond" w:eastAsia="Garamond" w:hAnsi="Garamond" w:cs="Garamond"/>
                <w:sz w:val="24"/>
                <w:szCs w:val="24"/>
              </w:rPr>
              <w:t>10.0</w:t>
            </w:r>
            <w:r w:rsidR="005B7B08" w:rsidRPr="009D638B">
              <w:rPr>
                <w:rFonts w:ascii="Garamond" w:eastAsia="Garamond" w:hAnsi="Garamond" w:cs="Garamond"/>
                <w:sz w:val="24"/>
                <w:szCs w:val="24"/>
              </w:rPr>
              <w:t>%</w:t>
            </w:r>
          </w:p>
        </w:tc>
        <w:tc>
          <w:tcPr>
            <w:tcW w:w="1800" w:type="dxa"/>
          </w:tcPr>
          <w:p w14:paraId="37414780" w14:textId="6C3174A5" w:rsidR="005B7B08" w:rsidRPr="009D638B" w:rsidRDefault="00A5543B" w:rsidP="005B7B08">
            <w:pPr>
              <w:spacing w:after="0" w:line="240" w:lineRule="auto"/>
              <w:jc w:val="center"/>
              <w:rPr>
                <w:sz w:val="24"/>
                <w:szCs w:val="24"/>
              </w:rPr>
            </w:pPr>
            <w:r>
              <w:rPr>
                <w:rFonts w:ascii="Garamond" w:eastAsia="Garamond" w:hAnsi="Garamond" w:cs="Garamond"/>
                <w:sz w:val="24"/>
                <w:szCs w:val="24"/>
              </w:rPr>
              <w:t>7.</w:t>
            </w:r>
            <w:r w:rsidR="00307775">
              <w:rPr>
                <w:rFonts w:ascii="Garamond" w:eastAsia="Garamond" w:hAnsi="Garamond" w:cs="Garamond"/>
                <w:sz w:val="24"/>
                <w:szCs w:val="24"/>
              </w:rPr>
              <w:t>5</w:t>
            </w:r>
            <w:r w:rsidR="005B7B08" w:rsidRPr="009D638B">
              <w:rPr>
                <w:rFonts w:ascii="Garamond" w:eastAsia="Garamond" w:hAnsi="Garamond" w:cs="Garamond"/>
                <w:sz w:val="24"/>
                <w:szCs w:val="24"/>
              </w:rPr>
              <w:t>%</w:t>
            </w:r>
          </w:p>
        </w:tc>
      </w:tr>
      <w:tr w:rsidR="005B7B08" w:rsidRPr="009D638B" w14:paraId="4933702A" w14:textId="77777777" w:rsidTr="00E6169B">
        <w:tc>
          <w:tcPr>
            <w:tcW w:w="2610" w:type="dxa"/>
          </w:tcPr>
          <w:p w14:paraId="4208F441"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China Region</w:t>
            </w:r>
          </w:p>
        </w:tc>
        <w:tc>
          <w:tcPr>
            <w:tcW w:w="1595" w:type="dxa"/>
          </w:tcPr>
          <w:p w14:paraId="6C8F3861" w14:textId="44344C2D" w:rsidR="005B7B08" w:rsidRPr="009D638B" w:rsidRDefault="00307775" w:rsidP="005B7B08">
            <w:pPr>
              <w:spacing w:after="0" w:line="240" w:lineRule="auto"/>
              <w:jc w:val="center"/>
              <w:rPr>
                <w:sz w:val="24"/>
                <w:szCs w:val="24"/>
              </w:rPr>
            </w:pPr>
            <w:r>
              <w:rPr>
                <w:rFonts w:ascii="Garamond" w:eastAsia="Garamond" w:hAnsi="Garamond" w:cs="Garamond"/>
                <w:sz w:val="24"/>
                <w:szCs w:val="24"/>
              </w:rPr>
              <w:t>6.2</w:t>
            </w:r>
            <w:r w:rsidR="005B7B08" w:rsidRPr="009D638B">
              <w:rPr>
                <w:rFonts w:ascii="Garamond" w:eastAsia="Garamond" w:hAnsi="Garamond" w:cs="Garamond"/>
                <w:sz w:val="24"/>
                <w:szCs w:val="24"/>
              </w:rPr>
              <w:t>%</w:t>
            </w:r>
          </w:p>
        </w:tc>
        <w:tc>
          <w:tcPr>
            <w:tcW w:w="1620" w:type="dxa"/>
          </w:tcPr>
          <w:p w14:paraId="4D72C81D" w14:textId="0EF381A6" w:rsidR="005B7B08" w:rsidRPr="009D638B" w:rsidRDefault="00307775" w:rsidP="005B7B08">
            <w:pPr>
              <w:spacing w:after="0" w:line="240" w:lineRule="auto"/>
              <w:jc w:val="center"/>
              <w:rPr>
                <w:sz w:val="24"/>
                <w:szCs w:val="24"/>
              </w:rPr>
            </w:pPr>
            <w:r>
              <w:rPr>
                <w:rFonts w:ascii="Garamond" w:eastAsia="Garamond" w:hAnsi="Garamond" w:cs="Garamond"/>
                <w:sz w:val="24"/>
                <w:szCs w:val="24"/>
              </w:rPr>
              <w:t>42.4</w:t>
            </w:r>
            <w:r w:rsidR="005B7B08" w:rsidRPr="009D638B">
              <w:rPr>
                <w:rFonts w:ascii="Garamond" w:eastAsia="Garamond" w:hAnsi="Garamond" w:cs="Garamond"/>
                <w:sz w:val="24"/>
                <w:szCs w:val="24"/>
              </w:rPr>
              <w:t>%</w:t>
            </w:r>
          </w:p>
        </w:tc>
        <w:tc>
          <w:tcPr>
            <w:tcW w:w="1890" w:type="dxa"/>
          </w:tcPr>
          <w:p w14:paraId="4773E982" w14:textId="7F9709BA"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1.1</w:t>
            </w:r>
            <w:r w:rsidR="005B7B08" w:rsidRPr="009D638B">
              <w:rPr>
                <w:rFonts w:ascii="Garamond" w:eastAsia="Garamond" w:hAnsi="Garamond" w:cs="Garamond"/>
                <w:sz w:val="24"/>
                <w:szCs w:val="24"/>
              </w:rPr>
              <w:t>%</w:t>
            </w:r>
          </w:p>
        </w:tc>
        <w:tc>
          <w:tcPr>
            <w:tcW w:w="1800" w:type="dxa"/>
          </w:tcPr>
          <w:p w14:paraId="44D20C6C" w14:textId="443DA189" w:rsidR="005B7B08" w:rsidRPr="009D638B" w:rsidRDefault="00307775" w:rsidP="005B7B08">
            <w:pPr>
              <w:spacing w:after="0" w:line="240" w:lineRule="auto"/>
              <w:jc w:val="center"/>
              <w:rPr>
                <w:sz w:val="24"/>
                <w:szCs w:val="24"/>
              </w:rPr>
            </w:pPr>
            <w:r>
              <w:rPr>
                <w:rFonts w:ascii="Garamond" w:eastAsia="Garamond" w:hAnsi="Garamond" w:cs="Garamond"/>
                <w:sz w:val="24"/>
                <w:szCs w:val="24"/>
              </w:rPr>
              <w:t>9.6</w:t>
            </w:r>
            <w:r w:rsidR="005B7B08" w:rsidRPr="009D638B">
              <w:rPr>
                <w:rFonts w:ascii="Garamond" w:eastAsia="Garamond" w:hAnsi="Garamond" w:cs="Garamond"/>
                <w:sz w:val="24"/>
                <w:szCs w:val="24"/>
              </w:rPr>
              <w:t>%</w:t>
            </w:r>
          </w:p>
        </w:tc>
      </w:tr>
      <w:tr w:rsidR="005B7B08" w:rsidRPr="009D638B" w14:paraId="62D56DF5" w14:textId="77777777" w:rsidTr="00E6169B">
        <w:tc>
          <w:tcPr>
            <w:tcW w:w="2610" w:type="dxa"/>
          </w:tcPr>
          <w:p w14:paraId="5562C86F"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Corporate Bond</w:t>
            </w:r>
          </w:p>
        </w:tc>
        <w:tc>
          <w:tcPr>
            <w:tcW w:w="1595" w:type="dxa"/>
          </w:tcPr>
          <w:p w14:paraId="49B0279C" w14:textId="77777777" w:rsidR="005B7B08" w:rsidRPr="009D638B" w:rsidRDefault="005B7B08" w:rsidP="005B7B08">
            <w:pPr>
              <w:spacing w:after="0" w:line="240" w:lineRule="auto"/>
              <w:jc w:val="center"/>
              <w:rPr>
                <w:sz w:val="24"/>
                <w:szCs w:val="24"/>
              </w:rPr>
            </w:pPr>
          </w:p>
        </w:tc>
        <w:tc>
          <w:tcPr>
            <w:tcW w:w="1620" w:type="dxa"/>
          </w:tcPr>
          <w:p w14:paraId="05EC6AFC" w14:textId="77777777" w:rsidR="005B7B08" w:rsidRPr="009D638B" w:rsidRDefault="005B7B08" w:rsidP="005B7B08">
            <w:pPr>
              <w:spacing w:after="0" w:line="240" w:lineRule="auto"/>
              <w:jc w:val="center"/>
              <w:rPr>
                <w:sz w:val="24"/>
                <w:szCs w:val="24"/>
              </w:rPr>
            </w:pPr>
          </w:p>
        </w:tc>
        <w:tc>
          <w:tcPr>
            <w:tcW w:w="1890" w:type="dxa"/>
          </w:tcPr>
          <w:p w14:paraId="59D0FAD2" w14:textId="77777777" w:rsidR="005B7B08" w:rsidRPr="009D638B" w:rsidRDefault="005B7B08" w:rsidP="005B7B08">
            <w:pPr>
              <w:spacing w:after="0" w:line="240" w:lineRule="auto"/>
              <w:jc w:val="center"/>
              <w:rPr>
                <w:sz w:val="24"/>
                <w:szCs w:val="24"/>
              </w:rPr>
            </w:pPr>
          </w:p>
        </w:tc>
        <w:tc>
          <w:tcPr>
            <w:tcW w:w="1800" w:type="dxa"/>
          </w:tcPr>
          <w:p w14:paraId="413329BF" w14:textId="77777777" w:rsidR="005B7B08" w:rsidRPr="009D638B" w:rsidRDefault="005B7B08" w:rsidP="005B7B08">
            <w:pPr>
              <w:spacing w:after="0" w:line="240" w:lineRule="auto"/>
              <w:jc w:val="center"/>
              <w:rPr>
                <w:sz w:val="24"/>
                <w:szCs w:val="24"/>
              </w:rPr>
            </w:pPr>
          </w:p>
        </w:tc>
      </w:tr>
      <w:tr w:rsidR="005B7B08" w:rsidRPr="009D638B" w14:paraId="525FFC58" w14:textId="77777777" w:rsidTr="00E6169B">
        <w:tc>
          <w:tcPr>
            <w:tcW w:w="2610" w:type="dxa"/>
          </w:tcPr>
          <w:p w14:paraId="30E84D96"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Long </w:t>
            </w:r>
          </w:p>
        </w:tc>
        <w:tc>
          <w:tcPr>
            <w:tcW w:w="1595" w:type="dxa"/>
          </w:tcPr>
          <w:p w14:paraId="5AF53773" w14:textId="18BC9544" w:rsidR="005B7B08" w:rsidRPr="009D638B" w:rsidRDefault="00307775" w:rsidP="005B7B08">
            <w:pPr>
              <w:spacing w:after="0" w:line="240" w:lineRule="auto"/>
              <w:jc w:val="center"/>
              <w:rPr>
                <w:sz w:val="24"/>
                <w:szCs w:val="24"/>
              </w:rPr>
            </w:pPr>
            <w:r>
              <w:rPr>
                <w:rFonts w:ascii="Garamond" w:eastAsia="Garamond" w:hAnsi="Garamond" w:cs="Garamond"/>
                <w:sz w:val="24"/>
                <w:szCs w:val="24"/>
              </w:rPr>
              <w:t>2.0</w:t>
            </w:r>
            <w:r w:rsidR="005B7B08" w:rsidRPr="009D638B">
              <w:rPr>
                <w:rFonts w:ascii="Garamond" w:eastAsia="Garamond" w:hAnsi="Garamond" w:cs="Garamond"/>
                <w:sz w:val="24"/>
                <w:szCs w:val="24"/>
              </w:rPr>
              <w:t>%</w:t>
            </w:r>
          </w:p>
        </w:tc>
        <w:tc>
          <w:tcPr>
            <w:tcW w:w="1620" w:type="dxa"/>
          </w:tcPr>
          <w:p w14:paraId="0C5D2D51" w14:textId="7F849F24" w:rsidR="005B7B08" w:rsidRPr="009D638B" w:rsidRDefault="00307775" w:rsidP="005B7B08">
            <w:pPr>
              <w:spacing w:after="0" w:line="240" w:lineRule="auto"/>
              <w:jc w:val="center"/>
              <w:rPr>
                <w:sz w:val="24"/>
                <w:szCs w:val="24"/>
              </w:rPr>
            </w:pPr>
            <w:r>
              <w:rPr>
                <w:rFonts w:ascii="Garamond" w:eastAsia="Garamond" w:hAnsi="Garamond" w:cs="Garamond"/>
                <w:sz w:val="24"/>
                <w:szCs w:val="24"/>
              </w:rPr>
              <w:t>9.7</w:t>
            </w:r>
            <w:r w:rsidR="005B7B08" w:rsidRPr="009D638B">
              <w:rPr>
                <w:rFonts w:ascii="Garamond" w:eastAsia="Garamond" w:hAnsi="Garamond" w:cs="Garamond"/>
                <w:sz w:val="24"/>
                <w:szCs w:val="24"/>
              </w:rPr>
              <w:t>%</w:t>
            </w:r>
          </w:p>
        </w:tc>
        <w:tc>
          <w:tcPr>
            <w:tcW w:w="1890" w:type="dxa"/>
          </w:tcPr>
          <w:p w14:paraId="6DA03D89" w14:textId="68055AAA" w:rsidR="005B7B08" w:rsidRPr="009D638B" w:rsidRDefault="00307775" w:rsidP="005B7B08">
            <w:pPr>
              <w:spacing w:after="0" w:line="240" w:lineRule="auto"/>
              <w:jc w:val="center"/>
              <w:rPr>
                <w:sz w:val="24"/>
                <w:szCs w:val="24"/>
              </w:rPr>
            </w:pPr>
            <w:r>
              <w:rPr>
                <w:rFonts w:ascii="Garamond" w:eastAsia="Garamond" w:hAnsi="Garamond" w:cs="Garamond"/>
                <w:sz w:val="24"/>
                <w:szCs w:val="24"/>
              </w:rPr>
              <w:t>4.6</w:t>
            </w:r>
            <w:r w:rsidR="005B7B08" w:rsidRPr="009D638B">
              <w:rPr>
                <w:rFonts w:ascii="Garamond" w:eastAsia="Garamond" w:hAnsi="Garamond" w:cs="Garamond"/>
                <w:sz w:val="24"/>
                <w:szCs w:val="24"/>
              </w:rPr>
              <w:t>%</w:t>
            </w:r>
          </w:p>
        </w:tc>
        <w:tc>
          <w:tcPr>
            <w:tcW w:w="1800" w:type="dxa"/>
          </w:tcPr>
          <w:p w14:paraId="3765AB0E" w14:textId="6F915E89" w:rsidR="005B7B08" w:rsidRPr="009D638B" w:rsidRDefault="00A5543B" w:rsidP="005B7B08">
            <w:pPr>
              <w:spacing w:after="0" w:line="240" w:lineRule="auto"/>
              <w:jc w:val="center"/>
              <w:rPr>
                <w:sz w:val="24"/>
                <w:szCs w:val="24"/>
              </w:rPr>
            </w:pPr>
            <w:r>
              <w:rPr>
                <w:rFonts w:ascii="Garamond" w:eastAsia="Garamond" w:hAnsi="Garamond" w:cs="Garamond"/>
                <w:sz w:val="24"/>
                <w:szCs w:val="24"/>
              </w:rPr>
              <w:t>4.</w:t>
            </w:r>
            <w:r w:rsidR="00307775">
              <w:rPr>
                <w:rFonts w:ascii="Garamond" w:eastAsia="Garamond" w:hAnsi="Garamond" w:cs="Garamond"/>
                <w:sz w:val="24"/>
                <w:szCs w:val="24"/>
              </w:rPr>
              <w:t>6</w:t>
            </w:r>
            <w:r w:rsidR="005B7B08" w:rsidRPr="009D638B">
              <w:rPr>
                <w:rFonts w:ascii="Garamond" w:eastAsia="Garamond" w:hAnsi="Garamond" w:cs="Garamond"/>
                <w:sz w:val="24"/>
                <w:szCs w:val="24"/>
              </w:rPr>
              <w:t>%</w:t>
            </w:r>
          </w:p>
        </w:tc>
      </w:tr>
      <w:tr w:rsidR="005B7B08" w:rsidRPr="009D638B" w14:paraId="7A8E2C0E" w14:textId="77777777" w:rsidTr="00E6169B">
        <w:tc>
          <w:tcPr>
            <w:tcW w:w="2610" w:type="dxa"/>
          </w:tcPr>
          <w:p w14:paraId="4760A804"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Intermediate</w:t>
            </w:r>
          </w:p>
        </w:tc>
        <w:tc>
          <w:tcPr>
            <w:tcW w:w="1595" w:type="dxa"/>
          </w:tcPr>
          <w:p w14:paraId="621A7871" w14:textId="2F2621C4"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.3</w:t>
            </w:r>
            <w:r w:rsidR="005B7B08" w:rsidRPr="009D638B">
              <w:rPr>
                <w:rFonts w:ascii="Garamond" w:eastAsia="Garamond" w:hAnsi="Garamond" w:cs="Garamond"/>
                <w:sz w:val="24"/>
                <w:szCs w:val="24"/>
              </w:rPr>
              <w:t>%</w:t>
            </w:r>
          </w:p>
        </w:tc>
        <w:tc>
          <w:tcPr>
            <w:tcW w:w="1620" w:type="dxa"/>
          </w:tcPr>
          <w:p w14:paraId="2C8B82D5" w14:textId="10287DFD" w:rsidR="005B7B08" w:rsidRPr="009D638B" w:rsidRDefault="00307775" w:rsidP="005B7B08">
            <w:pPr>
              <w:spacing w:after="0" w:line="240" w:lineRule="auto"/>
              <w:jc w:val="center"/>
              <w:rPr>
                <w:sz w:val="24"/>
                <w:szCs w:val="24"/>
              </w:rPr>
            </w:pPr>
            <w:r>
              <w:rPr>
                <w:rFonts w:ascii="Garamond" w:eastAsia="Garamond" w:hAnsi="Garamond" w:cs="Garamond"/>
                <w:sz w:val="24"/>
                <w:szCs w:val="24"/>
              </w:rPr>
              <w:t>3.7</w:t>
            </w:r>
            <w:r w:rsidR="005B7B08" w:rsidRPr="009D638B">
              <w:rPr>
                <w:rFonts w:ascii="Garamond" w:eastAsia="Garamond" w:hAnsi="Garamond" w:cs="Garamond"/>
                <w:sz w:val="24"/>
                <w:szCs w:val="24"/>
              </w:rPr>
              <w:t>%</w:t>
            </w:r>
          </w:p>
        </w:tc>
        <w:tc>
          <w:tcPr>
            <w:tcW w:w="1890" w:type="dxa"/>
          </w:tcPr>
          <w:p w14:paraId="7F2701E9" w14:textId="568C7963" w:rsidR="005B7B08" w:rsidRPr="009D638B" w:rsidRDefault="00A5543B" w:rsidP="005B7B08">
            <w:pPr>
              <w:spacing w:after="0" w:line="240" w:lineRule="auto"/>
              <w:jc w:val="center"/>
              <w:rPr>
                <w:sz w:val="24"/>
                <w:szCs w:val="24"/>
              </w:rPr>
            </w:pPr>
            <w:r>
              <w:rPr>
                <w:rFonts w:ascii="Garamond" w:eastAsia="Garamond" w:hAnsi="Garamond" w:cs="Garamond"/>
                <w:sz w:val="24"/>
                <w:szCs w:val="24"/>
              </w:rPr>
              <w:t>2.</w:t>
            </w:r>
            <w:r w:rsidR="00307775">
              <w:rPr>
                <w:rFonts w:ascii="Garamond" w:eastAsia="Garamond" w:hAnsi="Garamond" w:cs="Garamond"/>
                <w:sz w:val="24"/>
                <w:szCs w:val="24"/>
              </w:rPr>
              <w:t>2</w:t>
            </w:r>
            <w:r w:rsidR="005B7B08" w:rsidRPr="009D638B">
              <w:rPr>
                <w:rFonts w:ascii="Garamond" w:eastAsia="Garamond" w:hAnsi="Garamond" w:cs="Garamond"/>
                <w:sz w:val="24"/>
                <w:szCs w:val="24"/>
              </w:rPr>
              <w:t>%</w:t>
            </w:r>
          </w:p>
        </w:tc>
        <w:tc>
          <w:tcPr>
            <w:tcW w:w="1800" w:type="dxa"/>
          </w:tcPr>
          <w:p w14:paraId="1681545D" w14:textId="03B12E88" w:rsidR="005B7B08" w:rsidRPr="009D638B" w:rsidRDefault="00A5543B" w:rsidP="005B7B08">
            <w:pPr>
              <w:spacing w:after="0" w:line="240" w:lineRule="auto"/>
              <w:jc w:val="center"/>
              <w:rPr>
                <w:sz w:val="24"/>
                <w:szCs w:val="24"/>
              </w:rPr>
            </w:pPr>
            <w:r>
              <w:rPr>
                <w:rFonts w:ascii="Garamond" w:eastAsia="Garamond" w:hAnsi="Garamond" w:cs="Garamond"/>
                <w:sz w:val="24"/>
                <w:szCs w:val="24"/>
              </w:rPr>
              <w:t>2.1</w:t>
            </w:r>
            <w:r w:rsidR="005B7B08" w:rsidRPr="009D638B">
              <w:rPr>
                <w:rFonts w:ascii="Garamond" w:eastAsia="Garamond" w:hAnsi="Garamond" w:cs="Garamond"/>
                <w:sz w:val="24"/>
                <w:szCs w:val="24"/>
              </w:rPr>
              <w:t>%</w:t>
            </w:r>
          </w:p>
        </w:tc>
      </w:tr>
      <w:tr w:rsidR="005B7B08" w:rsidRPr="009D638B" w14:paraId="3FDC066A" w14:textId="77777777" w:rsidTr="00E6169B">
        <w:tc>
          <w:tcPr>
            <w:tcW w:w="2610" w:type="dxa"/>
          </w:tcPr>
          <w:p w14:paraId="3B3CFEBC"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Short</w:t>
            </w:r>
          </w:p>
        </w:tc>
        <w:tc>
          <w:tcPr>
            <w:tcW w:w="1595" w:type="dxa"/>
          </w:tcPr>
          <w:p w14:paraId="2E0550A2" w14:textId="016F7D87" w:rsidR="005B7B08" w:rsidRPr="009D638B" w:rsidRDefault="00A5543B" w:rsidP="005B7B08">
            <w:pPr>
              <w:spacing w:after="0" w:line="240" w:lineRule="auto"/>
              <w:jc w:val="center"/>
              <w:rPr>
                <w:rFonts w:ascii="Garamond" w:eastAsia="Garamond" w:hAnsi="Garamond" w:cs="Garamond"/>
                <w:sz w:val="24"/>
                <w:szCs w:val="24"/>
              </w:rPr>
            </w:pPr>
            <w:r>
              <w:rPr>
                <w:rFonts w:ascii="Garamond" w:eastAsia="Garamond" w:hAnsi="Garamond" w:cs="Garamond"/>
                <w:sz w:val="24"/>
                <w:szCs w:val="24"/>
              </w:rPr>
              <w:t>0.</w:t>
            </w:r>
            <w:r w:rsidR="00307775">
              <w:rPr>
                <w:rFonts w:ascii="Garamond" w:eastAsia="Garamond" w:hAnsi="Garamond" w:cs="Garamond"/>
                <w:sz w:val="24"/>
                <w:szCs w:val="24"/>
              </w:rPr>
              <w:t>0</w:t>
            </w:r>
            <w:r w:rsidR="005B7B08" w:rsidRPr="009D638B">
              <w:rPr>
                <w:rFonts w:ascii="Garamond" w:eastAsia="Garamond" w:hAnsi="Garamond" w:cs="Garamond"/>
                <w:sz w:val="24"/>
                <w:szCs w:val="24"/>
              </w:rPr>
              <w:t>%</w:t>
            </w:r>
          </w:p>
        </w:tc>
        <w:tc>
          <w:tcPr>
            <w:tcW w:w="1620" w:type="dxa"/>
          </w:tcPr>
          <w:p w14:paraId="1CF324A1" w14:textId="0D514E94"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7</w:t>
            </w:r>
            <w:r w:rsidR="005B7B08" w:rsidRPr="009D638B">
              <w:rPr>
                <w:rFonts w:ascii="Garamond" w:eastAsia="Garamond" w:hAnsi="Garamond" w:cs="Garamond"/>
                <w:sz w:val="24"/>
                <w:szCs w:val="24"/>
              </w:rPr>
              <w:t>%</w:t>
            </w:r>
          </w:p>
        </w:tc>
        <w:tc>
          <w:tcPr>
            <w:tcW w:w="1890" w:type="dxa"/>
          </w:tcPr>
          <w:p w14:paraId="36D0FCCC" w14:textId="517028D0"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5</w:t>
            </w:r>
            <w:r w:rsidR="005B7B08" w:rsidRPr="009D638B">
              <w:rPr>
                <w:rFonts w:ascii="Garamond" w:eastAsia="Garamond" w:hAnsi="Garamond" w:cs="Garamond"/>
                <w:sz w:val="24"/>
                <w:szCs w:val="24"/>
              </w:rPr>
              <w:t>%</w:t>
            </w:r>
          </w:p>
        </w:tc>
        <w:tc>
          <w:tcPr>
            <w:tcW w:w="1800" w:type="dxa"/>
          </w:tcPr>
          <w:p w14:paraId="0A7EDC74" w14:textId="4D521696" w:rsidR="005B7B08" w:rsidRPr="009D638B" w:rsidRDefault="00A5543B" w:rsidP="005B7B08">
            <w:pPr>
              <w:spacing w:after="0" w:line="240" w:lineRule="auto"/>
              <w:jc w:val="center"/>
              <w:rPr>
                <w:sz w:val="24"/>
                <w:szCs w:val="24"/>
              </w:rPr>
            </w:pPr>
            <w:r>
              <w:rPr>
                <w:rFonts w:ascii="Garamond" w:eastAsia="Garamond" w:hAnsi="Garamond" w:cs="Garamond"/>
                <w:sz w:val="24"/>
                <w:szCs w:val="24"/>
              </w:rPr>
              <w:t>1.2</w:t>
            </w:r>
            <w:r w:rsidR="005B7B08" w:rsidRPr="009D638B">
              <w:rPr>
                <w:rFonts w:ascii="Garamond" w:eastAsia="Garamond" w:hAnsi="Garamond" w:cs="Garamond"/>
                <w:sz w:val="24"/>
                <w:szCs w:val="24"/>
              </w:rPr>
              <w:t>%</w:t>
            </w:r>
          </w:p>
        </w:tc>
      </w:tr>
      <w:tr w:rsidR="005B7B08" w:rsidRPr="009D638B" w14:paraId="3131EAC4" w14:textId="77777777" w:rsidTr="00E6169B">
        <w:tc>
          <w:tcPr>
            <w:tcW w:w="2610" w:type="dxa"/>
          </w:tcPr>
          <w:p w14:paraId="76EED3CA"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Government Bond</w:t>
            </w:r>
          </w:p>
        </w:tc>
        <w:tc>
          <w:tcPr>
            <w:tcW w:w="1595" w:type="dxa"/>
          </w:tcPr>
          <w:p w14:paraId="433FF0EE" w14:textId="77777777" w:rsidR="005B7B08" w:rsidRPr="009D638B" w:rsidRDefault="005B7B08" w:rsidP="005B7B08">
            <w:pPr>
              <w:spacing w:after="0" w:line="240" w:lineRule="auto"/>
              <w:jc w:val="center"/>
              <w:rPr>
                <w:sz w:val="24"/>
                <w:szCs w:val="24"/>
              </w:rPr>
            </w:pPr>
          </w:p>
        </w:tc>
        <w:tc>
          <w:tcPr>
            <w:tcW w:w="1620" w:type="dxa"/>
          </w:tcPr>
          <w:p w14:paraId="070AC0BE" w14:textId="77777777" w:rsidR="005B7B08" w:rsidRPr="009D638B" w:rsidRDefault="005B7B08" w:rsidP="005B7B08">
            <w:pPr>
              <w:spacing w:after="0" w:line="240" w:lineRule="auto"/>
              <w:jc w:val="center"/>
              <w:rPr>
                <w:sz w:val="24"/>
                <w:szCs w:val="24"/>
              </w:rPr>
            </w:pPr>
          </w:p>
        </w:tc>
        <w:tc>
          <w:tcPr>
            <w:tcW w:w="1890" w:type="dxa"/>
          </w:tcPr>
          <w:p w14:paraId="4290EA2D" w14:textId="77777777" w:rsidR="005B7B08" w:rsidRPr="009D638B" w:rsidRDefault="005B7B08" w:rsidP="005B7B08">
            <w:pPr>
              <w:spacing w:after="0" w:line="240" w:lineRule="auto"/>
              <w:jc w:val="center"/>
              <w:rPr>
                <w:sz w:val="24"/>
                <w:szCs w:val="24"/>
              </w:rPr>
            </w:pPr>
          </w:p>
        </w:tc>
        <w:tc>
          <w:tcPr>
            <w:tcW w:w="1800" w:type="dxa"/>
          </w:tcPr>
          <w:p w14:paraId="4C74A02E" w14:textId="77777777" w:rsidR="005B7B08" w:rsidRPr="009D638B" w:rsidRDefault="005B7B08" w:rsidP="005B7B08">
            <w:pPr>
              <w:spacing w:after="0" w:line="240" w:lineRule="auto"/>
              <w:jc w:val="center"/>
              <w:rPr>
                <w:sz w:val="24"/>
                <w:szCs w:val="24"/>
              </w:rPr>
            </w:pPr>
          </w:p>
        </w:tc>
      </w:tr>
      <w:tr w:rsidR="005B7B08" w:rsidRPr="009D638B" w14:paraId="57FBAD31" w14:textId="77777777" w:rsidTr="00E6169B">
        <w:tc>
          <w:tcPr>
            <w:tcW w:w="2610" w:type="dxa"/>
          </w:tcPr>
          <w:p w14:paraId="630823D0"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Long </w:t>
            </w:r>
          </w:p>
        </w:tc>
        <w:tc>
          <w:tcPr>
            <w:tcW w:w="1595" w:type="dxa"/>
          </w:tcPr>
          <w:p w14:paraId="4A52CEC2" w14:textId="018EC08E" w:rsidR="005B7B08" w:rsidRPr="009D638B" w:rsidRDefault="00307775" w:rsidP="005B7B08">
            <w:pPr>
              <w:spacing w:after="0" w:line="240" w:lineRule="auto"/>
              <w:jc w:val="center"/>
              <w:rPr>
                <w:sz w:val="24"/>
                <w:szCs w:val="24"/>
              </w:rPr>
            </w:pPr>
            <w:r>
              <w:rPr>
                <w:rFonts w:ascii="Garamond" w:eastAsia="Garamond" w:hAnsi="Garamond" w:cs="Garamond"/>
                <w:sz w:val="24"/>
                <w:szCs w:val="24"/>
              </w:rPr>
              <w:t>2.2</w:t>
            </w:r>
            <w:r w:rsidR="005B7B08" w:rsidRPr="009D638B">
              <w:rPr>
                <w:rFonts w:ascii="Garamond" w:eastAsia="Garamond" w:hAnsi="Garamond" w:cs="Garamond"/>
                <w:sz w:val="24"/>
                <w:szCs w:val="24"/>
              </w:rPr>
              <w:t>%</w:t>
            </w:r>
          </w:p>
        </w:tc>
        <w:tc>
          <w:tcPr>
            <w:tcW w:w="1620" w:type="dxa"/>
          </w:tcPr>
          <w:p w14:paraId="65D2CD67" w14:textId="4CFF612E" w:rsidR="005B7B08" w:rsidRPr="009D638B" w:rsidRDefault="00307775" w:rsidP="005B7B08">
            <w:pPr>
              <w:spacing w:after="0" w:line="240" w:lineRule="auto"/>
              <w:jc w:val="center"/>
              <w:rPr>
                <w:sz w:val="24"/>
                <w:szCs w:val="24"/>
              </w:rPr>
            </w:pPr>
            <w:r>
              <w:rPr>
                <w:rFonts w:ascii="Garamond" w:eastAsia="Garamond" w:hAnsi="Garamond" w:cs="Garamond"/>
                <w:sz w:val="24"/>
                <w:szCs w:val="24"/>
              </w:rPr>
              <w:t>8.4</w:t>
            </w:r>
            <w:r w:rsidR="005B7B08" w:rsidRPr="009D638B">
              <w:rPr>
                <w:rFonts w:ascii="Garamond" w:eastAsia="Garamond" w:hAnsi="Garamond" w:cs="Garamond"/>
                <w:sz w:val="24"/>
                <w:szCs w:val="24"/>
              </w:rPr>
              <w:t>%</w:t>
            </w:r>
          </w:p>
        </w:tc>
        <w:tc>
          <w:tcPr>
            <w:tcW w:w="1890" w:type="dxa"/>
          </w:tcPr>
          <w:p w14:paraId="631EDBF5" w14:textId="1630E3DD" w:rsidR="005B7B08" w:rsidRPr="009D638B" w:rsidRDefault="00307775" w:rsidP="005B7B08">
            <w:pPr>
              <w:spacing w:after="0" w:line="240" w:lineRule="auto"/>
              <w:jc w:val="center"/>
              <w:rPr>
                <w:sz w:val="24"/>
                <w:szCs w:val="24"/>
              </w:rPr>
            </w:pPr>
            <w:r>
              <w:rPr>
                <w:rFonts w:ascii="Garamond" w:eastAsia="Garamond" w:hAnsi="Garamond" w:cs="Garamond"/>
                <w:sz w:val="24"/>
                <w:szCs w:val="24"/>
              </w:rPr>
              <w:t>2.6</w:t>
            </w:r>
            <w:r w:rsidR="005B7B08" w:rsidRPr="009D638B">
              <w:rPr>
                <w:rFonts w:ascii="Garamond" w:eastAsia="Garamond" w:hAnsi="Garamond" w:cs="Garamond"/>
                <w:sz w:val="24"/>
                <w:szCs w:val="24"/>
              </w:rPr>
              <w:t>%</w:t>
            </w:r>
          </w:p>
        </w:tc>
        <w:tc>
          <w:tcPr>
            <w:tcW w:w="1800" w:type="dxa"/>
          </w:tcPr>
          <w:p w14:paraId="31E9234A" w14:textId="6BD44154" w:rsidR="005B7B08" w:rsidRPr="009D638B" w:rsidRDefault="00307775" w:rsidP="005B7B08">
            <w:pPr>
              <w:spacing w:after="0" w:line="240" w:lineRule="auto"/>
              <w:jc w:val="center"/>
              <w:rPr>
                <w:sz w:val="24"/>
                <w:szCs w:val="24"/>
              </w:rPr>
            </w:pPr>
            <w:r>
              <w:rPr>
                <w:rFonts w:ascii="Garamond" w:eastAsia="Garamond" w:hAnsi="Garamond" w:cs="Garamond"/>
                <w:sz w:val="24"/>
                <w:szCs w:val="24"/>
              </w:rPr>
              <w:t>3.3</w:t>
            </w:r>
            <w:r w:rsidR="005B7B08" w:rsidRPr="009D638B">
              <w:rPr>
                <w:rFonts w:ascii="Garamond" w:eastAsia="Garamond" w:hAnsi="Garamond" w:cs="Garamond"/>
                <w:sz w:val="24"/>
                <w:szCs w:val="24"/>
              </w:rPr>
              <w:t>%</w:t>
            </w:r>
          </w:p>
        </w:tc>
      </w:tr>
      <w:tr w:rsidR="005B7B08" w:rsidRPr="009D638B" w14:paraId="6A4D24FE" w14:textId="77777777" w:rsidTr="00E6169B">
        <w:tc>
          <w:tcPr>
            <w:tcW w:w="2610" w:type="dxa"/>
          </w:tcPr>
          <w:p w14:paraId="6D300C70"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Intermediate</w:t>
            </w:r>
          </w:p>
        </w:tc>
        <w:tc>
          <w:tcPr>
            <w:tcW w:w="1595" w:type="dxa"/>
          </w:tcPr>
          <w:p w14:paraId="675A0425" w14:textId="510F42CE" w:rsidR="005B7B08" w:rsidRPr="009D638B" w:rsidRDefault="00307775" w:rsidP="005B7B08">
            <w:pPr>
              <w:spacing w:after="0" w:line="240" w:lineRule="auto"/>
              <w:jc w:val="center"/>
              <w:rPr>
                <w:sz w:val="24"/>
                <w:szCs w:val="24"/>
              </w:rPr>
            </w:pPr>
            <w:r>
              <w:rPr>
                <w:rFonts w:ascii="Garamond" w:eastAsia="Garamond" w:hAnsi="Garamond" w:cs="Garamond"/>
                <w:sz w:val="24"/>
                <w:szCs w:val="24"/>
              </w:rPr>
              <w:t>-0.2</w:t>
            </w:r>
            <w:r w:rsidR="005B7B08" w:rsidRPr="009D638B">
              <w:rPr>
                <w:rFonts w:ascii="Garamond" w:eastAsia="Garamond" w:hAnsi="Garamond" w:cs="Garamond"/>
                <w:sz w:val="24"/>
                <w:szCs w:val="24"/>
              </w:rPr>
              <w:t>%</w:t>
            </w:r>
          </w:p>
        </w:tc>
        <w:tc>
          <w:tcPr>
            <w:tcW w:w="1620" w:type="dxa"/>
          </w:tcPr>
          <w:p w14:paraId="035DE92B" w14:textId="0D041F10" w:rsidR="005B7B08" w:rsidRPr="009D638B" w:rsidRDefault="00307775" w:rsidP="005B7B08">
            <w:pPr>
              <w:spacing w:after="0" w:line="240" w:lineRule="auto"/>
              <w:jc w:val="center"/>
              <w:rPr>
                <w:sz w:val="24"/>
                <w:szCs w:val="24"/>
              </w:rPr>
            </w:pPr>
            <w:r>
              <w:rPr>
                <w:rFonts w:ascii="Garamond" w:eastAsia="Garamond" w:hAnsi="Garamond" w:cs="Garamond"/>
                <w:sz w:val="24"/>
                <w:szCs w:val="24"/>
              </w:rPr>
              <w:t>1.6</w:t>
            </w:r>
            <w:r w:rsidR="005B7B08" w:rsidRPr="009D638B">
              <w:rPr>
                <w:rFonts w:ascii="Garamond" w:eastAsia="Garamond" w:hAnsi="Garamond" w:cs="Garamond"/>
                <w:sz w:val="24"/>
                <w:szCs w:val="24"/>
              </w:rPr>
              <w:t>%</w:t>
            </w:r>
          </w:p>
        </w:tc>
        <w:tc>
          <w:tcPr>
            <w:tcW w:w="1890" w:type="dxa"/>
          </w:tcPr>
          <w:p w14:paraId="44C6D569" w14:textId="1423D522"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1</w:t>
            </w:r>
            <w:r w:rsidR="005B7B08" w:rsidRPr="009D638B">
              <w:rPr>
                <w:rFonts w:ascii="Garamond" w:eastAsia="Garamond" w:hAnsi="Garamond" w:cs="Garamond"/>
                <w:sz w:val="24"/>
                <w:szCs w:val="24"/>
              </w:rPr>
              <w:t>%</w:t>
            </w:r>
          </w:p>
        </w:tc>
        <w:tc>
          <w:tcPr>
            <w:tcW w:w="1800" w:type="dxa"/>
          </w:tcPr>
          <w:p w14:paraId="1AF5FF3A" w14:textId="4381DA30" w:rsidR="005B7B08" w:rsidRPr="009D638B" w:rsidRDefault="005B7B08" w:rsidP="005B7B08">
            <w:pPr>
              <w:spacing w:after="0" w:line="240" w:lineRule="auto"/>
              <w:jc w:val="center"/>
              <w:rPr>
                <w:sz w:val="24"/>
                <w:szCs w:val="24"/>
              </w:rPr>
            </w:pPr>
            <w:r w:rsidRPr="009D638B">
              <w:rPr>
                <w:rFonts w:ascii="Garamond" w:eastAsia="Garamond" w:hAnsi="Garamond" w:cs="Garamond"/>
                <w:sz w:val="24"/>
                <w:szCs w:val="24"/>
              </w:rPr>
              <w:t>1.</w:t>
            </w:r>
            <w:r w:rsidR="00307775">
              <w:rPr>
                <w:rFonts w:ascii="Garamond" w:eastAsia="Garamond" w:hAnsi="Garamond" w:cs="Garamond"/>
                <w:sz w:val="24"/>
                <w:szCs w:val="24"/>
              </w:rPr>
              <w:t>1</w:t>
            </w:r>
            <w:r w:rsidRPr="009D638B">
              <w:rPr>
                <w:rFonts w:ascii="Garamond" w:eastAsia="Garamond" w:hAnsi="Garamond" w:cs="Garamond"/>
                <w:sz w:val="24"/>
                <w:szCs w:val="24"/>
              </w:rPr>
              <w:t>%</w:t>
            </w:r>
          </w:p>
        </w:tc>
      </w:tr>
      <w:tr w:rsidR="005B7B08" w:rsidRPr="009D638B" w14:paraId="121181B2" w14:textId="77777777" w:rsidTr="00E6169B">
        <w:tc>
          <w:tcPr>
            <w:tcW w:w="2610" w:type="dxa"/>
          </w:tcPr>
          <w:p w14:paraId="2C9104B5"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Short</w:t>
            </w:r>
          </w:p>
        </w:tc>
        <w:tc>
          <w:tcPr>
            <w:tcW w:w="1595" w:type="dxa"/>
          </w:tcPr>
          <w:p w14:paraId="526E64D3" w14:textId="77777777" w:rsidR="005B7B08" w:rsidRPr="009D638B" w:rsidRDefault="005B7B08" w:rsidP="005B7B08">
            <w:pPr>
              <w:spacing w:after="0" w:line="240" w:lineRule="auto"/>
              <w:jc w:val="center"/>
              <w:rPr>
                <w:sz w:val="24"/>
                <w:szCs w:val="24"/>
              </w:rPr>
            </w:pPr>
            <w:r w:rsidRPr="009D638B">
              <w:rPr>
                <w:rFonts w:ascii="Garamond" w:eastAsia="Garamond" w:hAnsi="Garamond" w:cs="Garamond"/>
                <w:sz w:val="24"/>
                <w:szCs w:val="24"/>
              </w:rPr>
              <w:t>0.2%</w:t>
            </w:r>
          </w:p>
        </w:tc>
        <w:tc>
          <w:tcPr>
            <w:tcW w:w="1620" w:type="dxa"/>
          </w:tcPr>
          <w:p w14:paraId="701EE105" w14:textId="6285685F"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6</w:t>
            </w:r>
            <w:r w:rsidR="005B7B08" w:rsidRPr="009D638B">
              <w:rPr>
                <w:rFonts w:ascii="Garamond" w:eastAsia="Garamond" w:hAnsi="Garamond" w:cs="Garamond"/>
                <w:sz w:val="24"/>
                <w:szCs w:val="24"/>
              </w:rPr>
              <w:t>%</w:t>
            </w:r>
          </w:p>
        </w:tc>
        <w:tc>
          <w:tcPr>
            <w:tcW w:w="1890" w:type="dxa"/>
          </w:tcPr>
          <w:p w14:paraId="6BAB6C02" w14:textId="6E4AFFDC"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5</w:t>
            </w:r>
            <w:r w:rsidR="005B7B08" w:rsidRPr="009D638B">
              <w:rPr>
                <w:rFonts w:ascii="Garamond" w:eastAsia="Garamond" w:hAnsi="Garamond" w:cs="Garamond"/>
                <w:sz w:val="24"/>
                <w:szCs w:val="24"/>
              </w:rPr>
              <w:t>%</w:t>
            </w:r>
          </w:p>
        </w:tc>
        <w:tc>
          <w:tcPr>
            <w:tcW w:w="1800" w:type="dxa"/>
          </w:tcPr>
          <w:p w14:paraId="2A5B77D9" w14:textId="48A4BF3C"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3</w:t>
            </w:r>
            <w:r w:rsidR="005B7B08" w:rsidRPr="009D638B">
              <w:rPr>
                <w:rFonts w:ascii="Garamond" w:eastAsia="Garamond" w:hAnsi="Garamond" w:cs="Garamond"/>
                <w:sz w:val="24"/>
                <w:szCs w:val="24"/>
              </w:rPr>
              <w:t>%</w:t>
            </w:r>
          </w:p>
        </w:tc>
      </w:tr>
      <w:tr w:rsidR="005B7B08" w:rsidRPr="009D638B" w14:paraId="48D2989E" w14:textId="77777777" w:rsidTr="00E6169B">
        <w:tc>
          <w:tcPr>
            <w:tcW w:w="2610" w:type="dxa"/>
          </w:tcPr>
          <w:p w14:paraId="44A9568A"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Municipal Bond</w:t>
            </w:r>
          </w:p>
        </w:tc>
        <w:tc>
          <w:tcPr>
            <w:tcW w:w="1595" w:type="dxa"/>
          </w:tcPr>
          <w:p w14:paraId="2F69D3E9" w14:textId="77777777" w:rsidR="005B7B08" w:rsidRPr="009D638B" w:rsidRDefault="005B7B08" w:rsidP="005B7B08">
            <w:pPr>
              <w:spacing w:after="0" w:line="240" w:lineRule="auto"/>
              <w:jc w:val="center"/>
              <w:rPr>
                <w:sz w:val="24"/>
                <w:szCs w:val="24"/>
              </w:rPr>
            </w:pPr>
          </w:p>
        </w:tc>
        <w:tc>
          <w:tcPr>
            <w:tcW w:w="1620" w:type="dxa"/>
          </w:tcPr>
          <w:p w14:paraId="09F35B14" w14:textId="77777777" w:rsidR="005B7B08" w:rsidRPr="009D638B" w:rsidRDefault="005B7B08" w:rsidP="005B7B08">
            <w:pPr>
              <w:spacing w:after="0" w:line="240" w:lineRule="auto"/>
              <w:jc w:val="center"/>
              <w:rPr>
                <w:sz w:val="24"/>
                <w:szCs w:val="24"/>
              </w:rPr>
            </w:pPr>
          </w:p>
        </w:tc>
        <w:tc>
          <w:tcPr>
            <w:tcW w:w="1890" w:type="dxa"/>
          </w:tcPr>
          <w:p w14:paraId="57F9C20A" w14:textId="77777777" w:rsidR="005B7B08" w:rsidRPr="009D638B" w:rsidRDefault="005B7B08" w:rsidP="005B7B08">
            <w:pPr>
              <w:spacing w:after="0" w:line="240" w:lineRule="auto"/>
              <w:jc w:val="center"/>
              <w:rPr>
                <w:sz w:val="24"/>
                <w:szCs w:val="24"/>
              </w:rPr>
            </w:pPr>
          </w:p>
        </w:tc>
        <w:tc>
          <w:tcPr>
            <w:tcW w:w="1800" w:type="dxa"/>
          </w:tcPr>
          <w:p w14:paraId="2395E72E" w14:textId="77777777" w:rsidR="005B7B08" w:rsidRPr="009D638B" w:rsidRDefault="005B7B08" w:rsidP="005B7B08">
            <w:pPr>
              <w:spacing w:after="0" w:line="240" w:lineRule="auto"/>
              <w:jc w:val="center"/>
              <w:rPr>
                <w:sz w:val="24"/>
                <w:szCs w:val="24"/>
              </w:rPr>
            </w:pPr>
          </w:p>
        </w:tc>
      </w:tr>
      <w:tr w:rsidR="005B7B08" w:rsidRPr="009D638B" w14:paraId="18A457E4" w14:textId="77777777" w:rsidTr="00E6169B">
        <w:tc>
          <w:tcPr>
            <w:tcW w:w="2610" w:type="dxa"/>
          </w:tcPr>
          <w:p w14:paraId="5235B51F"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Long </w:t>
            </w:r>
          </w:p>
        </w:tc>
        <w:tc>
          <w:tcPr>
            <w:tcW w:w="1595" w:type="dxa"/>
          </w:tcPr>
          <w:p w14:paraId="71724A4A" w14:textId="5B9A8E0A" w:rsidR="005B7B08" w:rsidRPr="009D638B" w:rsidRDefault="00A5543B" w:rsidP="005B7B08">
            <w:pPr>
              <w:spacing w:after="0" w:line="240" w:lineRule="auto"/>
              <w:jc w:val="center"/>
              <w:rPr>
                <w:sz w:val="24"/>
                <w:szCs w:val="24"/>
              </w:rPr>
            </w:pPr>
            <w:r>
              <w:rPr>
                <w:rFonts w:ascii="Garamond" w:eastAsia="Garamond" w:hAnsi="Garamond" w:cs="Garamond"/>
                <w:sz w:val="24"/>
                <w:szCs w:val="24"/>
              </w:rPr>
              <w:t>1.</w:t>
            </w:r>
            <w:r w:rsidR="00307775">
              <w:rPr>
                <w:rFonts w:ascii="Garamond" w:eastAsia="Garamond" w:hAnsi="Garamond" w:cs="Garamond"/>
                <w:sz w:val="24"/>
                <w:szCs w:val="24"/>
              </w:rPr>
              <w:t>0</w:t>
            </w:r>
            <w:r w:rsidR="005B7B08" w:rsidRPr="009D638B">
              <w:rPr>
                <w:rFonts w:ascii="Garamond" w:eastAsia="Garamond" w:hAnsi="Garamond" w:cs="Garamond"/>
                <w:sz w:val="24"/>
                <w:szCs w:val="24"/>
              </w:rPr>
              <w:t>%</w:t>
            </w:r>
          </w:p>
        </w:tc>
        <w:tc>
          <w:tcPr>
            <w:tcW w:w="1620" w:type="dxa"/>
          </w:tcPr>
          <w:p w14:paraId="4898E587" w14:textId="47E32616" w:rsidR="005B7B08" w:rsidRPr="009D638B" w:rsidRDefault="00307775" w:rsidP="005B7B08">
            <w:pPr>
              <w:spacing w:after="0" w:line="240" w:lineRule="auto"/>
              <w:jc w:val="center"/>
              <w:rPr>
                <w:sz w:val="24"/>
                <w:szCs w:val="24"/>
              </w:rPr>
            </w:pPr>
            <w:r>
              <w:rPr>
                <w:rFonts w:ascii="Garamond" w:eastAsia="Garamond" w:hAnsi="Garamond" w:cs="Garamond"/>
                <w:sz w:val="24"/>
                <w:szCs w:val="24"/>
              </w:rPr>
              <w:t>5.7</w:t>
            </w:r>
            <w:r w:rsidR="005B7B08" w:rsidRPr="009D638B">
              <w:rPr>
                <w:rFonts w:ascii="Garamond" w:eastAsia="Garamond" w:hAnsi="Garamond" w:cs="Garamond"/>
                <w:sz w:val="24"/>
                <w:szCs w:val="24"/>
              </w:rPr>
              <w:t>%</w:t>
            </w:r>
          </w:p>
        </w:tc>
        <w:tc>
          <w:tcPr>
            <w:tcW w:w="1890" w:type="dxa"/>
          </w:tcPr>
          <w:p w14:paraId="2CAA5492" w14:textId="3720B2E4" w:rsidR="005B7B08" w:rsidRPr="009D638B" w:rsidRDefault="00A5543B" w:rsidP="005B7B08">
            <w:pPr>
              <w:spacing w:after="0" w:line="240" w:lineRule="auto"/>
              <w:jc w:val="center"/>
              <w:rPr>
                <w:sz w:val="24"/>
                <w:szCs w:val="24"/>
              </w:rPr>
            </w:pPr>
            <w:r>
              <w:rPr>
                <w:rFonts w:ascii="Garamond" w:eastAsia="Garamond" w:hAnsi="Garamond" w:cs="Garamond"/>
                <w:sz w:val="24"/>
                <w:szCs w:val="24"/>
              </w:rPr>
              <w:t>3.</w:t>
            </w:r>
            <w:r w:rsidR="00307775">
              <w:rPr>
                <w:rFonts w:ascii="Garamond" w:eastAsia="Garamond" w:hAnsi="Garamond" w:cs="Garamond"/>
                <w:sz w:val="24"/>
                <w:szCs w:val="24"/>
              </w:rPr>
              <w:t>0</w:t>
            </w:r>
            <w:r w:rsidR="005B7B08" w:rsidRPr="009D638B">
              <w:rPr>
                <w:rFonts w:ascii="Garamond" w:eastAsia="Garamond" w:hAnsi="Garamond" w:cs="Garamond"/>
                <w:sz w:val="24"/>
                <w:szCs w:val="24"/>
              </w:rPr>
              <w:t>%</w:t>
            </w:r>
          </w:p>
        </w:tc>
        <w:tc>
          <w:tcPr>
            <w:tcW w:w="1800" w:type="dxa"/>
          </w:tcPr>
          <w:p w14:paraId="1D7B276E" w14:textId="5776952A" w:rsidR="005B7B08" w:rsidRPr="009D638B" w:rsidRDefault="00307775" w:rsidP="005B7B08">
            <w:pPr>
              <w:spacing w:after="0" w:line="240" w:lineRule="auto"/>
              <w:jc w:val="center"/>
              <w:rPr>
                <w:sz w:val="24"/>
                <w:szCs w:val="24"/>
              </w:rPr>
            </w:pPr>
            <w:r>
              <w:rPr>
                <w:rFonts w:ascii="Garamond" w:eastAsia="Garamond" w:hAnsi="Garamond" w:cs="Garamond"/>
                <w:sz w:val="24"/>
                <w:szCs w:val="24"/>
              </w:rPr>
              <w:t>3.0</w:t>
            </w:r>
            <w:r w:rsidR="005B7B08" w:rsidRPr="009D638B">
              <w:rPr>
                <w:rFonts w:ascii="Garamond" w:eastAsia="Garamond" w:hAnsi="Garamond" w:cs="Garamond"/>
                <w:sz w:val="24"/>
                <w:szCs w:val="24"/>
              </w:rPr>
              <w:t>%</w:t>
            </w:r>
          </w:p>
        </w:tc>
      </w:tr>
      <w:tr w:rsidR="005B7B08" w:rsidRPr="009D638B" w14:paraId="0415A823" w14:textId="77777777" w:rsidTr="00E6169B">
        <w:tc>
          <w:tcPr>
            <w:tcW w:w="2610" w:type="dxa"/>
          </w:tcPr>
          <w:p w14:paraId="73CC90C1"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Intermediate</w:t>
            </w:r>
          </w:p>
        </w:tc>
        <w:tc>
          <w:tcPr>
            <w:tcW w:w="1595" w:type="dxa"/>
          </w:tcPr>
          <w:p w14:paraId="09DA2E88" w14:textId="174208E3" w:rsidR="005B7B08" w:rsidRPr="009D638B" w:rsidRDefault="00307775" w:rsidP="005B7B08">
            <w:pPr>
              <w:spacing w:after="0" w:line="240" w:lineRule="auto"/>
              <w:jc w:val="center"/>
              <w:rPr>
                <w:sz w:val="24"/>
                <w:szCs w:val="24"/>
              </w:rPr>
            </w:pPr>
            <w:r>
              <w:rPr>
                <w:rFonts w:ascii="Garamond" w:eastAsia="Garamond" w:hAnsi="Garamond" w:cs="Garamond"/>
                <w:sz w:val="24"/>
                <w:szCs w:val="24"/>
              </w:rPr>
              <w:t>0.4</w:t>
            </w:r>
            <w:r w:rsidR="005B7B08" w:rsidRPr="009D638B">
              <w:rPr>
                <w:rFonts w:ascii="Garamond" w:eastAsia="Garamond" w:hAnsi="Garamond" w:cs="Garamond"/>
                <w:sz w:val="24"/>
                <w:szCs w:val="24"/>
              </w:rPr>
              <w:t>%</w:t>
            </w:r>
          </w:p>
        </w:tc>
        <w:tc>
          <w:tcPr>
            <w:tcW w:w="1620" w:type="dxa"/>
          </w:tcPr>
          <w:p w14:paraId="1237D8F9" w14:textId="609FF190" w:rsidR="005B7B08" w:rsidRPr="009D638B" w:rsidRDefault="00307775" w:rsidP="005B7B08">
            <w:pPr>
              <w:spacing w:after="0" w:line="240" w:lineRule="auto"/>
              <w:jc w:val="center"/>
              <w:rPr>
                <w:sz w:val="24"/>
                <w:szCs w:val="24"/>
              </w:rPr>
            </w:pPr>
            <w:r>
              <w:rPr>
                <w:rFonts w:ascii="Garamond" w:eastAsia="Garamond" w:hAnsi="Garamond" w:cs="Garamond"/>
                <w:sz w:val="24"/>
                <w:szCs w:val="24"/>
              </w:rPr>
              <w:t>4.6</w:t>
            </w:r>
            <w:r w:rsidR="005B7B08" w:rsidRPr="009D638B">
              <w:rPr>
                <w:rFonts w:ascii="Garamond" w:eastAsia="Garamond" w:hAnsi="Garamond" w:cs="Garamond"/>
                <w:sz w:val="24"/>
                <w:szCs w:val="24"/>
              </w:rPr>
              <w:t>%</w:t>
            </w:r>
          </w:p>
        </w:tc>
        <w:tc>
          <w:tcPr>
            <w:tcW w:w="1890" w:type="dxa"/>
          </w:tcPr>
          <w:p w14:paraId="038B7977" w14:textId="54A35641" w:rsidR="005B7B08" w:rsidRPr="009D638B" w:rsidRDefault="005B7B08" w:rsidP="005B7B08">
            <w:pPr>
              <w:spacing w:after="0" w:line="240" w:lineRule="auto"/>
              <w:jc w:val="center"/>
              <w:rPr>
                <w:sz w:val="24"/>
                <w:szCs w:val="24"/>
              </w:rPr>
            </w:pPr>
            <w:r w:rsidRPr="009D638B">
              <w:rPr>
                <w:rFonts w:ascii="Garamond" w:eastAsia="Garamond" w:hAnsi="Garamond" w:cs="Garamond"/>
                <w:sz w:val="24"/>
                <w:szCs w:val="24"/>
              </w:rPr>
              <w:t>2.</w:t>
            </w:r>
            <w:r w:rsidR="00307775">
              <w:rPr>
                <w:rFonts w:ascii="Garamond" w:eastAsia="Garamond" w:hAnsi="Garamond" w:cs="Garamond"/>
                <w:sz w:val="24"/>
                <w:szCs w:val="24"/>
              </w:rPr>
              <w:t>3</w:t>
            </w:r>
            <w:r w:rsidRPr="009D638B">
              <w:rPr>
                <w:rFonts w:ascii="Garamond" w:eastAsia="Garamond" w:hAnsi="Garamond" w:cs="Garamond"/>
                <w:sz w:val="24"/>
                <w:szCs w:val="24"/>
              </w:rPr>
              <w:t>%</w:t>
            </w:r>
          </w:p>
        </w:tc>
        <w:tc>
          <w:tcPr>
            <w:tcW w:w="1800" w:type="dxa"/>
          </w:tcPr>
          <w:p w14:paraId="18BF75C4" w14:textId="38BCD54C" w:rsidR="005B7B08" w:rsidRPr="009D638B" w:rsidRDefault="00A5543B" w:rsidP="005B7B08">
            <w:pPr>
              <w:spacing w:after="0" w:line="240" w:lineRule="auto"/>
              <w:jc w:val="center"/>
              <w:rPr>
                <w:sz w:val="24"/>
                <w:szCs w:val="24"/>
              </w:rPr>
            </w:pPr>
            <w:r>
              <w:rPr>
                <w:rFonts w:ascii="Garamond" w:eastAsia="Garamond" w:hAnsi="Garamond" w:cs="Garamond"/>
                <w:sz w:val="24"/>
                <w:szCs w:val="24"/>
              </w:rPr>
              <w:t>2.4</w:t>
            </w:r>
            <w:r w:rsidR="005B7B08" w:rsidRPr="009D638B">
              <w:rPr>
                <w:rFonts w:ascii="Garamond" w:eastAsia="Garamond" w:hAnsi="Garamond" w:cs="Garamond"/>
                <w:sz w:val="24"/>
                <w:szCs w:val="24"/>
              </w:rPr>
              <w:t>%</w:t>
            </w:r>
          </w:p>
        </w:tc>
      </w:tr>
      <w:tr w:rsidR="005B7B08" w:rsidRPr="009D638B" w14:paraId="3C72BE68" w14:textId="77777777" w:rsidTr="00E6169B">
        <w:tc>
          <w:tcPr>
            <w:tcW w:w="2610" w:type="dxa"/>
          </w:tcPr>
          <w:p w14:paraId="4DE00894" w14:textId="77777777" w:rsidR="005B7B08" w:rsidRPr="009D638B" w:rsidRDefault="005B7B08" w:rsidP="005B7B08">
            <w:pPr>
              <w:spacing w:after="0" w:line="240" w:lineRule="auto"/>
              <w:rPr>
                <w:sz w:val="24"/>
                <w:szCs w:val="24"/>
              </w:rPr>
            </w:pPr>
            <w:r w:rsidRPr="009D638B">
              <w:rPr>
                <w:rFonts w:ascii="Garamond" w:eastAsia="Garamond" w:hAnsi="Garamond" w:cs="Garamond"/>
                <w:sz w:val="24"/>
                <w:szCs w:val="24"/>
              </w:rPr>
              <w:t xml:space="preserve">      Short</w:t>
            </w:r>
          </w:p>
        </w:tc>
        <w:tc>
          <w:tcPr>
            <w:tcW w:w="1595" w:type="dxa"/>
          </w:tcPr>
          <w:p w14:paraId="26B5E2A5" w14:textId="00939F2A"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3</w:t>
            </w:r>
            <w:r w:rsidR="005B7B08" w:rsidRPr="009D638B">
              <w:rPr>
                <w:rFonts w:ascii="Garamond" w:eastAsia="Garamond" w:hAnsi="Garamond" w:cs="Garamond"/>
                <w:sz w:val="24"/>
                <w:szCs w:val="24"/>
              </w:rPr>
              <w:t>%</w:t>
            </w:r>
          </w:p>
        </w:tc>
        <w:tc>
          <w:tcPr>
            <w:tcW w:w="1620" w:type="dxa"/>
          </w:tcPr>
          <w:p w14:paraId="2AC4955B" w14:textId="51A6F6A5" w:rsidR="005B7B08" w:rsidRPr="009D638B" w:rsidRDefault="00307775" w:rsidP="005B7B08">
            <w:pPr>
              <w:spacing w:after="0" w:line="240" w:lineRule="auto"/>
              <w:jc w:val="center"/>
              <w:rPr>
                <w:sz w:val="24"/>
                <w:szCs w:val="24"/>
              </w:rPr>
            </w:pPr>
            <w:r>
              <w:rPr>
                <w:rFonts w:ascii="Garamond" w:eastAsia="Garamond" w:hAnsi="Garamond" w:cs="Garamond"/>
                <w:sz w:val="24"/>
                <w:szCs w:val="24"/>
              </w:rPr>
              <w:t>1</w:t>
            </w:r>
            <w:r w:rsidR="00A5543B">
              <w:rPr>
                <w:rFonts w:ascii="Garamond" w:eastAsia="Garamond" w:hAnsi="Garamond" w:cs="Garamond"/>
                <w:sz w:val="24"/>
                <w:szCs w:val="24"/>
              </w:rPr>
              <w:t>.7</w:t>
            </w:r>
            <w:r w:rsidR="005B7B08" w:rsidRPr="009D638B">
              <w:rPr>
                <w:rFonts w:ascii="Garamond" w:eastAsia="Garamond" w:hAnsi="Garamond" w:cs="Garamond"/>
                <w:sz w:val="24"/>
                <w:szCs w:val="24"/>
              </w:rPr>
              <w:t>%</w:t>
            </w:r>
          </w:p>
        </w:tc>
        <w:tc>
          <w:tcPr>
            <w:tcW w:w="1890" w:type="dxa"/>
          </w:tcPr>
          <w:p w14:paraId="52A28D7D" w14:textId="76EDA517" w:rsidR="005B7B08" w:rsidRPr="009D638B" w:rsidRDefault="00A5543B" w:rsidP="005B7B08">
            <w:pPr>
              <w:spacing w:after="0" w:line="240" w:lineRule="auto"/>
              <w:jc w:val="center"/>
              <w:rPr>
                <w:sz w:val="24"/>
                <w:szCs w:val="24"/>
              </w:rPr>
            </w:pPr>
            <w:r>
              <w:rPr>
                <w:rFonts w:ascii="Garamond" w:eastAsia="Garamond" w:hAnsi="Garamond" w:cs="Garamond"/>
                <w:sz w:val="24"/>
                <w:szCs w:val="24"/>
              </w:rPr>
              <w:t>0.</w:t>
            </w:r>
            <w:r w:rsidR="00307775">
              <w:rPr>
                <w:rFonts w:ascii="Garamond" w:eastAsia="Garamond" w:hAnsi="Garamond" w:cs="Garamond"/>
                <w:sz w:val="24"/>
                <w:szCs w:val="24"/>
              </w:rPr>
              <w:t>8</w:t>
            </w:r>
            <w:r w:rsidR="005B7B08" w:rsidRPr="009D638B">
              <w:rPr>
                <w:rFonts w:ascii="Garamond" w:eastAsia="Garamond" w:hAnsi="Garamond" w:cs="Garamond"/>
                <w:sz w:val="24"/>
                <w:szCs w:val="24"/>
              </w:rPr>
              <w:t>%</w:t>
            </w:r>
          </w:p>
        </w:tc>
        <w:tc>
          <w:tcPr>
            <w:tcW w:w="1800" w:type="dxa"/>
          </w:tcPr>
          <w:p w14:paraId="411ACE8D" w14:textId="4E86613F" w:rsidR="005B7B08" w:rsidRPr="009D638B" w:rsidRDefault="005B7B08" w:rsidP="005B7B08">
            <w:pPr>
              <w:spacing w:after="0" w:line="240" w:lineRule="auto"/>
              <w:jc w:val="center"/>
              <w:rPr>
                <w:sz w:val="24"/>
                <w:szCs w:val="24"/>
              </w:rPr>
            </w:pPr>
            <w:r w:rsidRPr="009D638B">
              <w:rPr>
                <w:rFonts w:ascii="Garamond" w:eastAsia="Garamond" w:hAnsi="Garamond" w:cs="Garamond"/>
                <w:sz w:val="24"/>
                <w:szCs w:val="24"/>
              </w:rPr>
              <w:t>0.</w:t>
            </w:r>
            <w:r w:rsidR="00307775">
              <w:rPr>
                <w:rFonts w:ascii="Garamond" w:eastAsia="Garamond" w:hAnsi="Garamond" w:cs="Garamond"/>
                <w:sz w:val="24"/>
                <w:szCs w:val="24"/>
              </w:rPr>
              <w:t>8</w:t>
            </w:r>
            <w:r w:rsidRPr="009D638B">
              <w:rPr>
                <w:rFonts w:ascii="Garamond" w:eastAsia="Garamond" w:hAnsi="Garamond" w:cs="Garamond"/>
                <w:sz w:val="24"/>
                <w:szCs w:val="24"/>
              </w:rPr>
              <w:t>%</w:t>
            </w:r>
          </w:p>
        </w:tc>
      </w:tr>
    </w:tbl>
    <w:p w14:paraId="4333232A" w14:textId="3D39EE9B" w:rsidR="009D638B" w:rsidRDefault="003915C5" w:rsidP="00307775">
      <w:pPr>
        <w:spacing w:before="100" w:after="280" w:line="240" w:lineRule="auto"/>
        <w:rPr>
          <w:rFonts w:ascii="Garamond" w:eastAsia="Garamond" w:hAnsi="Garamond" w:cs="Garamond"/>
          <w:b/>
          <w:sz w:val="24"/>
          <w:szCs w:val="24"/>
          <w:u w:val="single"/>
        </w:rPr>
      </w:pPr>
      <w:r w:rsidRPr="009D638B">
        <w:rPr>
          <w:rFonts w:ascii="Garamond" w:eastAsia="Garamond" w:hAnsi="Garamond" w:cs="Garamond"/>
          <w:b/>
          <w:sz w:val="24"/>
          <w:szCs w:val="24"/>
          <w:u w:val="single"/>
        </w:rPr>
        <w:t xml:space="preserve">Market Outlook </w:t>
      </w:r>
    </w:p>
    <w:p w14:paraId="796E8BB3" w14:textId="31808E51" w:rsidR="009D638B" w:rsidRPr="00B95174" w:rsidRDefault="00307775" w:rsidP="00A13790">
      <w:pPr>
        <w:spacing w:before="100" w:after="280" w:line="240" w:lineRule="auto"/>
        <w:rPr>
          <w:rFonts w:ascii="Garamond" w:eastAsia="Garamond" w:hAnsi="Garamond" w:cs="Garamond"/>
          <w:sz w:val="24"/>
          <w:szCs w:val="24"/>
        </w:rPr>
      </w:pPr>
      <w:r w:rsidRPr="00307775">
        <w:rPr>
          <w:rFonts w:ascii="Garamond" w:eastAsia="Garamond" w:hAnsi="Garamond" w:cs="Garamond"/>
          <w:sz w:val="24"/>
          <w:szCs w:val="24"/>
        </w:rPr>
        <w:t>Finally, a note on the 2018 stock</w:t>
      </w:r>
      <w:r>
        <w:rPr>
          <w:rFonts w:ascii="Garamond" w:eastAsia="Garamond" w:hAnsi="Garamond" w:cs="Garamond"/>
          <w:sz w:val="24"/>
          <w:szCs w:val="24"/>
        </w:rPr>
        <w:t xml:space="preserve"> market</w:t>
      </w:r>
      <w:r w:rsidR="00A13790">
        <w:rPr>
          <w:rFonts w:ascii="Garamond" w:eastAsia="Garamond" w:hAnsi="Garamond" w:cs="Garamond"/>
          <w:sz w:val="24"/>
          <w:szCs w:val="24"/>
        </w:rPr>
        <w:t>; we’re off to a good start.  The economy is strong but the market is high an</w:t>
      </w:r>
      <w:r w:rsidR="0090338A">
        <w:rPr>
          <w:rFonts w:ascii="Garamond" w:eastAsia="Garamond" w:hAnsi="Garamond" w:cs="Garamond"/>
          <w:sz w:val="24"/>
          <w:szCs w:val="24"/>
        </w:rPr>
        <w:t>d will be hard to maintain without fundamental support</w:t>
      </w:r>
      <w:r w:rsidR="00A13790">
        <w:rPr>
          <w:rFonts w:ascii="Garamond" w:eastAsia="Garamond" w:hAnsi="Garamond" w:cs="Garamond"/>
          <w:sz w:val="24"/>
          <w:szCs w:val="24"/>
        </w:rPr>
        <w:t xml:space="preserve">.  </w:t>
      </w:r>
      <w:r w:rsidR="0090338A">
        <w:rPr>
          <w:rFonts w:ascii="Garamond" w:eastAsia="Garamond" w:hAnsi="Garamond" w:cs="Garamond"/>
          <w:sz w:val="24"/>
          <w:szCs w:val="24"/>
        </w:rPr>
        <w:t xml:space="preserve">Price earnings ratios, particularly for the largest technology stocks are historically high.  </w:t>
      </w:r>
      <w:r w:rsidR="00A13790">
        <w:rPr>
          <w:rFonts w:ascii="Garamond" w:eastAsia="Garamond" w:hAnsi="Garamond" w:cs="Garamond"/>
          <w:sz w:val="24"/>
          <w:szCs w:val="24"/>
        </w:rPr>
        <w:t>Keep with your target asset (stock/bond) allocation strategy</w:t>
      </w:r>
      <w:r w:rsidR="0090338A">
        <w:rPr>
          <w:rFonts w:ascii="Garamond" w:eastAsia="Garamond" w:hAnsi="Garamond" w:cs="Garamond"/>
          <w:sz w:val="24"/>
          <w:szCs w:val="24"/>
        </w:rPr>
        <w:t xml:space="preserve"> with periodic rebalancing. </w:t>
      </w:r>
      <w:r w:rsidR="00A13790">
        <w:rPr>
          <w:rFonts w:ascii="Garamond" w:eastAsia="Garamond" w:hAnsi="Garamond" w:cs="Garamond"/>
          <w:sz w:val="24"/>
          <w:szCs w:val="24"/>
        </w:rPr>
        <w:t xml:space="preserve"> However, if you are anxious about </w:t>
      </w:r>
      <w:r w:rsidR="00BF5E08">
        <w:rPr>
          <w:rFonts w:ascii="Garamond" w:eastAsia="Garamond" w:hAnsi="Garamond" w:cs="Garamond"/>
          <w:sz w:val="24"/>
          <w:szCs w:val="24"/>
        </w:rPr>
        <w:t>t</w:t>
      </w:r>
      <w:bookmarkStart w:id="0" w:name="_GoBack"/>
      <w:bookmarkEnd w:id="0"/>
      <w:r w:rsidR="00A13790">
        <w:rPr>
          <w:rFonts w:ascii="Garamond" w:eastAsia="Garamond" w:hAnsi="Garamond" w:cs="Garamond"/>
          <w:sz w:val="24"/>
          <w:szCs w:val="24"/>
        </w:rPr>
        <w:t xml:space="preserve">he recent upward moves and want to capture gains now, a higher allocation to short term bonds is advised.  </w:t>
      </w:r>
      <w:r w:rsidR="0090338A">
        <w:rPr>
          <w:rFonts w:ascii="Garamond" w:eastAsia="Garamond" w:hAnsi="Garamond" w:cs="Garamond"/>
          <w:sz w:val="24"/>
          <w:szCs w:val="24"/>
        </w:rPr>
        <w:t>We continue</w:t>
      </w:r>
      <w:r w:rsidR="00A13790">
        <w:rPr>
          <w:rFonts w:ascii="Garamond" w:eastAsia="Garamond" w:hAnsi="Garamond" w:cs="Garamond"/>
          <w:sz w:val="24"/>
          <w:szCs w:val="24"/>
        </w:rPr>
        <w:t xml:space="preserve"> to track portfolio holdings and economic data on an on-going basis.</w:t>
      </w:r>
    </w:p>
    <w:p w14:paraId="44C3C394" w14:textId="77777777" w:rsidR="009D638B" w:rsidRPr="009D638B" w:rsidRDefault="001B21E4" w:rsidP="009D638B">
      <w:pPr>
        <w:spacing w:after="0" w:line="240" w:lineRule="auto"/>
        <w:jc w:val="right"/>
        <w:rPr>
          <w:b/>
        </w:rPr>
      </w:pPr>
      <w:r w:rsidRPr="009D638B">
        <w:rPr>
          <w:rFonts w:ascii="Garamond" w:eastAsia="Garamond" w:hAnsi="Garamond" w:cs="Garamond"/>
          <w:b/>
        </w:rPr>
        <w:t>MSM FINANCIAL STRATEGIES</w:t>
      </w:r>
    </w:p>
    <w:p w14:paraId="4F0E5BA9" w14:textId="339D46EB" w:rsidR="0090706C" w:rsidRPr="0090706C" w:rsidRDefault="009D638B" w:rsidP="0090706C">
      <w:pPr>
        <w:spacing w:after="0" w:line="240" w:lineRule="auto"/>
        <w:ind w:left="2880" w:firstLine="720"/>
        <w:jc w:val="center"/>
        <w:rPr>
          <w:rFonts w:ascii="Garamond" w:eastAsia="Garamond" w:hAnsi="Garamond" w:cs="Garamond"/>
          <w:b/>
        </w:rPr>
      </w:pPr>
      <w:r>
        <w:rPr>
          <w:rFonts w:ascii="Garamond" w:eastAsia="Garamond" w:hAnsi="Garamond" w:cs="Garamond"/>
          <w:b/>
        </w:rPr>
        <w:t xml:space="preserve"> </w:t>
      </w:r>
      <w:r w:rsidR="003915C5" w:rsidRPr="009D638B">
        <w:rPr>
          <w:rFonts w:ascii="Garamond" w:eastAsia="Garamond" w:hAnsi="Garamond" w:cs="Garamond"/>
          <w:b/>
        </w:rPr>
        <w:t xml:space="preserve"> </w:t>
      </w:r>
      <w:r w:rsidR="005B7B08" w:rsidRPr="009D638B">
        <w:rPr>
          <w:rFonts w:ascii="Garamond" w:eastAsia="Garamond" w:hAnsi="Garamond" w:cs="Garamond"/>
          <w:b/>
        </w:rPr>
        <w:t>1/</w:t>
      </w:r>
      <w:r w:rsidR="0029501D">
        <w:rPr>
          <w:rFonts w:ascii="Garamond" w:eastAsia="Garamond" w:hAnsi="Garamond" w:cs="Garamond"/>
          <w:b/>
        </w:rPr>
        <w:t>12</w:t>
      </w:r>
      <w:r w:rsidR="003915C5" w:rsidRPr="009D638B">
        <w:rPr>
          <w:rFonts w:ascii="Garamond" w:eastAsia="Garamond" w:hAnsi="Garamond" w:cs="Garamond"/>
          <w:b/>
        </w:rPr>
        <w:t>/201</w:t>
      </w:r>
      <w:r w:rsidR="00307775">
        <w:rPr>
          <w:rFonts w:ascii="Garamond" w:eastAsia="Garamond" w:hAnsi="Garamond" w:cs="Garamond"/>
          <w:b/>
        </w:rPr>
        <w:t>8</w:t>
      </w:r>
    </w:p>
    <w:p w14:paraId="182E202B" w14:textId="733C9B55" w:rsidR="0052480B" w:rsidRDefault="003915C5">
      <w:pPr>
        <w:spacing w:line="240" w:lineRule="auto"/>
        <w:jc w:val="both"/>
      </w:pPr>
      <w:r>
        <w:rPr>
          <w:rFonts w:ascii="Garamond" w:eastAsia="Garamond" w:hAnsi="Garamond" w:cs="Garamond"/>
          <w:sz w:val="16"/>
          <w:szCs w:val="16"/>
        </w:rPr>
        <w:t>@Copyright 201</w:t>
      </w:r>
      <w:r w:rsidR="00307775">
        <w:rPr>
          <w:rFonts w:ascii="Garamond" w:eastAsia="Garamond" w:hAnsi="Garamond" w:cs="Garamond"/>
          <w:sz w:val="16"/>
          <w:szCs w:val="16"/>
        </w:rPr>
        <w:t>8</w:t>
      </w:r>
      <w:r w:rsidR="001B21E4">
        <w:rPr>
          <w:rFonts w:ascii="Garamond" w:eastAsia="Garamond" w:hAnsi="Garamond" w:cs="Garamond"/>
          <w:sz w:val="16"/>
          <w:szCs w:val="16"/>
        </w:rPr>
        <w:t xml:space="preserve"> MSM Financial Strategies</w:t>
      </w:r>
    </w:p>
    <w:sectPr w:rsidR="0052480B" w:rsidSect="00207C56">
      <w:foot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F259" w14:textId="77777777" w:rsidR="008A2A8A" w:rsidRDefault="008A2A8A">
      <w:pPr>
        <w:spacing w:after="0" w:line="240" w:lineRule="auto"/>
      </w:pPr>
      <w:r>
        <w:separator/>
      </w:r>
    </w:p>
  </w:endnote>
  <w:endnote w:type="continuationSeparator" w:id="0">
    <w:p w14:paraId="177E7424" w14:textId="77777777" w:rsidR="008A2A8A" w:rsidRDefault="008A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E30E" w14:textId="77777777" w:rsidR="0052480B" w:rsidRDefault="005248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A0CE" w14:textId="77777777" w:rsidR="008A2A8A" w:rsidRDefault="008A2A8A">
      <w:pPr>
        <w:spacing w:after="0" w:line="240" w:lineRule="auto"/>
      </w:pPr>
      <w:r>
        <w:separator/>
      </w:r>
    </w:p>
  </w:footnote>
  <w:footnote w:type="continuationSeparator" w:id="0">
    <w:p w14:paraId="282EBD31" w14:textId="77777777" w:rsidR="008A2A8A" w:rsidRDefault="008A2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0B"/>
    <w:rsid w:val="000048A3"/>
    <w:rsid w:val="00031490"/>
    <w:rsid w:val="00056AC9"/>
    <w:rsid w:val="000A0E2F"/>
    <w:rsid w:val="000A60AA"/>
    <w:rsid w:val="000D6EA0"/>
    <w:rsid w:val="000E3A53"/>
    <w:rsid w:val="001078CD"/>
    <w:rsid w:val="00124D05"/>
    <w:rsid w:val="00125ED4"/>
    <w:rsid w:val="00163097"/>
    <w:rsid w:val="00184231"/>
    <w:rsid w:val="001A7647"/>
    <w:rsid w:val="001B21E4"/>
    <w:rsid w:val="00204950"/>
    <w:rsid w:val="00205F8B"/>
    <w:rsid w:val="00207C56"/>
    <w:rsid w:val="00213E7E"/>
    <w:rsid w:val="002147B4"/>
    <w:rsid w:val="00223190"/>
    <w:rsid w:val="0028603C"/>
    <w:rsid w:val="0029501D"/>
    <w:rsid w:val="00305FAC"/>
    <w:rsid w:val="003073E9"/>
    <w:rsid w:val="00307775"/>
    <w:rsid w:val="00335EFA"/>
    <w:rsid w:val="00360E9A"/>
    <w:rsid w:val="00365C8C"/>
    <w:rsid w:val="003915C5"/>
    <w:rsid w:val="00394833"/>
    <w:rsid w:val="00396214"/>
    <w:rsid w:val="003C4434"/>
    <w:rsid w:val="00411DBA"/>
    <w:rsid w:val="00426D93"/>
    <w:rsid w:val="004C3C5D"/>
    <w:rsid w:val="004E5C89"/>
    <w:rsid w:val="005012EB"/>
    <w:rsid w:val="0052480B"/>
    <w:rsid w:val="00526E83"/>
    <w:rsid w:val="005528E7"/>
    <w:rsid w:val="00584234"/>
    <w:rsid w:val="00587813"/>
    <w:rsid w:val="005A233D"/>
    <w:rsid w:val="005A6A4E"/>
    <w:rsid w:val="005B7B08"/>
    <w:rsid w:val="005E4D4E"/>
    <w:rsid w:val="005F3A37"/>
    <w:rsid w:val="006456FC"/>
    <w:rsid w:val="006678DB"/>
    <w:rsid w:val="006818A5"/>
    <w:rsid w:val="00684450"/>
    <w:rsid w:val="006855D1"/>
    <w:rsid w:val="006916E2"/>
    <w:rsid w:val="006930B9"/>
    <w:rsid w:val="0069314F"/>
    <w:rsid w:val="006A3621"/>
    <w:rsid w:val="006E0932"/>
    <w:rsid w:val="006F40FD"/>
    <w:rsid w:val="00705CA2"/>
    <w:rsid w:val="00726E57"/>
    <w:rsid w:val="00733781"/>
    <w:rsid w:val="007509A5"/>
    <w:rsid w:val="0078160C"/>
    <w:rsid w:val="00783F4D"/>
    <w:rsid w:val="00790230"/>
    <w:rsid w:val="007C7717"/>
    <w:rsid w:val="007D30E1"/>
    <w:rsid w:val="007F1FE4"/>
    <w:rsid w:val="007F296E"/>
    <w:rsid w:val="007F4EA4"/>
    <w:rsid w:val="008041B1"/>
    <w:rsid w:val="00834257"/>
    <w:rsid w:val="008757E1"/>
    <w:rsid w:val="008807F4"/>
    <w:rsid w:val="00895EC7"/>
    <w:rsid w:val="008A2A8A"/>
    <w:rsid w:val="008A3771"/>
    <w:rsid w:val="0090338A"/>
    <w:rsid w:val="0090706C"/>
    <w:rsid w:val="0094767E"/>
    <w:rsid w:val="009A7687"/>
    <w:rsid w:val="009D638B"/>
    <w:rsid w:val="009E4C3E"/>
    <w:rsid w:val="009F09B9"/>
    <w:rsid w:val="00A13790"/>
    <w:rsid w:val="00A3046C"/>
    <w:rsid w:val="00A5543B"/>
    <w:rsid w:val="00AA3C5B"/>
    <w:rsid w:val="00AF2BA1"/>
    <w:rsid w:val="00B10912"/>
    <w:rsid w:val="00B47B0C"/>
    <w:rsid w:val="00B83202"/>
    <w:rsid w:val="00B95174"/>
    <w:rsid w:val="00BA73FE"/>
    <w:rsid w:val="00BB7992"/>
    <w:rsid w:val="00BD6C21"/>
    <w:rsid w:val="00BD6E20"/>
    <w:rsid w:val="00BE5779"/>
    <w:rsid w:val="00BF5544"/>
    <w:rsid w:val="00BF5E08"/>
    <w:rsid w:val="00C01476"/>
    <w:rsid w:val="00C05872"/>
    <w:rsid w:val="00C230DE"/>
    <w:rsid w:val="00C4507A"/>
    <w:rsid w:val="00C713B9"/>
    <w:rsid w:val="00C90BC0"/>
    <w:rsid w:val="00CB494D"/>
    <w:rsid w:val="00CE1DD1"/>
    <w:rsid w:val="00CF5877"/>
    <w:rsid w:val="00D1280D"/>
    <w:rsid w:val="00D90B3B"/>
    <w:rsid w:val="00DA096B"/>
    <w:rsid w:val="00DA586D"/>
    <w:rsid w:val="00DB6DA2"/>
    <w:rsid w:val="00DE1C19"/>
    <w:rsid w:val="00DF38EC"/>
    <w:rsid w:val="00E113CD"/>
    <w:rsid w:val="00E11B93"/>
    <w:rsid w:val="00E545CB"/>
    <w:rsid w:val="00E568BE"/>
    <w:rsid w:val="00E6169B"/>
    <w:rsid w:val="00E7406E"/>
    <w:rsid w:val="00E76DAF"/>
    <w:rsid w:val="00E80E2D"/>
    <w:rsid w:val="00E959BC"/>
    <w:rsid w:val="00EB5D88"/>
    <w:rsid w:val="00EF2943"/>
    <w:rsid w:val="00F172F1"/>
    <w:rsid w:val="00F56058"/>
    <w:rsid w:val="00F85FE7"/>
    <w:rsid w:val="00F96B33"/>
    <w:rsid w:val="00F97DF8"/>
    <w:rsid w:val="00FA7011"/>
    <w:rsid w:val="00FD1AE7"/>
    <w:rsid w:val="00FD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2906"/>
  <w15:docId w15:val="{7C4A3AA0-7295-4AE0-BC42-DA8BB811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E20"/>
  </w:style>
  <w:style w:type="paragraph" w:styleId="Heading1">
    <w:name w:val="heading 1"/>
    <w:basedOn w:val="Normal"/>
    <w:next w:val="Normal"/>
    <w:rsid w:val="00BD6E20"/>
    <w:pPr>
      <w:keepNext/>
      <w:keepLines/>
      <w:spacing w:before="480" w:after="120"/>
      <w:contextualSpacing/>
      <w:outlineLvl w:val="0"/>
    </w:pPr>
    <w:rPr>
      <w:b/>
      <w:sz w:val="48"/>
      <w:szCs w:val="48"/>
    </w:rPr>
  </w:style>
  <w:style w:type="paragraph" w:styleId="Heading2">
    <w:name w:val="heading 2"/>
    <w:basedOn w:val="Normal"/>
    <w:next w:val="Normal"/>
    <w:rsid w:val="00BD6E20"/>
    <w:pPr>
      <w:keepNext/>
      <w:keepLines/>
      <w:widowControl w:val="0"/>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rsid w:val="00BD6E20"/>
    <w:pPr>
      <w:keepNext/>
      <w:keepLines/>
      <w:spacing w:before="280" w:after="80"/>
      <w:contextualSpacing/>
      <w:outlineLvl w:val="2"/>
    </w:pPr>
    <w:rPr>
      <w:b/>
      <w:sz w:val="28"/>
      <w:szCs w:val="28"/>
    </w:rPr>
  </w:style>
  <w:style w:type="paragraph" w:styleId="Heading4">
    <w:name w:val="heading 4"/>
    <w:basedOn w:val="Normal"/>
    <w:next w:val="Normal"/>
    <w:rsid w:val="00BD6E20"/>
    <w:pPr>
      <w:keepNext/>
      <w:keepLines/>
      <w:spacing w:before="240" w:after="40"/>
      <w:contextualSpacing/>
      <w:outlineLvl w:val="3"/>
    </w:pPr>
    <w:rPr>
      <w:b/>
      <w:sz w:val="24"/>
      <w:szCs w:val="24"/>
    </w:rPr>
  </w:style>
  <w:style w:type="paragraph" w:styleId="Heading5">
    <w:name w:val="heading 5"/>
    <w:basedOn w:val="Normal"/>
    <w:next w:val="Normal"/>
    <w:rsid w:val="00BD6E20"/>
    <w:pPr>
      <w:keepNext/>
      <w:keepLines/>
      <w:spacing w:before="220" w:after="40"/>
      <w:contextualSpacing/>
      <w:outlineLvl w:val="4"/>
    </w:pPr>
    <w:rPr>
      <w:b/>
    </w:rPr>
  </w:style>
  <w:style w:type="paragraph" w:styleId="Heading6">
    <w:name w:val="heading 6"/>
    <w:basedOn w:val="Normal"/>
    <w:next w:val="Normal"/>
    <w:rsid w:val="00BD6E20"/>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D6E20"/>
    <w:pPr>
      <w:keepNext/>
      <w:keepLines/>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rsid w:val="00BD6E2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0">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1">
    <w:basedOn w:val="TableNormal"/>
    <w:rsid w:val="00BD6E2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4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0511-EF92-4C6C-9553-BB16B53A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Scott</dc:creator>
  <cp:lastModifiedBy>Trish Scott</cp:lastModifiedBy>
  <cp:revision>5</cp:revision>
  <cp:lastPrinted>2018-01-12T21:19:00Z</cp:lastPrinted>
  <dcterms:created xsi:type="dcterms:W3CDTF">2018-01-16T00:35:00Z</dcterms:created>
  <dcterms:modified xsi:type="dcterms:W3CDTF">2018-01-22T15:41:00Z</dcterms:modified>
</cp:coreProperties>
</file>