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67A6" w:rsidRDefault="009B067D">
      <w:pPr>
        <w:widowControl w:val="0"/>
        <w:spacing w:after="100"/>
      </w:pPr>
      <w:r>
        <w:rPr>
          <w:noProof/>
        </w:rPr>
        <w:drawing>
          <wp:anchor distT="114300" distB="114300" distL="114300" distR="114300" simplePos="0" relativeHeight="251658240" behindDoc="0" locked="0" layoutInCell="0" hidden="0" allowOverlap="0">
            <wp:simplePos x="0" y="0"/>
            <wp:positionH relativeFrom="margin">
              <wp:posOffset>-190499</wp:posOffset>
            </wp:positionH>
            <wp:positionV relativeFrom="paragraph">
              <wp:posOffset>0</wp:posOffset>
            </wp:positionV>
            <wp:extent cx="1365250" cy="1023938"/>
            <wp:effectExtent l="0" t="0" r="0" b="0"/>
            <wp:wrapSquare wrapText="bothSides" distT="114300" distB="114300" distL="114300" distR="114300"/>
            <wp:docPr id="3" name="image03.jpg" descr="Entrance Sign.jpg"/>
            <wp:cNvGraphicFramePr/>
            <a:graphic xmlns:a="http://schemas.openxmlformats.org/drawingml/2006/main">
              <a:graphicData uri="http://schemas.openxmlformats.org/drawingml/2006/picture">
                <pic:pic xmlns:pic="http://schemas.openxmlformats.org/drawingml/2006/picture">
                  <pic:nvPicPr>
                    <pic:cNvPr id="0" name="image03.jpg" descr="Entrance Sign.jpg"/>
                    <pic:cNvPicPr preferRelativeResize="0"/>
                  </pic:nvPicPr>
                  <pic:blipFill>
                    <a:blip r:embed="rId5"/>
                    <a:srcRect/>
                    <a:stretch>
                      <a:fillRect/>
                    </a:stretch>
                  </pic:blipFill>
                  <pic:spPr>
                    <a:xfrm>
                      <a:off x="0" y="0"/>
                      <a:ext cx="1365250" cy="1023938"/>
                    </a:xfrm>
                    <a:prstGeom prst="rect">
                      <a:avLst/>
                    </a:prstGeom>
                    <a:ln/>
                  </pic:spPr>
                </pic:pic>
              </a:graphicData>
            </a:graphic>
          </wp:anchor>
        </w:drawing>
      </w:r>
    </w:p>
    <w:p w:rsidR="005E67A6" w:rsidRDefault="009B067D">
      <w:pPr>
        <w:widowControl w:val="0"/>
        <w:spacing w:after="100"/>
      </w:pPr>
      <w:r>
        <w:rPr>
          <w:rFonts w:ascii="Times New Roman" w:eastAsia="Times New Roman" w:hAnsi="Times New Roman" w:cs="Times New Roman"/>
          <w:b/>
          <w:sz w:val="36"/>
          <w:szCs w:val="36"/>
        </w:rPr>
        <w:t>Woodland Pointe Homeowners Association</w:t>
      </w:r>
    </w:p>
    <w:p w:rsidR="005E67A6" w:rsidRDefault="009B067D">
      <w:pPr>
        <w:widowControl w:val="0"/>
        <w:spacing w:after="100"/>
        <w:jc w:val="center"/>
      </w:pPr>
      <w:r>
        <w:rPr>
          <w:rFonts w:ascii="Times New Roman" w:eastAsia="Times New Roman" w:hAnsi="Times New Roman" w:cs="Times New Roman"/>
          <w:b/>
          <w:i/>
          <w:sz w:val="36"/>
          <w:szCs w:val="36"/>
        </w:rPr>
        <w:t>Collection Policy</w:t>
      </w:r>
    </w:p>
    <w:p w:rsidR="005E67A6" w:rsidRDefault="005E67A6">
      <w:pPr>
        <w:widowControl w:val="0"/>
        <w:spacing w:after="100"/>
      </w:pPr>
    </w:p>
    <w:p w:rsidR="005E67A6" w:rsidRDefault="009B067D">
      <w:pPr>
        <w:widowControl w:val="0"/>
        <w:spacing w:after="100"/>
      </w:pPr>
      <w:r>
        <w:rPr>
          <w:rFonts w:ascii="Times New Roman" w:eastAsia="Times New Roman" w:hAnsi="Times New Roman" w:cs="Times New Roman"/>
          <w:sz w:val="24"/>
          <w:szCs w:val="24"/>
        </w:rPr>
        <w:t xml:space="preserve">1. All assessments, including maintenance fees, are due on the first (1st) day of the month and are considered late if not received by the </w:t>
      </w:r>
      <w:r>
        <w:rPr>
          <w:rFonts w:ascii="Times New Roman" w:eastAsia="Times New Roman" w:hAnsi="Times New Roman" w:cs="Times New Roman"/>
          <w:b/>
          <w:sz w:val="24"/>
          <w:szCs w:val="24"/>
        </w:rPr>
        <w:t>15th</w:t>
      </w:r>
      <w:r>
        <w:rPr>
          <w:rFonts w:ascii="Times New Roman" w:eastAsia="Times New Roman" w:hAnsi="Times New Roman" w:cs="Times New Roman"/>
          <w:sz w:val="24"/>
          <w:szCs w:val="24"/>
        </w:rPr>
        <w:t xml:space="preserve"> of the month.</w:t>
      </w:r>
    </w:p>
    <w:p w:rsidR="005E67A6" w:rsidRDefault="009B067D">
      <w:pPr>
        <w:widowControl w:val="0"/>
        <w:spacing w:after="100"/>
        <w:jc w:val="both"/>
      </w:pPr>
      <w:r>
        <w:rPr>
          <w:rFonts w:ascii="Times New Roman" w:eastAsia="Times New Roman" w:hAnsi="Times New Roman" w:cs="Times New Roman"/>
          <w:sz w:val="24"/>
          <w:szCs w:val="24"/>
        </w:rPr>
        <w:t xml:space="preserve">2. An administrative late charge of </w:t>
      </w:r>
      <w:r>
        <w:rPr>
          <w:rFonts w:ascii="Times New Roman" w:eastAsia="Times New Roman" w:hAnsi="Times New Roman" w:cs="Times New Roman"/>
          <w:b/>
          <w:sz w:val="24"/>
          <w:szCs w:val="24"/>
        </w:rPr>
        <w:t>$13.00</w:t>
      </w:r>
      <w:r>
        <w:rPr>
          <w:rFonts w:ascii="Times New Roman" w:eastAsia="Times New Roman" w:hAnsi="Times New Roman" w:cs="Times New Roman"/>
          <w:sz w:val="24"/>
          <w:szCs w:val="24"/>
        </w:rPr>
        <w:t xml:space="preserve"> per month shall be incurred for any late payment and on any unpaid balance of the assessment. </w:t>
      </w:r>
      <w:proofErr w:type="gramStart"/>
      <w:r>
        <w:rPr>
          <w:rFonts w:ascii="Times New Roman" w:eastAsia="Times New Roman" w:hAnsi="Times New Roman" w:cs="Times New Roman"/>
          <w:sz w:val="24"/>
          <w:szCs w:val="24"/>
        </w:rPr>
        <w:t>(Subject to increase upon further notice.)</w:t>
      </w:r>
      <w:proofErr w:type="gramEnd"/>
    </w:p>
    <w:p w:rsidR="005E67A6" w:rsidRDefault="009B067D">
      <w:pPr>
        <w:widowControl w:val="0"/>
        <w:spacing w:after="100"/>
      </w:pPr>
      <w:r>
        <w:rPr>
          <w:rFonts w:ascii="Times New Roman" w:eastAsia="Times New Roman" w:hAnsi="Times New Roman" w:cs="Times New Roman"/>
          <w:sz w:val="24"/>
          <w:szCs w:val="24"/>
        </w:rPr>
        <w:t>3. Any payments made shall be applied in the following order:</w:t>
      </w:r>
    </w:p>
    <w:p w:rsidR="005E67A6" w:rsidRDefault="009B067D">
      <w:pPr>
        <w:widowControl w:val="0"/>
        <w:spacing w:after="100"/>
        <w:ind w:firstLine="720"/>
      </w:pPr>
      <w:r>
        <w:rPr>
          <w:rFonts w:ascii="Times New Roman" w:eastAsia="Times New Roman" w:hAnsi="Times New Roman" w:cs="Times New Roman"/>
          <w:sz w:val="24"/>
          <w:szCs w:val="24"/>
        </w:rPr>
        <w:t xml:space="preserve">1. Interest and/or administrative late fees owed to the Association </w:t>
      </w:r>
    </w:p>
    <w:p w:rsidR="005E67A6" w:rsidRDefault="009B067D">
      <w:pPr>
        <w:widowControl w:val="0"/>
        <w:spacing w:after="100"/>
        <w:ind w:firstLine="720"/>
      </w:pPr>
      <w:r>
        <w:rPr>
          <w:rFonts w:ascii="Times New Roman" w:eastAsia="Times New Roman" w:hAnsi="Times New Roman" w:cs="Times New Roman"/>
          <w:sz w:val="24"/>
          <w:szCs w:val="24"/>
        </w:rPr>
        <w:t xml:space="preserve">2. Collection costs, attorney’s fees incurred by the Association </w:t>
      </w:r>
    </w:p>
    <w:p w:rsidR="005E67A6" w:rsidRDefault="009B067D">
      <w:pPr>
        <w:widowControl w:val="0"/>
        <w:spacing w:after="100"/>
        <w:ind w:firstLine="720"/>
      </w:pPr>
      <w:r>
        <w:rPr>
          <w:rFonts w:ascii="Times New Roman" w:eastAsia="Times New Roman" w:hAnsi="Times New Roman" w:cs="Times New Roman"/>
          <w:sz w:val="24"/>
          <w:szCs w:val="24"/>
        </w:rPr>
        <w:t>3. Principal amounts owed on the account for common expenses and assessments.</w:t>
      </w:r>
    </w:p>
    <w:p w:rsidR="005E67A6" w:rsidRDefault="009B067D">
      <w:pPr>
        <w:widowControl w:val="0"/>
        <w:spacing w:after="100"/>
        <w:jc w:val="both"/>
      </w:pPr>
      <w:r>
        <w:rPr>
          <w:rFonts w:ascii="Times New Roman" w:eastAsia="Times New Roman" w:hAnsi="Times New Roman" w:cs="Times New Roman"/>
          <w:sz w:val="24"/>
          <w:szCs w:val="24"/>
        </w:rPr>
        <w:t xml:space="preserve">4. Any past due assessments may cause a lien, a suit for money judgment, and/or foreclosure to be filed against the Unit/Lot. Once judgment is obtained, the Association may proceed to post-judgment actions such as </w:t>
      </w:r>
      <w:r w:rsidR="00A202E4">
        <w:rPr>
          <w:rFonts w:ascii="Times New Roman" w:eastAsia="Times New Roman" w:hAnsi="Times New Roman" w:cs="Times New Roman"/>
          <w:sz w:val="24"/>
          <w:szCs w:val="24"/>
        </w:rPr>
        <w:t xml:space="preserve">foreclosure, </w:t>
      </w:r>
      <w:r>
        <w:rPr>
          <w:rFonts w:ascii="Times New Roman" w:eastAsia="Times New Roman" w:hAnsi="Times New Roman" w:cs="Times New Roman"/>
          <w:sz w:val="24"/>
          <w:szCs w:val="24"/>
        </w:rPr>
        <w:t>bank attachment and/or wage garnishment.</w:t>
      </w:r>
    </w:p>
    <w:p w:rsidR="005E67A6" w:rsidRDefault="009B067D">
      <w:pPr>
        <w:widowControl w:val="0"/>
        <w:spacing w:after="100"/>
        <w:jc w:val="both"/>
      </w:pPr>
      <w:r>
        <w:rPr>
          <w:rFonts w:ascii="Times New Roman" w:eastAsia="Times New Roman" w:hAnsi="Times New Roman" w:cs="Times New Roman"/>
          <w:sz w:val="24"/>
          <w:szCs w:val="24"/>
        </w:rPr>
        <w:t>5. Any costs, including attorneys' fees, recording costs, title reports and/or court costs, incurred by the Association in the collection of delinquent assessments shall be added to the amount owed by the delinquent Owner.</w:t>
      </w:r>
    </w:p>
    <w:p w:rsidR="005E67A6" w:rsidRDefault="009B067D">
      <w:pPr>
        <w:widowControl w:val="0"/>
        <w:spacing w:after="100"/>
        <w:jc w:val="both"/>
      </w:pPr>
      <w:r>
        <w:rPr>
          <w:rFonts w:ascii="Times New Roman" w:eastAsia="Times New Roman" w:hAnsi="Times New Roman" w:cs="Times New Roman"/>
          <w:sz w:val="24"/>
          <w:szCs w:val="24"/>
        </w:rPr>
        <w:t xml:space="preserve">6. If any Owner (either by his or her conduct or by the conduct of any occupant) fails to perform any act that he/she is requested to perform by the Declaration, the Bylaws or the Rules and Regulations, the Association may, but shall not be obligated to, undertake such performance or cure such violation and shall charge and collect from said Owner the entire cost and expense, including reasonable attorney fees, of such performing or cure incurred by the Association. Any such amount shall be deemed to be an additional assessment and shall be due and payable immediately following notification of such </w:t>
      </w:r>
      <w:proofErr w:type="gramStart"/>
      <w:r>
        <w:rPr>
          <w:rFonts w:ascii="Times New Roman" w:eastAsia="Times New Roman" w:hAnsi="Times New Roman" w:cs="Times New Roman"/>
          <w:sz w:val="24"/>
          <w:szCs w:val="24"/>
        </w:rPr>
        <w:t>charge,</w:t>
      </w:r>
      <w:proofErr w:type="gramEnd"/>
      <w:r>
        <w:rPr>
          <w:rFonts w:ascii="Times New Roman" w:eastAsia="Times New Roman" w:hAnsi="Times New Roman" w:cs="Times New Roman"/>
          <w:sz w:val="24"/>
          <w:szCs w:val="24"/>
        </w:rPr>
        <w:t xml:space="preserve"> and the Association may obtain a lien for said amount in the same manner and to the same extent as if it were a lien for common expenses.</w:t>
      </w:r>
    </w:p>
    <w:p w:rsidR="005E67A6" w:rsidRDefault="009B067D" w:rsidP="00A202E4">
      <w:pPr>
        <w:widowControl w:val="0"/>
        <w:spacing w:after="100"/>
        <w:jc w:val="both"/>
      </w:pPr>
      <w:r>
        <w:rPr>
          <w:rFonts w:ascii="Times New Roman" w:eastAsia="Times New Roman" w:hAnsi="Times New Roman" w:cs="Times New Roman"/>
          <w:sz w:val="24"/>
          <w:szCs w:val="24"/>
        </w:rPr>
        <w:t>7. If any Owner is delinquent in the payment of any fees for more than thirty (30) days, the Board may suspend the privileges of the Owner to vote and/or use any of the amenities.</w:t>
      </w:r>
      <w:bookmarkStart w:id="0" w:name="_GoBack"/>
      <w:bookmarkEnd w:id="0"/>
    </w:p>
    <w:sectPr w:rsidR="005E67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docVars>
    <w:docVar w:name="dgnword-docGUID" w:val="{4CA72A3D-8BFD-43D5-B361-DB9DA22D46FF}"/>
    <w:docVar w:name="dgnword-eventsink" w:val="171835032"/>
  </w:docVars>
  <w:rsids>
    <w:rsidRoot w:val="005E67A6"/>
    <w:rsid w:val="005E67A6"/>
    <w:rsid w:val="009B067D"/>
    <w:rsid w:val="00A2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2016-06-14T20:22:00Z</cp:lastPrinted>
  <dcterms:created xsi:type="dcterms:W3CDTF">2016-06-14T20:25:00Z</dcterms:created>
  <dcterms:modified xsi:type="dcterms:W3CDTF">2016-06-14T20:25:00Z</dcterms:modified>
</cp:coreProperties>
</file>