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0A567" w14:textId="65EC4B71" w:rsidR="00B46B11" w:rsidRPr="00522023" w:rsidRDefault="00481D7B" w:rsidP="00522023">
      <w:pPr>
        <w:suppressLineNumbers/>
        <w:jc w:val="center"/>
        <w:rPr>
          <w:rFonts w:ascii="Book Antiqua" w:hAnsi="Book Antiqua"/>
          <w:sz w:val="28"/>
          <w:szCs w:val="32"/>
        </w:rPr>
      </w:pPr>
      <w:bookmarkStart w:id="0" w:name="_GoBack"/>
      <w:bookmarkEnd w:id="0"/>
      <w:r w:rsidRPr="00522023">
        <w:rPr>
          <w:rFonts w:ascii="Book Antiqua" w:hAnsi="Book Antiqua"/>
          <w:sz w:val="28"/>
          <w:szCs w:val="32"/>
        </w:rPr>
        <w:t>ESTADO LIBRE ASOCIADO DE PUERTO RICO</w:t>
      </w:r>
    </w:p>
    <w:p w14:paraId="19C64187" w14:textId="77777777" w:rsidR="00B46B11" w:rsidRPr="00522023" w:rsidRDefault="00B46B11" w:rsidP="00522023">
      <w:pPr>
        <w:suppressLineNumbers/>
        <w:jc w:val="center"/>
        <w:rPr>
          <w:rFonts w:ascii="Book Antiqua" w:hAnsi="Book Antiqua"/>
          <w:szCs w:val="16"/>
        </w:rPr>
      </w:pPr>
    </w:p>
    <w:p w14:paraId="65CC9B1A" w14:textId="0120A594" w:rsidR="00B46B11" w:rsidRPr="00B46B11" w:rsidRDefault="00B46B11" w:rsidP="00522023">
      <w:pPr>
        <w:suppressLineNumbers/>
        <w:contextualSpacing/>
        <w:rPr>
          <w:rFonts w:ascii="Book Antiqua" w:hAnsi="Book Antiqua"/>
        </w:rPr>
      </w:pPr>
      <w:r w:rsidRPr="00B46B11">
        <w:rPr>
          <w:rFonts w:ascii="Book Antiqua" w:hAnsi="Book Antiqua"/>
        </w:rPr>
        <w:t>1</w:t>
      </w:r>
      <w:r w:rsidR="00EC12D9">
        <w:rPr>
          <w:rFonts w:ascii="Book Antiqua" w:hAnsi="Book Antiqua"/>
        </w:rPr>
        <w:t>9va</w:t>
      </w:r>
      <w:r w:rsidRPr="00B46B11">
        <w:rPr>
          <w:rFonts w:ascii="Book Antiqua" w:hAnsi="Book Antiqua"/>
          <w:vertAlign w:val="superscript"/>
        </w:rPr>
        <w:t xml:space="preserve">. </w:t>
      </w:r>
      <w:r w:rsidRPr="00B46B11">
        <w:rPr>
          <w:rFonts w:ascii="Book Antiqua" w:hAnsi="Book Antiqua"/>
        </w:rPr>
        <w:t xml:space="preserve">Asamblea </w:t>
      </w:r>
      <w:r w:rsidRPr="00B46B11">
        <w:rPr>
          <w:rFonts w:ascii="Book Antiqua" w:hAnsi="Book Antiqua"/>
        </w:rPr>
        <w:tab/>
      </w:r>
      <w:r w:rsidRPr="00B46B11">
        <w:rPr>
          <w:rFonts w:ascii="Book Antiqua" w:hAnsi="Book Antiqua"/>
        </w:rPr>
        <w:tab/>
      </w:r>
      <w:r w:rsidRPr="00B46B11">
        <w:rPr>
          <w:rFonts w:ascii="Book Antiqua" w:hAnsi="Book Antiqua"/>
        </w:rPr>
        <w:tab/>
      </w:r>
      <w:r w:rsidRPr="00B46B11">
        <w:rPr>
          <w:rFonts w:ascii="Book Antiqua" w:hAnsi="Book Antiqua"/>
        </w:rPr>
        <w:tab/>
      </w:r>
      <w:r w:rsidRPr="00B46B11">
        <w:rPr>
          <w:rFonts w:ascii="Book Antiqua" w:hAnsi="Book Antiqua"/>
        </w:rPr>
        <w:tab/>
      </w:r>
      <w:r w:rsidRPr="00B46B11">
        <w:rPr>
          <w:rFonts w:ascii="Book Antiqua" w:hAnsi="Book Antiqua"/>
        </w:rPr>
        <w:tab/>
      </w:r>
      <w:r w:rsidRPr="00B46B11">
        <w:rPr>
          <w:rFonts w:ascii="Book Antiqua" w:hAnsi="Book Antiqua"/>
        </w:rPr>
        <w:tab/>
      </w:r>
      <w:r w:rsidRPr="00B46B11">
        <w:rPr>
          <w:rFonts w:ascii="Book Antiqua" w:hAnsi="Book Antiqua"/>
        </w:rPr>
        <w:tab/>
        <w:t xml:space="preserve">             </w:t>
      </w:r>
      <w:r w:rsidR="00EC12D9">
        <w:rPr>
          <w:rFonts w:ascii="Book Antiqua" w:hAnsi="Book Antiqua"/>
        </w:rPr>
        <w:t>1ra</w:t>
      </w:r>
      <w:r w:rsidRPr="00B46B11">
        <w:rPr>
          <w:rFonts w:ascii="Book Antiqua" w:hAnsi="Book Antiqua"/>
          <w:vertAlign w:val="superscript"/>
        </w:rPr>
        <w:t xml:space="preserve">. </w:t>
      </w:r>
      <w:r w:rsidRPr="00B46B11">
        <w:rPr>
          <w:rFonts w:ascii="Book Antiqua" w:hAnsi="Book Antiqua"/>
        </w:rPr>
        <w:t xml:space="preserve">Sesión </w:t>
      </w:r>
    </w:p>
    <w:p w14:paraId="75672416" w14:textId="49D8ECAF" w:rsidR="00B46B11" w:rsidRPr="00B46B11" w:rsidRDefault="00B46B11" w:rsidP="00522023">
      <w:pPr>
        <w:suppressLineNumbers/>
        <w:tabs>
          <w:tab w:val="left" w:pos="630"/>
        </w:tabs>
        <w:contextualSpacing/>
        <w:rPr>
          <w:rFonts w:ascii="Book Antiqua" w:hAnsi="Book Antiqua"/>
        </w:rPr>
      </w:pPr>
      <w:r w:rsidRPr="00B46B11">
        <w:rPr>
          <w:rFonts w:ascii="Book Antiqua" w:hAnsi="Book Antiqua"/>
        </w:rPr>
        <w:tab/>
        <w:t>Legislativa</w:t>
      </w:r>
      <w:r w:rsidRPr="00B46B11">
        <w:rPr>
          <w:rFonts w:ascii="Book Antiqua" w:hAnsi="Book Antiqua"/>
        </w:rPr>
        <w:tab/>
      </w:r>
      <w:r w:rsidRPr="00B46B11">
        <w:rPr>
          <w:rFonts w:ascii="Book Antiqua" w:hAnsi="Book Antiqua"/>
        </w:rPr>
        <w:tab/>
      </w:r>
      <w:r w:rsidRPr="00B46B11">
        <w:rPr>
          <w:rFonts w:ascii="Book Antiqua" w:hAnsi="Book Antiqua"/>
        </w:rPr>
        <w:tab/>
      </w:r>
      <w:r w:rsidRPr="00B46B11">
        <w:rPr>
          <w:rFonts w:ascii="Book Antiqua" w:hAnsi="Book Antiqua"/>
        </w:rPr>
        <w:tab/>
      </w:r>
      <w:r w:rsidRPr="00B46B11">
        <w:rPr>
          <w:rFonts w:ascii="Book Antiqua" w:hAnsi="Book Antiqua"/>
        </w:rPr>
        <w:tab/>
      </w:r>
      <w:r w:rsidRPr="00B46B11">
        <w:rPr>
          <w:rFonts w:ascii="Book Antiqua" w:hAnsi="Book Antiqua"/>
        </w:rPr>
        <w:tab/>
      </w:r>
      <w:r w:rsidRPr="00B46B11">
        <w:rPr>
          <w:rFonts w:ascii="Book Antiqua" w:hAnsi="Book Antiqua"/>
        </w:rPr>
        <w:tab/>
      </w:r>
      <w:r w:rsidRPr="00B46B11">
        <w:rPr>
          <w:rFonts w:ascii="Book Antiqua" w:hAnsi="Book Antiqua"/>
        </w:rPr>
        <w:tab/>
      </w:r>
      <w:r w:rsidRPr="00B46B11">
        <w:rPr>
          <w:rFonts w:ascii="Book Antiqua" w:hAnsi="Book Antiqua"/>
        </w:rPr>
        <w:tab/>
        <w:t xml:space="preserve"> </w:t>
      </w:r>
      <w:r w:rsidR="005B141E">
        <w:rPr>
          <w:rFonts w:ascii="Book Antiqua" w:hAnsi="Book Antiqua"/>
        </w:rPr>
        <w:t xml:space="preserve">     </w:t>
      </w:r>
      <w:r w:rsidRPr="00B46B11">
        <w:rPr>
          <w:rFonts w:ascii="Book Antiqua" w:hAnsi="Book Antiqua"/>
        </w:rPr>
        <w:t>Ordinaria</w:t>
      </w:r>
    </w:p>
    <w:p w14:paraId="10E05290" w14:textId="77777777" w:rsidR="00B46B11" w:rsidRPr="00B46B11" w:rsidRDefault="00B46B11" w:rsidP="00522023">
      <w:pPr>
        <w:suppressLineNumbers/>
        <w:jc w:val="center"/>
        <w:rPr>
          <w:rFonts w:ascii="Book Antiqua" w:hAnsi="Book Antiqua"/>
        </w:rPr>
      </w:pPr>
    </w:p>
    <w:p w14:paraId="08CC0774" w14:textId="10F424CB" w:rsidR="00B46B11" w:rsidRDefault="00481D7B" w:rsidP="00522023">
      <w:pPr>
        <w:suppressLineNumbers/>
        <w:jc w:val="center"/>
        <w:rPr>
          <w:rFonts w:ascii="Book Antiqua" w:hAnsi="Book Antiqua"/>
          <w:b/>
          <w:sz w:val="36"/>
          <w:szCs w:val="36"/>
        </w:rPr>
      </w:pPr>
      <w:r>
        <w:rPr>
          <w:rFonts w:ascii="Book Antiqua" w:hAnsi="Book Antiqua"/>
          <w:b/>
          <w:sz w:val="36"/>
          <w:szCs w:val="36"/>
        </w:rPr>
        <w:t>CÁ</w:t>
      </w:r>
      <w:r w:rsidR="00A765CB">
        <w:rPr>
          <w:rFonts w:ascii="Book Antiqua" w:hAnsi="Book Antiqua"/>
          <w:b/>
          <w:sz w:val="36"/>
          <w:szCs w:val="36"/>
        </w:rPr>
        <w:t>MARA DE REP</w:t>
      </w:r>
      <w:r w:rsidR="00522023">
        <w:rPr>
          <w:rFonts w:ascii="Book Antiqua" w:hAnsi="Book Antiqua"/>
          <w:b/>
          <w:sz w:val="36"/>
          <w:szCs w:val="36"/>
        </w:rPr>
        <w:t>RE</w:t>
      </w:r>
      <w:r w:rsidR="00A765CB">
        <w:rPr>
          <w:rFonts w:ascii="Book Antiqua" w:hAnsi="Book Antiqua"/>
          <w:b/>
          <w:sz w:val="36"/>
          <w:szCs w:val="36"/>
        </w:rPr>
        <w:t>SENTANTES</w:t>
      </w:r>
    </w:p>
    <w:p w14:paraId="0134327A" w14:textId="77777777" w:rsidR="00522023" w:rsidRPr="00522023" w:rsidRDefault="00522023" w:rsidP="00522023">
      <w:pPr>
        <w:suppressLineNumbers/>
        <w:jc w:val="center"/>
        <w:rPr>
          <w:rFonts w:ascii="Book Antiqua" w:hAnsi="Book Antiqua"/>
          <w:b/>
        </w:rPr>
      </w:pPr>
    </w:p>
    <w:p w14:paraId="164695E8" w14:textId="7B974A5B" w:rsidR="00B46B11" w:rsidRDefault="00B46B11" w:rsidP="00522023">
      <w:pPr>
        <w:suppressLineNumbers/>
        <w:jc w:val="center"/>
        <w:rPr>
          <w:rFonts w:ascii="Book Antiqua" w:hAnsi="Book Antiqua"/>
          <w:b/>
          <w:sz w:val="52"/>
          <w:szCs w:val="52"/>
        </w:rPr>
      </w:pPr>
      <w:r w:rsidRPr="00B46B11">
        <w:rPr>
          <w:rFonts w:ascii="Book Antiqua" w:hAnsi="Book Antiqua"/>
          <w:b/>
          <w:sz w:val="52"/>
          <w:szCs w:val="52"/>
        </w:rPr>
        <w:t>P. de</w:t>
      </w:r>
      <w:r w:rsidR="00A765CB">
        <w:rPr>
          <w:rFonts w:ascii="Book Antiqua" w:hAnsi="Book Antiqua"/>
          <w:b/>
          <w:sz w:val="52"/>
          <w:szCs w:val="52"/>
        </w:rPr>
        <w:t xml:space="preserve"> </w:t>
      </w:r>
      <w:r w:rsidRPr="00B46B11">
        <w:rPr>
          <w:rFonts w:ascii="Book Antiqua" w:hAnsi="Book Antiqua"/>
          <w:b/>
          <w:sz w:val="52"/>
          <w:szCs w:val="52"/>
        </w:rPr>
        <w:t>l</w:t>
      </w:r>
      <w:r w:rsidR="00A765CB">
        <w:rPr>
          <w:rFonts w:ascii="Book Antiqua" w:hAnsi="Book Antiqua"/>
          <w:b/>
          <w:sz w:val="52"/>
          <w:szCs w:val="52"/>
        </w:rPr>
        <w:t>a C</w:t>
      </w:r>
      <w:r w:rsidRPr="00B46B11">
        <w:rPr>
          <w:rFonts w:ascii="Book Antiqua" w:hAnsi="Book Antiqua"/>
          <w:b/>
          <w:sz w:val="52"/>
          <w:szCs w:val="52"/>
        </w:rPr>
        <w:t>.</w:t>
      </w:r>
      <w:r w:rsidR="00051533">
        <w:rPr>
          <w:rFonts w:ascii="Book Antiqua" w:hAnsi="Book Antiqua"/>
          <w:b/>
          <w:sz w:val="52"/>
          <w:szCs w:val="52"/>
        </w:rPr>
        <w:t xml:space="preserve"> 683</w:t>
      </w:r>
      <w:r w:rsidRPr="00B46B11">
        <w:rPr>
          <w:rFonts w:ascii="Book Antiqua" w:hAnsi="Book Antiqua"/>
          <w:b/>
          <w:sz w:val="52"/>
          <w:szCs w:val="52"/>
        </w:rPr>
        <w:t xml:space="preserve"> </w:t>
      </w:r>
    </w:p>
    <w:p w14:paraId="4A8124AC" w14:textId="77777777" w:rsidR="00522023" w:rsidRPr="00522023" w:rsidRDefault="00522023" w:rsidP="00522023">
      <w:pPr>
        <w:suppressLineNumbers/>
        <w:jc w:val="center"/>
        <w:rPr>
          <w:rFonts w:ascii="Book Antiqua" w:hAnsi="Book Antiqua"/>
          <w:b/>
        </w:rPr>
      </w:pPr>
    </w:p>
    <w:p w14:paraId="2CF19191" w14:textId="7BC4FAB4" w:rsidR="00B46B11" w:rsidRDefault="00522023" w:rsidP="00522023">
      <w:pPr>
        <w:suppressLineNumbers/>
        <w:jc w:val="center"/>
        <w:rPr>
          <w:rFonts w:ascii="Book Antiqua" w:hAnsi="Book Antiqua"/>
        </w:rPr>
      </w:pPr>
      <w:r>
        <w:rPr>
          <w:rFonts w:ascii="Book Antiqua" w:hAnsi="Book Antiqua"/>
        </w:rPr>
        <w:t>27 DE ABRIL DE 2021</w:t>
      </w:r>
    </w:p>
    <w:p w14:paraId="5768B6B9" w14:textId="77777777" w:rsidR="00522023" w:rsidRPr="00B46B11" w:rsidRDefault="00522023" w:rsidP="00522023">
      <w:pPr>
        <w:suppressLineNumbers/>
        <w:jc w:val="center"/>
        <w:rPr>
          <w:rFonts w:ascii="Book Antiqua" w:hAnsi="Book Antiqua"/>
        </w:rPr>
      </w:pPr>
    </w:p>
    <w:p w14:paraId="099F8389" w14:textId="77777777" w:rsidR="00522023" w:rsidRDefault="00B46B11" w:rsidP="00522023">
      <w:pPr>
        <w:suppressLineNumbers/>
        <w:jc w:val="center"/>
        <w:rPr>
          <w:rFonts w:ascii="Book Antiqua" w:hAnsi="Book Antiqua"/>
          <w:i/>
          <w:iCs/>
        </w:rPr>
      </w:pPr>
      <w:r w:rsidRPr="00B46B11">
        <w:rPr>
          <w:rFonts w:ascii="Book Antiqua" w:hAnsi="Book Antiqua"/>
        </w:rPr>
        <w:t xml:space="preserve">Presentado por los </w:t>
      </w:r>
      <w:r w:rsidR="003D3D13">
        <w:rPr>
          <w:rFonts w:ascii="Book Antiqua" w:hAnsi="Book Antiqua"/>
        </w:rPr>
        <w:t>representantes</w:t>
      </w:r>
      <w:r w:rsidRPr="00B46B11">
        <w:rPr>
          <w:rFonts w:ascii="Book Antiqua" w:hAnsi="Book Antiqua"/>
          <w:i/>
          <w:iCs/>
        </w:rPr>
        <w:t xml:space="preserve"> </w:t>
      </w:r>
      <w:r w:rsidR="00947700">
        <w:rPr>
          <w:rFonts w:ascii="Book Antiqua" w:hAnsi="Book Antiqua"/>
          <w:i/>
          <w:iCs/>
        </w:rPr>
        <w:t xml:space="preserve">Torres Cruz, </w:t>
      </w:r>
      <w:r w:rsidR="00DA68BD">
        <w:rPr>
          <w:rFonts w:ascii="Book Antiqua" w:hAnsi="Book Antiqua"/>
          <w:i/>
          <w:iCs/>
        </w:rPr>
        <w:t xml:space="preserve">Rivera </w:t>
      </w:r>
      <w:proofErr w:type="spellStart"/>
      <w:r w:rsidR="00DA68BD">
        <w:rPr>
          <w:rFonts w:ascii="Book Antiqua" w:hAnsi="Book Antiqua"/>
          <w:i/>
          <w:iCs/>
        </w:rPr>
        <w:t>Segarra</w:t>
      </w:r>
      <w:proofErr w:type="spellEnd"/>
      <w:r w:rsidR="00DA68BD">
        <w:rPr>
          <w:rFonts w:ascii="Book Antiqua" w:hAnsi="Book Antiqua"/>
          <w:i/>
          <w:iCs/>
        </w:rPr>
        <w:t xml:space="preserve">, </w:t>
      </w:r>
    </w:p>
    <w:p w14:paraId="4A6A2890" w14:textId="4785D9D0" w:rsidR="00B46B11" w:rsidRPr="00B46B11" w:rsidRDefault="00DA68BD" w:rsidP="00522023">
      <w:pPr>
        <w:suppressLineNumbers/>
        <w:jc w:val="center"/>
        <w:rPr>
          <w:rFonts w:ascii="Book Antiqua" w:hAnsi="Book Antiqua"/>
          <w:i/>
          <w:iCs/>
        </w:rPr>
      </w:pPr>
      <w:r>
        <w:rPr>
          <w:rFonts w:ascii="Book Antiqua" w:hAnsi="Book Antiqua"/>
          <w:i/>
          <w:iCs/>
        </w:rPr>
        <w:t>Aponte Rosario y Aponte Hernández</w:t>
      </w:r>
    </w:p>
    <w:p w14:paraId="65A301B0" w14:textId="77777777" w:rsidR="00B46B11" w:rsidRPr="00B46B11" w:rsidRDefault="00B46B11" w:rsidP="00522023">
      <w:pPr>
        <w:suppressLineNumbers/>
        <w:jc w:val="center"/>
        <w:rPr>
          <w:rFonts w:ascii="Book Antiqua" w:hAnsi="Book Antiqua"/>
          <w:i/>
          <w:iCs/>
        </w:rPr>
      </w:pPr>
    </w:p>
    <w:p w14:paraId="3984B3ED" w14:textId="1E148C5A" w:rsidR="00B46B11" w:rsidRPr="00522023" w:rsidRDefault="00B46B11" w:rsidP="00522023">
      <w:pPr>
        <w:suppressLineNumbers/>
        <w:jc w:val="center"/>
        <w:rPr>
          <w:rFonts w:ascii="Book Antiqua" w:hAnsi="Book Antiqua"/>
        </w:rPr>
      </w:pPr>
      <w:r w:rsidRPr="00522023">
        <w:rPr>
          <w:rFonts w:ascii="Book Antiqua" w:hAnsi="Book Antiqua"/>
        </w:rPr>
        <w:t xml:space="preserve">Referido a la Comisión de </w:t>
      </w:r>
      <w:r w:rsidR="009A7945">
        <w:rPr>
          <w:rFonts w:ascii="Book Antiqua" w:hAnsi="Book Antiqua"/>
        </w:rPr>
        <w:t>lo Jurídico</w:t>
      </w:r>
    </w:p>
    <w:p w14:paraId="32F74FA8" w14:textId="77777777" w:rsidR="00B46B11" w:rsidRPr="00B46B11" w:rsidRDefault="00B46B11" w:rsidP="00522023">
      <w:pPr>
        <w:suppressLineNumbers/>
        <w:jc w:val="center"/>
        <w:rPr>
          <w:rFonts w:ascii="Book Antiqua" w:hAnsi="Book Antiqua"/>
          <w:i/>
        </w:rPr>
      </w:pPr>
    </w:p>
    <w:p w14:paraId="54B7C196" w14:textId="77777777" w:rsidR="00B46B11" w:rsidRPr="00522023" w:rsidRDefault="00B46B11" w:rsidP="00522023">
      <w:pPr>
        <w:suppressLineNumbers/>
        <w:jc w:val="center"/>
        <w:rPr>
          <w:rFonts w:ascii="Book Antiqua" w:hAnsi="Book Antiqua"/>
          <w:b/>
          <w:sz w:val="28"/>
          <w:szCs w:val="32"/>
        </w:rPr>
      </w:pPr>
      <w:r w:rsidRPr="00522023">
        <w:rPr>
          <w:rFonts w:ascii="Book Antiqua" w:hAnsi="Book Antiqua"/>
          <w:b/>
          <w:sz w:val="28"/>
          <w:szCs w:val="32"/>
        </w:rPr>
        <w:t>LEY</w:t>
      </w:r>
    </w:p>
    <w:p w14:paraId="7501DF7E" w14:textId="77777777" w:rsidR="00522023" w:rsidRPr="00B60A0D" w:rsidRDefault="00522023" w:rsidP="00522023">
      <w:pPr>
        <w:suppressLineNumbers/>
        <w:jc w:val="center"/>
        <w:rPr>
          <w:rFonts w:ascii="Book Antiqua" w:hAnsi="Book Antiqua"/>
          <w:b/>
          <w:sz w:val="32"/>
          <w:szCs w:val="32"/>
        </w:rPr>
      </w:pPr>
    </w:p>
    <w:p w14:paraId="288A845D" w14:textId="237F017B" w:rsidR="00B46B11" w:rsidRPr="00B46B11" w:rsidRDefault="00B46B11" w:rsidP="00522023">
      <w:pPr>
        <w:pStyle w:val="Normal1"/>
        <w:ind w:left="720" w:hanging="720"/>
        <w:jc w:val="both"/>
        <w:rPr>
          <w:rFonts w:ascii="Book Antiqua" w:eastAsia="Book Antiqua" w:hAnsi="Book Antiqua" w:cs="Book Antiqua"/>
        </w:rPr>
      </w:pPr>
      <w:r w:rsidRPr="00B46B11">
        <w:rPr>
          <w:rFonts w:ascii="Book Antiqua" w:eastAsia="Book Antiqua" w:hAnsi="Book Antiqua" w:cs="Book Antiqua"/>
        </w:rPr>
        <w:t>Para</w:t>
      </w:r>
      <w:r w:rsidRPr="00B46B11">
        <w:rPr>
          <w:rFonts w:ascii="Book Antiqua" w:hAnsi="Book Antiqua"/>
        </w:rPr>
        <w:t xml:space="preserve"> </w:t>
      </w:r>
      <w:r w:rsidRPr="00B46B11">
        <w:rPr>
          <w:rFonts w:ascii="Book Antiqua" w:eastAsia="Book Antiqua" w:hAnsi="Book Antiqua" w:cs="Book Antiqua"/>
        </w:rPr>
        <w:t xml:space="preserve">establecer la “Ley para la prohibición de las terapias </w:t>
      </w:r>
      <w:r w:rsidR="00264349">
        <w:rPr>
          <w:rFonts w:ascii="Book Antiqua" w:eastAsia="Book Antiqua" w:hAnsi="Book Antiqua" w:cs="Book Antiqua"/>
        </w:rPr>
        <w:t>de conversión</w:t>
      </w:r>
      <w:r w:rsidR="00C95571">
        <w:rPr>
          <w:rFonts w:ascii="Book Antiqua" w:eastAsia="Book Antiqua" w:hAnsi="Book Antiqua" w:cs="Book Antiqua"/>
        </w:rPr>
        <w:t xml:space="preserve"> o reparación</w:t>
      </w:r>
      <w:r w:rsidR="00264349">
        <w:rPr>
          <w:rFonts w:ascii="Book Antiqua" w:eastAsia="Book Antiqua" w:hAnsi="Book Antiqua" w:cs="Book Antiqua"/>
        </w:rPr>
        <w:t>”</w:t>
      </w:r>
      <w:r w:rsidR="00AD699E">
        <w:rPr>
          <w:rFonts w:ascii="Book Antiqua" w:eastAsia="Book Antiqua" w:hAnsi="Book Antiqua" w:cs="Book Antiqua"/>
        </w:rPr>
        <w:t xml:space="preserve">, </w:t>
      </w:r>
      <w:r w:rsidR="003D3D13">
        <w:rPr>
          <w:rFonts w:ascii="Book Antiqua" w:eastAsia="Book Antiqua" w:hAnsi="Book Antiqua" w:cs="Book Antiqua"/>
        </w:rPr>
        <w:t xml:space="preserve">fijar penas </w:t>
      </w:r>
      <w:r w:rsidR="00AD699E">
        <w:rPr>
          <w:rFonts w:ascii="Book Antiqua" w:eastAsia="Book Antiqua" w:hAnsi="Book Antiqua" w:cs="Book Antiqua"/>
        </w:rPr>
        <w:t>ante</w:t>
      </w:r>
      <w:r w:rsidR="003D3D13">
        <w:rPr>
          <w:rFonts w:ascii="Book Antiqua" w:eastAsia="Book Antiqua" w:hAnsi="Book Antiqua" w:cs="Book Antiqua"/>
        </w:rPr>
        <w:t xml:space="preserve"> el incumplimiento de esta ley</w:t>
      </w:r>
      <w:r w:rsidR="00AD699E">
        <w:rPr>
          <w:rFonts w:ascii="Book Antiqua" w:eastAsia="Book Antiqua" w:hAnsi="Book Antiqua" w:cs="Book Antiqua"/>
        </w:rPr>
        <w:t>,</w:t>
      </w:r>
      <w:r w:rsidR="003D3D13">
        <w:rPr>
          <w:rFonts w:ascii="Book Antiqua" w:eastAsia="Book Antiqua" w:hAnsi="Book Antiqua" w:cs="Book Antiqua"/>
        </w:rPr>
        <w:t xml:space="preserve"> y para otros fines relacionados</w:t>
      </w:r>
      <w:r w:rsidRPr="00B46B11">
        <w:rPr>
          <w:rFonts w:ascii="Book Antiqua" w:eastAsia="Book Antiqua" w:hAnsi="Book Antiqua" w:cs="Book Antiqua"/>
        </w:rPr>
        <w:t xml:space="preserve">.   </w:t>
      </w:r>
    </w:p>
    <w:p w14:paraId="6504BAB3" w14:textId="77777777" w:rsidR="00B46B11" w:rsidRPr="00B46B11" w:rsidRDefault="00B46B11" w:rsidP="00522023">
      <w:pPr>
        <w:pStyle w:val="Normal1"/>
        <w:ind w:left="540" w:hanging="540"/>
        <w:jc w:val="both"/>
        <w:rPr>
          <w:rFonts w:ascii="Book Antiqua" w:eastAsia="Book Antiqua" w:hAnsi="Book Antiqua" w:cs="Book Antiqua"/>
        </w:rPr>
      </w:pPr>
    </w:p>
    <w:p w14:paraId="017B59D8" w14:textId="28501E89" w:rsidR="00B46B11" w:rsidRPr="00522023" w:rsidRDefault="00B46B11" w:rsidP="00522023">
      <w:pPr>
        <w:pStyle w:val="Normal1"/>
        <w:jc w:val="center"/>
        <w:rPr>
          <w:rFonts w:ascii="Book Antiqua" w:eastAsia="Book Antiqua" w:hAnsi="Book Antiqua" w:cs="Book Antiqua"/>
        </w:rPr>
      </w:pPr>
      <w:r w:rsidRPr="00522023">
        <w:rPr>
          <w:rFonts w:ascii="Book Antiqua" w:eastAsia="Book Antiqua" w:hAnsi="Book Antiqua" w:cs="Book Antiqua"/>
        </w:rPr>
        <w:t>EXPOSICIÓN DE MOTIVO</w:t>
      </w:r>
      <w:r w:rsidR="00C63CC9" w:rsidRPr="00522023">
        <w:rPr>
          <w:rFonts w:ascii="Book Antiqua" w:eastAsia="Book Antiqua" w:hAnsi="Book Antiqua" w:cs="Book Antiqua"/>
        </w:rPr>
        <w:t>S</w:t>
      </w:r>
    </w:p>
    <w:p w14:paraId="24B032A1" w14:textId="77777777" w:rsidR="00C63CC9" w:rsidRPr="00522023" w:rsidRDefault="00C63CC9" w:rsidP="00522023">
      <w:pPr>
        <w:pStyle w:val="Normal1"/>
        <w:jc w:val="center"/>
        <w:rPr>
          <w:rFonts w:ascii="Book Antiqua" w:eastAsia="Book Antiqua" w:hAnsi="Book Antiqua" w:cs="Book Antiqua"/>
          <w:b/>
        </w:rPr>
      </w:pPr>
    </w:p>
    <w:p w14:paraId="74326DC3" w14:textId="5BECC423" w:rsidR="00B46B11" w:rsidRPr="00DF41D3" w:rsidRDefault="00B46B11" w:rsidP="00522023">
      <w:pPr>
        <w:suppressLineNumbers/>
        <w:ind w:firstLine="720"/>
        <w:jc w:val="both"/>
        <w:rPr>
          <w:rFonts w:ascii="Book Antiqua" w:hAnsi="Book Antiqua"/>
          <w:lang w:val="es-PR"/>
        </w:rPr>
      </w:pPr>
      <w:r w:rsidRPr="00DF41D3">
        <w:rPr>
          <w:rFonts w:ascii="Book Antiqua" w:hAnsi="Book Antiqua"/>
          <w:lang w:val="es-PR"/>
        </w:rPr>
        <w:t xml:space="preserve">Las Terapias </w:t>
      </w:r>
      <w:r w:rsidR="00B82D37" w:rsidRPr="00DF41D3">
        <w:rPr>
          <w:rFonts w:ascii="Book Antiqua" w:hAnsi="Book Antiqua"/>
          <w:lang w:val="es-PR"/>
        </w:rPr>
        <w:t>conversión</w:t>
      </w:r>
      <w:r w:rsidR="00C95571">
        <w:rPr>
          <w:rFonts w:ascii="Book Antiqua" w:hAnsi="Book Antiqua"/>
          <w:lang w:val="es-PR"/>
        </w:rPr>
        <w:t xml:space="preserve"> o reparación</w:t>
      </w:r>
      <w:r w:rsidRPr="00DF41D3">
        <w:rPr>
          <w:rFonts w:ascii="Book Antiqua" w:hAnsi="Book Antiqua"/>
          <w:lang w:val="es-PR"/>
        </w:rPr>
        <w:t xml:space="preserve">, también conocidas como </w:t>
      </w:r>
      <w:r w:rsidRPr="00DF41D3">
        <w:rPr>
          <w:rFonts w:ascii="Book Antiqua" w:hAnsi="Book Antiqua"/>
          <w:i/>
          <w:lang w:val="es-PR"/>
        </w:rPr>
        <w:t xml:space="preserve">sexual </w:t>
      </w:r>
      <w:proofErr w:type="spellStart"/>
      <w:r w:rsidRPr="00DF41D3">
        <w:rPr>
          <w:rFonts w:ascii="Book Antiqua" w:hAnsi="Book Antiqua"/>
          <w:i/>
          <w:lang w:val="es-PR"/>
        </w:rPr>
        <w:t>orientation</w:t>
      </w:r>
      <w:proofErr w:type="spellEnd"/>
      <w:r w:rsidRPr="00DF41D3">
        <w:rPr>
          <w:rFonts w:ascii="Book Antiqua" w:hAnsi="Book Antiqua"/>
          <w:i/>
          <w:lang w:val="es-PR"/>
        </w:rPr>
        <w:t xml:space="preserve"> </w:t>
      </w:r>
      <w:proofErr w:type="spellStart"/>
      <w:r w:rsidRPr="00DF41D3">
        <w:rPr>
          <w:rFonts w:ascii="Book Antiqua" w:hAnsi="Book Antiqua"/>
          <w:i/>
          <w:lang w:val="es-PR"/>
        </w:rPr>
        <w:t>change</w:t>
      </w:r>
      <w:proofErr w:type="spellEnd"/>
      <w:r w:rsidRPr="00DF41D3">
        <w:rPr>
          <w:rFonts w:ascii="Book Antiqua" w:hAnsi="Book Antiqua"/>
          <w:i/>
          <w:lang w:val="es-PR"/>
        </w:rPr>
        <w:t xml:space="preserve"> </w:t>
      </w:r>
      <w:proofErr w:type="spellStart"/>
      <w:r w:rsidRPr="00DF41D3">
        <w:rPr>
          <w:rFonts w:ascii="Book Antiqua" w:hAnsi="Book Antiqua"/>
          <w:i/>
          <w:lang w:val="es-PR"/>
        </w:rPr>
        <w:t>efforts</w:t>
      </w:r>
      <w:proofErr w:type="spellEnd"/>
      <w:r w:rsidRPr="00DF41D3">
        <w:rPr>
          <w:rFonts w:ascii="Book Antiqua" w:hAnsi="Book Antiqua"/>
          <w:lang w:val="es-PR"/>
        </w:rPr>
        <w:t xml:space="preserve"> (SOCE), han suscitado la atención preocupada de las mayores organizaciones norteamericanas que agrupan a los profesionales </w:t>
      </w:r>
      <w:r w:rsidRPr="00DF41D3">
        <w:rPr>
          <w:rFonts w:ascii="Book Antiqua" w:hAnsi="Book Antiqua"/>
        </w:rPr>
        <w:t xml:space="preserve">de las ciencias sociales, de la conducta y de la salud mental. Entre las varias organizaciones que han manifestado su preocupación profesional, pidiendo su prohibición legal, se encuentran la </w:t>
      </w:r>
      <w:r w:rsidRPr="00DF41D3">
        <w:rPr>
          <w:rFonts w:ascii="Book Antiqua" w:hAnsi="Book Antiqua"/>
          <w:i/>
          <w:lang w:val="es-PR"/>
        </w:rPr>
        <w:t xml:space="preserve">American </w:t>
      </w:r>
      <w:proofErr w:type="spellStart"/>
      <w:r w:rsidRPr="00DF41D3">
        <w:rPr>
          <w:rFonts w:ascii="Book Antiqua" w:hAnsi="Book Antiqua"/>
          <w:i/>
          <w:lang w:val="es-PR"/>
        </w:rPr>
        <w:t>Psychological</w:t>
      </w:r>
      <w:proofErr w:type="spellEnd"/>
      <w:r w:rsidRPr="00DF41D3">
        <w:rPr>
          <w:rFonts w:ascii="Book Antiqua" w:hAnsi="Book Antiqua"/>
          <w:i/>
          <w:lang w:val="es-PR"/>
        </w:rPr>
        <w:t xml:space="preserve"> </w:t>
      </w:r>
      <w:proofErr w:type="spellStart"/>
      <w:r w:rsidRPr="00DF41D3">
        <w:rPr>
          <w:rFonts w:ascii="Book Antiqua" w:hAnsi="Book Antiqua"/>
          <w:i/>
          <w:lang w:val="es-PR"/>
        </w:rPr>
        <w:t>Association</w:t>
      </w:r>
      <w:proofErr w:type="spellEnd"/>
      <w:r w:rsidRPr="00DF41D3">
        <w:rPr>
          <w:rFonts w:ascii="Book Antiqua" w:hAnsi="Book Antiqua"/>
        </w:rPr>
        <w:t xml:space="preserve">, </w:t>
      </w:r>
      <w:r w:rsidRPr="00DF41D3">
        <w:rPr>
          <w:rFonts w:ascii="Book Antiqua" w:hAnsi="Book Antiqua"/>
          <w:i/>
        </w:rPr>
        <w:t xml:space="preserve">American </w:t>
      </w:r>
      <w:proofErr w:type="spellStart"/>
      <w:r w:rsidRPr="00DF41D3">
        <w:rPr>
          <w:rFonts w:ascii="Book Antiqua" w:hAnsi="Book Antiqua"/>
          <w:i/>
        </w:rPr>
        <w:t>Counseling</w:t>
      </w:r>
      <w:proofErr w:type="spellEnd"/>
      <w:r w:rsidRPr="00DF41D3">
        <w:rPr>
          <w:rFonts w:ascii="Book Antiqua" w:hAnsi="Book Antiqua"/>
          <w:i/>
        </w:rPr>
        <w:t xml:space="preserve"> </w:t>
      </w:r>
      <w:proofErr w:type="spellStart"/>
      <w:r w:rsidRPr="00DF41D3">
        <w:rPr>
          <w:rFonts w:ascii="Book Antiqua" w:hAnsi="Book Antiqua"/>
          <w:i/>
        </w:rPr>
        <w:t>Association</w:t>
      </w:r>
      <w:proofErr w:type="spellEnd"/>
      <w:r w:rsidRPr="00DF41D3">
        <w:rPr>
          <w:rFonts w:ascii="Book Antiqua" w:hAnsi="Book Antiqua"/>
          <w:i/>
        </w:rPr>
        <w:t xml:space="preserve"> </w:t>
      </w:r>
      <w:r w:rsidRPr="00DF41D3">
        <w:rPr>
          <w:rFonts w:ascii="Book Antiqua" w:hAnsi="Book Antiqua"/>
        </w:rPr>
        <w:t xml:space="preserve">y la </w:t>
      </w:r>
      <w:r w:rsidRPr="00DF41D3">
        <w:rPr>
          <w:rFonts w:ascii="Book Antiqua" w:hAnsi="Book Antiqua"/>
          <w:i/>
        </w:rPr>
        <w:t xml:space="preserve">American </w:t>
      </w:r>
      <w:proofErr w:type="spellStart"/>
      <w:r w:rsidRPr="00DF41D3">
        <w:rPr>
          <w:rFonts w:ascii="Book Antiqua" w:hAnsi="Book Antiqua"/>
          <w:i/>
        </w:rPr>
        <w:t>Psychiatric</w:t>
      </w:r>
      <w:proofErr w:type="spellEnd"/>
      <w:r w:rsidRPr="00DF41D3">
        <w:rPr>
          <w:rFonts w:ascii="Book Antiqua" w:hAnsi="Book Antiqua"/>
          <w:i/>
        </w:rPr>
        <w:t xml:space="preserve"> </w:t>
      </w:r>
      <w:proofErr w:type="spellStart"/>
      <w:r w:rsidRPr="00DF41D3">
        <w:rPr>
          <w:rFonts w:ascii="Book Antiqua" w:hAnsi="Book Antiqua"/>
          <w:i/>
        </w:rPr>
        <w:t>Association</w:t>
      </w:r>
      <w:proofErr w:type="spellEnd"/>
      <w:r w:rsidRPr="00DF41D3">
        <w:rPr>
          <w:rFonts w:ascii="Book Antiqua" w:hAnsi="Book Antiqua"/>
          <w:lang w:val="es-PR"/>
        </w:rPr>
        <w:t xml:space="preserve"> (APA). Esta última en el 2018 emitió un comunicado oficial donde afirmaba que el valor terapéutico de las SOCE ha sido cuestionado por la comunidad científica y que existen datos testimoniales de su ineficacia real, e incluso de los efectos dañinos que podrían tener sobre la salud mental de las personas que son sometidas a ellas</w:t>
      </w:r>
      <w:r w:rsidRPr="00DF41D3">
        <w:rPr>
          <w:rStyle w:val="FootnoteReference"/>
          <w:rFonts w:ascii="Book Antiqua" w:hAnsi="Book Antiqua"/>
          <w:lang w:val="es-PR"/>
        </w:rPr>
        <w:footnoteReference w:id="1"/>
      </w:r>
      <w:r w:rsidRPr="00DF41D3">
        <w:rPr>
          <w:rFonts w:ascii="Book Antiqua" w:hAnsi="Book Antiqua"/>
          <w:lang w:val="es-PR"/>
        </w:rPr>
        <w:t xml:space="preserve">. Por eso, </w:t>
      </w:r>
      <w:r w:rsidR="00B82D37" w:rsidRPr="00DF41D3">
        <w:rPr>
          <w:rFonts w:ascii="Book Antiqua" w:hAnsi="Book Antiqua"/>
          <w:lang w:val="es-PR"/>
        </w:rPr>
        <w:t xml:space="preserve">se ha </w:t>
      </w:r>
      <w:r w:rsidRPr="00DF41D3">
        <w:rPr>
          <w:rFonts w:ascii="Book Antiqua" w:hAnsi="Book Antiqua"/>
          <w:lang w:val="es-PR"/>
        </w:rPr>
        <w:t xml:space="preserve">insistido que los profesionales que someten a sus clientes a ese tipo de intervención terapéutica cometen acciones </w:t>
      </w:r>
      <w:r w:rsidR="0065785C" w:rsidRPr="00DF41D3">
        <w:rPr>
          <w:rFonts w:ascii="Book Antiqua" w:hAnsi="Book Antiqua"/>
          <w:lang w:val="es-PR"/>
        </w:rPr>
        <w:t>antiéticas</w:t>
      </w:r>
      <w:r w:rsidRPr="00DF41D3">
        <w:rPr>
          <w:rFonts w:ascii="Book Antiqua" w:hAnsi="Book Antiqua"/>
          <w:lang w:val="es-PR"/>
        </w:rPr>
        <w:t xml:space="preserve"> y poco profesionales</w:t>
      </w:r>
      <w:r w:rsidRPr="00DF41D3">
        <w:rPr>
          <w:rStyle w:val="FootnoteReference"/>
          <w:rFonts w:ascii="Book Antiqua" w:hAnsi="Book Antiqua"/>
          <w:lang w:val="es-PR"/>
        </w:rPr>
        <w:footnoteReference w:id="2"/>
      </w:r>
      <w:r w:rsidRPr="00DF41D3">
        <w:rPr>
          <w:rFonts w:ascii="Book Antiqua" w:hAnsi="Book Antiqua"/>
          <w:lang w:val="es-PR"/>
        </w:rPr>
        <w:t xml:space="preserve">. </w:t>
      </w:r>
    </w:p>
    <w:p w14:paraId="5FA9AA13" w14:textId="7EEC0322" w:rsidR="00CE005E" w:rsidRDefault="00D05EC8" w:rsidP="00522023">
      <w:pPr>
        <w:ind w:firstLine="720"/>
        <w:jc w:val="both"/>
        <w:rPr>
          <w:rFonts w:ascii="Book Antiqua" w:eastAsia="Calibri" w:hAnsi="Book Antiqua"/>
          <w:bCs/>
          <w:lang w:val="es-PR"/>
        </w:rPr>
      </w:pPr>
      <w:r w:rsidRPr="00DF41D3">
        <w:rPr>
          <w:rFonts w:ascii="Book Antiqua" w:eastAsia="Calibri" w:hAnsi="Book Antiqua"/>
          <w:bCs/>
          <w:lang w:val="es-PR"/>
        </w:rPr>
        <w:lastRenderedPageBreak/>
        <w:t>L</w:t>
      </w:r>
      <w:r w:rsidR="00B46B11" w:rsidRPr="00DF41D3">
        <w:rPr>
          <w:rFonts w:ascii="Book Antiqua" w:eastAsia="Calibri" w:hAnsi="Book Antiqua"/>
          <w:bCs/>
          <w:lang w:val="es-PR"/>
        </w:rPr>
        <w:t xml:space="preserve">as terapias </w:t>
      </w:r>
      <w:r w:rsidR="00A17FE3" w:rsidRPr="00DF41D3">
        <w:rPr>
          <w:rFonts w:ascii="Book Antiqua" w:eastAsia="Calibri" w:hAnsi="Book Antiqua"/>
          <w:bCs/>
          <w:lang w:val="es-PR"/>
        </w:rPr>
        <w:t xml:space="preserve">de conversión </w:t>
      </w:r>
      <w:r w:rsidR="00B46B11" w:rsidRPr="00DF41D3">
        <w:rPr>
          <w:rFonts w:ascii="Book Antiqua" w:eastAsia="Calibri" w:hAnsi="Book Antiqua"/>
          <w:bCs/>
          <w:lang w:val="es-PR"/>
        </w:rPr>
        <w:t xml:space="preserve">que se pretenden prohibir en </w:t>
      </w:r>
      <w:r w:rsidR="001B583D" w:rsidRPr="00DF41D3">
        <w:rPr>
          <w:rFonts w:ascii="Book Antiqua" w:eastAsia="Calibri" w:hAnsi="Book Antiqua"/>
          <w:bCs/>
          <w:lang w:val="es-PR"/>
        </w:rPr>
        <w:t xml:space="preserve">este </w:t>
      </w:r>
      <w:r w:rsidR="00B46B11" w:rsidRPr="00DF41D3">
        <w:rPr>
          <w:rFonts w:ascii="Book Antiqua" w:eastAsia="Calibri" w:hAnsi="Book Antiqua"/>
          <w:bCs/>
          <w:lang w:val="es-PR"/>
        </w:rPr>
        <w:t xml:space="preserve">proyecto son aquellas realizadas por un profesional de la salud mental </w:t>
      </w:r>
      <w:r w:rsidR="00264349" w:rsidRPr="00DF41D3">
        <w:rPr>
          <w:rFonts w:ascii="Book Antiqua" w:eastAsia="Calibri" w:hAnsi="Book Antiqua"/>
          <w:bCs/>
          <w:lang w:val="es-PR"/>
        </w:rPr>
        <w:t xml:space="preserve">que, </w:t>
      </w:r>
      <w:r w:rsidR="00B46B11" w:rsidRPr="00DF41D3">
        <w:rPr>
          <w:rFonts w:ascii="Book Antiqua" w:eastAsia="Calibri" w:hAnsi="Book Antiqua"/>
          <w:bCs/>
          <w:lang w:val="es-PR"/>
        </w:rPr>
        <w:t xml:space="preserve">en una relación </w:t>
      </w:r>
      <w:r w:rsidR="001B583D" w:rsidRPr="00DF41D3">
        <w:rPr>
          <w:rFonts w:ascii="Book Antiqua" w:eastAsia="Calibri" w:hAnsi="Book Antiqua"/>
          <w:bCs/>
          <w:lang w:val="es-PR"/>
        </w:rPr>
        <w:t xml:space="preserve">terapéutica </w:t>
      </w:r>
      <w:r w:rsidR="00B46B11" w:rsidRPr="00DF41D3">
        <w:rPr>
          <w:rFonts w:ascii="Book Antiqua" w:eastAsia="Calibri" w:hAnsi="Book Antiqua"/>
          <w:bCs/>
          <w:lang w:val="es-PR"/>
        </w:rPr>
        <w:t>con un cliente</w:t>
      </w:r>
      <w:r w:rsidR="001B583D" w:rsidRPr="00DF41D3">
        <w:rPr>
          <w:rFonts w:ascii="Book Antiqua" w:eastAsia="Calibri" w:hAnsi="Book Antiqua"/>
          <w:bCs/>
          <w:lang w:val="es-PR"/>
        </w:rPr>
        <w:t xml:space="preserve">, </w:t>
      </w:r>
      <w:r w:rsidR="00264349" w:rsidRPr="00DF41D3">
        <w:rPr>
          <w:rFonts w:ascii="Book Antiqua" w:eastAsia="Calibri" w:hAnsi="Book Antiqua"/>
          <w:bCs/>
          <w:lang w:val="es-PR"/>
        </w:rPr>
        <w:t xml:space="preserve">tenga </w:t>
      </w:r>
      <w:r w:rsidR="001B583D" w:rsidRPr="00DF41D3">
        <w:rPr>
          <w:rFonts w:ascii="Book Antiqua" w:eastAsia="Calibri" w:hAnsi="Book Antiqua"/>
          <w:bCs/>
          <w:lang w:val="es-PR"/>
        </w:rPr>
        <w:t xml:space="preserve">por </w:t>
      </w:r>
      <w:r w:rsidR="00F37F43">
        <w:rPr>
          <w:rFonts w:ascii="Book Antiqua" w:eastAsia="Calibri" w:hAnsi="Book Antiqua"/>
          <w:bCs/>
          <w:lang w:val="es-PR"/>
        </w:rPr>
        <w:t>objetivo</w:t>
      </w:r>
      <w:r w:rsidR="001B583D" w:rsidRPr="00DF41D3">
        <w:rPr>
          <w:rFonts w:ascii="Book Antiqua" w:eastAsia="Calibri" w:hAnsi="Book Antiqua"/>
          <w:bCs/>
          <w:lang w:val="es-PR"/>
        </w:rPr>
        <w:t xml:space="preserve"> ca</w:t>
      </w:r>
      <w:r w:rsidR="00F37F43">
        <w:rPr>
          <w:rFonts w:ascii="Book Antiqua" w:eastAsia="Calibri" w:hAnsi="Book Antiqua"/>
          <w:bCs/>
          <w:lang w:val="es-PR"/>
        </w:rPr>
        <w:t xml:space="preserve">mbiar la orientación sexual de una persona </w:t>
      </w:r>
      <w:r w:rsidR="00264349" w:rsidRPr="00DF41D3">
        <w:rPr>
          <w:rFonts w:ascii="Book Antiqua" w:eastAsia="Calibri" w:hAnsi="Book Antiqua"/>
          <w:bCs/>
          <w:lang w:val="es-PR"/>
        </w:rPr>
        <w:t>bajo</w:t>
      </w:r>
      <w:r w:rsidR="00B46B11" w:rsidRPr="00DF41D3">
        <w:rPr>
          <w:rFonts w:ascii="Book Antiqua" w:eastAsia="Calibri" w:hAnsi="Book Antiqua"/>
          <w:bCs/>
          <w:lang w:val="es-PR"/>
        </w:rPr>
        <w:t xml:space="preserve"> </w:t>
      </w:r>
      <w:r w:rsidR="001B583D" w:rsidRPr="00DF41D3">
        <w:rPr>
          <w:rFonts w:ascii="Book Antiqua" w:eastAsia="Calibri" w:hAnsi="Book Antiqua"/>
          <w:bCs/>
          <w:lang w:val="es-PR"/>
        </w:rPr>
        <w:t xml:space="preserve">el </w:t>
      </w:r>
      <w:r w:rsidR="00F37F43">
        <w:rPr>
          <w:rFonts w:ascii="Book Antiqua" w:eastAsia="Calibri" w:hAnsi="Book Antiqua"/>
          <w:bCs/>
          <w:lang w:val="es-PR"/>
        </w:rPr>
        <w:t>pretexto</w:t>
      </w:r>
      <w:r w:rsidR="001B583D" w:rsidRPr="00DF41D3">
        <w:rPr>
          <w:rFonts w:ascii="Book Antiqua" w:eastAsia="Calibri" w:hAnsi="Book Antiqua"/>
          <w:bCs/>
          <w:lang w:val="es-PR"/>
        </w:rPr>
        <w:t xml:space="preserve"> </w:t>
      </w:r>
      <w:r w:rsidR="00F37F43">
        <w:rPr>
          <w:rFonts w:ascii="Book Antiqua" w:eastAsia="Calibri" w:hAnsi="Book Antiqua"/>
          <w:bCs/>
          <w:lang w:val="es-PR"/>
        </w:rPr>
        <w:t xml:space="preserve">que la misma es una </w:t>
      </w:r>
      <w:r w:rsidR="00B46B11" w:rsidRPr="00DF41D3">
        <w:rPr>
          <w:rFonts w:ascii="Book Antiqua" w:eastAsia="Calibri" w:hAnsi="Book Antiqua"/>
          <w:bCs/>
          <w:lang w:val="es-PR"/>
        </w:rPr>
        <w:t>enfermedad mental</w:t>
      </w:r>
      <w:r w:rsidR="00B46B11" w:rsidRPr="00DF41D3">
        <w:rPr>
          <w:rStyle w:val="FootnoteReference"/>
          <w:rFonts w:ascii="Book Antiqua" w:eastAsia="Calibri" w:hAnsi="Book Antiqua"/>
          <w:b/>
          <w:bCs/>
          <w:lang w:val="es-PR"/>
        </w:rPr>
        <w:footnoteReference w:id="3"/>
      </w:r>
      <w:r w:rsidR="00B46B11" w:rsidRPr="00DF41D3">
        <w:rPr>
          <w:rFonts w:ascii="Book Antiqua" w:eastAsia="Calibri" w:hAnsi="Book Antiqua"/>
          <w:bCs/>
          <w:lang w:val="es-PR"/>
        </w:rPr>
        <w:t xml:space="preserve">. </w:t>
      </w:r>
    </w:p>
    <w:p w14:paraId="1E955883" w14:textId="77777777" w:rsidR="00522023" w:rsidRDefault="00522023" w:rsidP="00522023">
      <w:pPr>
        <w:ind w:firstLine="720"/>
        <w:jc w:val="both"/>
        <w:rPr>
          <w:rFonts w:ascii="Book Antiqua" w:eastAsia="Calibri" w:hAnsi="Book Antiqua"/>
          <w:bCs/>
          <w:lang w:val="es-PR"/>
        </w:rPr>
      </w:pPr>
    </w:p>
    <w:p w14:paraId="64FA4010" w14:textId="04D1A019" w:rsidR="00D05EC8" w:rsidRDefault="00F37F43" w:rsidP="00522023">
      <w:pPr>
        <w:ind w:firstLine="720"/>
        <w:jc w:val="both"/>
        <w:rPr>
          <w:rFonts w:ascii="Book Antiqua" w:eastAsia="Calibri" w:hAnsi="Book Antiqua"/>
          <w:bCs/>
          <w:lang w:val="es-PR"/>
        </w:rPr>
      </w:pPr>
      <w:r>
        <w:rPr>
          <w:rFonts w:ascii="Book Antiqua" w:eastAsia="Calibri" w:hAnsi="Book Antiqua"/>
          <w:bCs/>
          <w:lang w:val="es-PR"/>
        </w:rPr>
        <w:t>E</w:t>
      </w:r>
      <w:r w:rsidR="00B82D37" w:rsidRPr="00DF41D3">
        <w:rPr>
          <w:rFonts w:ascii="Book Antiqua" w:eastAsia="Calibri" w:hAnsi="Book Antiqua"/>
          <w:bCs/>
          <w:lang w:val="es-PR"/>
        </w:rPr>
        <w:t>ste proyecto de ley clarificará</w:t>
      </w:r>
      <w:r>
        <w:rPr>
          <w:rFonts w:ascii="Book Antiqua" w:eastAsia="Calibri" w:hAnsi="Book Antiqua"/>
          <w:bCs/>
          <w:lang w:val="es-PR"/>
        </w:rPr>
        <w:t xml:space="preserve"> la prohibición de las terapias de conversión. A su</w:t>
      </w:r>
      <w:r w:rsidR="00F64FE6" w:rsidRPr="00DF41D3">
        <w:rPr>
          <w:rFonts w:ascii="Book Antiqua" w:eastAsia="Calibri" w:hAnsi="Book Antiqua"/>
          <w:bCs/>
          <w:lang w:val="es-PR"/>
        </w:rPr>
        <w:t xml:space="preserve"> vez</w:t>
      </w:r>
      <w:r>
        <w:rPr>
          <w:rFonts w:ascii="Book Antiqua" w:eastAsia="Calibri" w:hAnsi="Book Antiqua"/>
          <w:bCs/>
          <w:lang w:val="es-PR"/>
        </w:rPr>
        <w:t>,</w:t>
      </w:r>
      <w:r w:rsidR="00F64FE6" w:rsidRPr="00DF41D3">
        <w:rPr>
          <w:rFonts w:ascii="Book Antiqua" w:eastAsia="Calibri" w:hAnsi="Book Antiqua"/>
          <w:bCs/>
          <w:lang w:val="es-PR"/>
        </w:rPr>
        <w:t xml:space="preserve"> afirmará </w:t>
      </w:r>
      <w:r w:rsidR="00264349" w:rsidRPr="00DF41D3">
        <w:rPr>
          <w:rFonts w:ascii="Book Antiqua" w:eastAsia="Calibri" w:hAnsi="Book Antiqua"/>
          <w:bCs/>
          <w:lang w:val="es-PR"/>
        </w:rPr>
        <w:t xml:space="preserve">lo que es legítimo </w:t>
      </w:r>
      <w:r w:rsidR="00B82D37" w:rsidRPr="00DF41D3">
        <w:rPr>
          <w:rFonts w:ascii="Book Antiqua" w:eastAsia="Calibri" w:hAnsi="Book Antiqua"/>
          <w:bCs/>
          <w:lang w:val="es-PR"/>
        </w:rPr>
        <w:t xml:space="preserve">realizar </w:t>
      </w:r>
      <w:r w:rsidR="00264349" w:rsidRPr="00DF41D3">
        <w:rPr>
          <w:rFonts w:ascii="Book Antiqua" w:eastAsia="Calibri" w:hAnsi="Book Antiqua"/>
          <w:bCs/>
          <w:lang w:val="es-PR"/>
        </w:rPr>
        <w:t xml:space="preserve">en el </w:t>
      </w:r>
      <w:r w:rsidR="00B82D37" w:rsidRPr="00DF41D3">
        <w:rPr>
          <w:rFonts w:ascii="Book Antiqua" w:eastAsia="Calibri" w:hAnsi="Book Antiqua"/>
          <w:bCs/>
          <w:lang w:val="es-PR"/>
        </w:rPr>
        <w:t xml:space="preserve">contexto </w:t>
      </w:r>
      <w:r w:rsidR="00264349" w:rsidRPr="00DF41D3">
        <w:rPr>
          <w:rFonts w:ascii="Book Antiqua" w:eastAsia="Calibri" w:hAnsi="Book Antiqua"/>
          <w:bCs/>
          <w:lang w:val="es-PR"/>
        </w:rPr>
        <w:t xml:space="preserve">de un tratamiento </w:t>
      </w:r>
      <w:r w:rsidR="00B82D37" w:rsidRPr="00DF41D3">
        <w:rPr>
          <w:rFonts w:ascii="Book Antiqua" w:eastAsia="Calibri" w:hAnsi="Book Antiqua"/>
          <w:bCs/>
          <w:lang w:val="es-PR"/>
        </w:rPr>
        <w:t xml:space="preserve">terapéutico </w:t>
      </w:r>
      <w:r w:rsidR="00F64FE6" w:rsidRPr="00DF41D3">
        <w:rPr>
          <w:rFonts w:ascii="Book Antiqua" w:eastAsia="Calibri" w:hAnsi="Book Antiqua"/>
          <w:bCs/>
          <w:lang w:val="es-PR"/>
        </w:rPr>
        <w:t xml:space="preserve">que pretenda explorar el desarrollo de </w:t>
      </w:r>
      <w:r w:rsidR="00B82D37" w:rsidRPr="00DF41D3">
        <w:rPr>
          <w:rFonts w:ascii="Book Antiqua" w:eastAsia="Calibri" w:hAnsi="Book Antiqua"/>
          <w:bCs/>
          <w:lang w:val="es-PR"/>
        </w:rPr>
        <w:t xml:space="preserve">una identidad </w:t>
      </w:r>
      <w:r w:rsidR="00F64FE6" w:rsidRPr="00DF41D3">
        <w:rPr>
          <w:rFonts w:ascii="Book Antiqua" w:eastAsia="Calibri" w:hAnsi="Book Antiqua"/>
          <w:bCs/>
          <w:lang w:val="es-PR"/>
        </w:rPr>
        <w:t>de orientación sexual en el marco de la autonomía del cliente.</w:t>
      </w:r>
      <w:r w:rsidR="00782BF8" w:rsidRPr="00DF41D3">
        <w:rPr>
          <w:rFonts w:ascii="Book Antiqua" w:eastAsia="Calibri" w:hAnsi="Book Antiqua"/>
          <w:bCs/>
          <w:lang w:val="es-PR"/>
        </w:rPr>
        <w:t xml:space="preserve"> </w:t>
      </w:r>
    </w:p>
    <w:p w14:paraId="60636404" w14:textId="77777777" w:rsidR="00522023" w:rsidRDefault="00522023" w:rsidP="00522023">
      <w:pPr>
        <w:ind w:firstLine="720"/>
        <w:jc w:val="both"/>
        <w:rPr>
          <w:rFonts w:ascii="Book Antiqua" w:eastAsia="Calibri" w:hAnsi="Book Antiqua"/>
          <w:bCs/>
          <w:lang w:val="es-PR"/>
        </w:rPr>
      </w:pPr>
    </w:p>
    <w:p w14:paraId="6F89BFBD" w14:textId="73727626" w:rsidR="00CE005E" w:rsidRDefault="00CE005E" w:rsidP="00522023">
      <w:pPr>
        <w:ind w:firstLine="720"/>
        <w:jc w:val="both"/>
        <w:rPr>
          <w:rFonts w:ascii="Book Antiqua" w:eastAsia="Calibri" w:hAnsi="Book Antiqua"/>
          <w:bCs/>
          <w:lang w:val="es-PR"/>
        </w:rPr>
      </w:pPr>
      <w:r>
        <w:rPr>
          <w:rFonts w:ascii="Book Antiqua" w:eastAsia="Calibri" w:hAnsi="Book Antiqua"/>
          <w:bCs/>
          <w:lang w:val="es-PR"/>
        </w:rPr>
        <w:t xml:space="preserve">En la descripción de las prohibiciones se ha intentado </w:t>
      </w:r>
      <w:r w:rsidRPr="009D4F77">
        <w:rPr>
          <w:rFonts w:ascii="Book Antiqua" w:eastAsia="Calibri" w:hAnsi="Book Antiqua"/>
          <w:bCs/>
          <w:u w:val="single"/>
          <w:lang w:val="es-PR"/>
        </w:rPr>
        <w:t>ser espec</w:t>
      </w:r>
      <w:r>
        <w:rPr>
          <w:rFonts w:ascii="Book Antiqua" w:eastAsia="Calibri" w:hAnsi="Book Antiqua"/>
          <w:bCs/>
          <w:u w:val="single"/>
          <w:lang w:val="es-PR"/>
        </w:rPr>
        <w:t>í</w:t>
      </w:r>
      <w:r w:rsidRPr="009D4F77">
        <w:rPr>
          <w:rFonts w:ascii="Book Antiqua" w:eastAsia="Calibri" w:hAnsi="Book Antiqua"/>
          <w:bCs/>
          <w:u w:val="single"/>
          <w:lang w:val="es-PR"/>
        </w:rPr>
        <w:t>fico</w:t>
      </w:r>
      <w:r>
        <w:rPr>
          <w:rFonts w:ascii="Book Antiqua" w:eastAsia="Calibri" w:hAnsi="Book Antiqua"/>
          <w:bCs/>
          <w:lang w:val="es-PR"/>
        </w:rPr>
        <w:t xml:space="preserve"> para incluir cualquier tipo de uso de procedimientos médicos, químicos, o de carácter invasivo que supongan un atentado contra la integridad física del ser humano tal como fue denunciado en el </w:t>
      </w:r>
      <w:bookmarkStart w:id="1" w:name="_Hlk68502729"/>
      <w:proofErr w:type="spellStart"/>
      <w:r w:rsidRPr="00CE005E">
        <w:rPr>
          <w:rFonts w:ascii="Book Antiqua" w:eastAsia="Calibri" w:hAnsi="Book Antiqua"/>
          <w:bCs/>
          <w:i/>
          <w:iCs/>
          <w:lang w:val="es-PR"/>
        </w:rPr>
        <w:t>Report</w:t>
      </w:r>
      <w:proofErr w:type="spellEnd"/>
      <w:r w:rsidRPr="00CE005E">
        <w:rPr>
          <w:rFonts w:ascii="Book Antiqua" w:eastAsia="Calibri" w:hAnsi="Book Antiqua"/>
          <w:bCs/>
          <w:i/>
          <w:iCs/>
          <w:lang w:val="es-PR"/>
        </w:rPr>
        <w:t xml:space="preserve"> of </w:t>
      </w:r>
      <w:proofErr w:type="spellStart"/>
      <w:r w:rsidRPr="00CE005E">
        <w:rPr>
          <w:rFonts w:ascii="Book Antiqua" w:eastAsia="Calibri" w:hAnsi="Book Antiqua"/>
          <w:bCs/>
          <w:i/>
          <w:iCs/>
          <w:lang w:val="es-PR"/>
        </w:rPr>
        <w:t>the</w:t>
      </w:r>
      <w:proofErr w:type="spellEnd"/>
      <w:r w:rsidRPr="00CE005E">
        <w:rPr>
          <w:rFonts w:ascii="Book Antiqua" w:eastAsia="Calibri" w:hAnsi="Book Antiqua"/>
          <w:bCs/>
          <w:i/>
          <w:iCs/>
          <w:lang w:val="es-PR"/>
        </w:rPr>
        <w:t xml:space="preserve"> </w:t>
      </w:r>
      <w:proofErr w:type="spellStart"/>
      <w:r w:rsidRPr="00CE005E">
        <w:rPr>
          <w:rFonts w:ascii="Book Antiqua" w:eastAsia="Calibri" w:hAnsi="Book Antiqua"/>
          <w:bCs/>
          <w:i/>
          <w:iCs/>
          <w:lang w:val="es-PR"/>
        </w:rPr>
        <w:t>Independent</w:t>
      </w:r>
      <w:proofErr w:type="spellEnd"/>
      <w:r w:rsidRPr="00CE005E">
        <w:rPr>
          <w:rFonts w:ascii="Book Antiqua" w:eastAsia="Calibri" w:hAnsi="Book Antiqua"/>
          <w:bCs/>
          <w:i/>
          <w:iCs/>
          <w:lang w:val="es-PR"/>
        </w:rPr>
        <w:t xml:space="preserve"> </w:t>
      </w:r>
      <w:proofErr w:type="spellStart"/>
      <w:r w:rsidRPr="00CE005E">
        <w:rPr>
          <w:rFonts w:ascii="Book Antiqua" w:eastAsia="Calibri" w:hAnsi="Book Antiqua"/>
          <w:bCs/>
          <w:i/>
          <w:iCs/>
          <w:lang w:val="es-PR"/>
        </w:rPr>
        <w:t>Expert</w:t>
      </w:r>
      <w:proofErr w:type="spellEnd"/>
      <w:r w:rsidRPr="00CE005E">
        <w:rPr>
          <w:rFonts w:ascii="Book Antiqua" w:eastAsia="Calibri" w:hAnsi="Book Antiqua"/>
          <w:bCs/>
          <w:i/>
          <w:iCs/>
          <w:lang w:val="es-PR"/>
        </w:rPr>
        <w:t xml:space="preserve"> </w:t>
      </w:r>
      <w:proofErr w:type="spellStart"/>
      <w:r w:rsidRPr="00CE005E">
        <w:rPr>
          <w:rFonts w:ascii="Book Antiqua" w:eastAsia="Calibri" w:hAnsi="Book Antiqua"/>
          <w:bCs/>
          <w:i/>
          <w:iCs/>
          <w:lang w:val="es-PR"/>
        </w:rPr>
        <w:t>on</w:t>
      </w:r>
      <w:proofErr w:type="spellEnd"/>
      <w:r w:rsidRPr="00CE005E">
        <w:rPr>
          <w:rFonts w:ascii="Book Antiqua" w:eastAsia="Calibri" w:hAnsi="Book Antiqua"/>
          <w:bCs/>
          <w:i/>
          <w:iCs/>
          <w:lang w:val="es-PR"/>
        </w:rPr>
        <w:t xml:space="preserve"> </w:t>
      </w:r>
      <w:proofErr w:type="spellStart"/>
      <w:r w:rsidRPr="00CE005E">
        <w:rPr>
          <w:rFonts w:ascii="Book Antiqua" w:eastAsia="Calibri" w:hAnsi="Book Antiqua"/>
          <w:bCs/>
          <w:i/>
          <w:iCs/>
          <w:lang w:val="es-PR"/>
        </w:rPr>
        <w:t>protection</w:t>
      </w:r>
      <w:proofErr w:type="spellEnd"/>
      <w:r w:rsidRPr="00CE005E">
        <w:rPr>
          <w:rFonts w:ascii="Book Antiqua" w:eastAsia="Calibri" w:hAnsi="Book Antiqua"/>
          <w:bCs/>
          <w:i/>
          <w:iCs/>
          <w:lang w:val="es-PR"/>
        </w:rPr>
        <w:t xml:space="preserve"> </w:t>
      </w:r>
      <w:proofErr w:type="spellStart"/>
      <w:r w:rsidRPr="00CE005E">
        <w:rPr>
          <w:rFonts w:ascii="Book Antiqua" w:eastAsia="Calibri" w:hAnsi="Book Antiqua"/>
          <w:bCs/>
          <w:i/>
          <w:iCs/>
          <w:lang w:val="es-PR"/>
        </w:rPr>
        <w:t>against</w:t>
      </w:r>
      <w:proofErr w:type="spellEnd"/>
      <w:r w:rsidRPr="00CE005E">
        <w:rPr>
          <w:rFonts w:ascii="Book Antiqua" w:eastAsia="Calibri" w:hAnsi="Book Antiqua"/>
          <w:bCs/>
          <w:i/>
          <w:iCs/>
          <w:lang w:val="es-PR"/>
        </w:rPr>
        <w:t xml:space="preserve"> </w:t>
      </w:r>
      <w:proofErr w:type="spellStart"/>
      <w:r w:rsidRPr="00CE005E">
        <w:rPr>
          <w:rFonts w:ascii="Book Antiqua" w:eastAsia="Calibri" w:hAnsi="Book Antiqua"/>
          <w:bCs/>
          <w:i/>
          <w:iCs/>
          <w:lang w:val="es-PR"/>
        </w:rPr>
        <w:t>violence</w:t>
      </w:r>
      <w:proofErr w:type="spellEnd"/>
      <w:r w:rsidRPr="00CE005E">
        <w:rPr>
          <w:rFonts w:ascii="Book Antiqua" w:eastAsia="Calibri" w:hAnsi="Book Antiqua"/>
          <w:bCs/>
          <w:i/>
          <w:iCs/>
          <w:lang w:val="es-PR"/>
        </w:rPr>
        <w:t xml:space="preserve"> and </w:t>
      </w:r>
      <w:proofErr w:type="spellStart"/>
      <w:r w:rsidRPr="00CE005E">
        <w:rPr>
          <w:rFonts w:ascii="Book Antiqua" w:eastAsia="Calibri" w:hAnsi="Book Antiqua"/>
          <w:bCs/>
          <w:i/>
          <w:iCs/>
          <w:lang w:val="es-PR"/>
        </w:rPr>
        <w:t>discrimination</w:t>
      </w:r>
      <w:proofErr w:type="spellEnd"/>
      <w:r w:rsidRPr="00CE005E">
        <w:rPr>
          <w:rFonts w:ascii="Book Antiqua" w:eastAsia="Calibri" w:hAnsi="Book Antiqua"/>
          <w:bCs/>
          <w:i/>
          <w:iCs/>
          <w:lang w:val="es-PR"/>
        </w:rPr>
        <w:t xml:space="preserve"> </w:t>
      </w:r>
      <w:proofErr w:type="spellStart"/>
      <w:r w:rsidRPr="00CE005E">
        <w:rPr>
          <w:rFonts w:ascii="Book Antiqua" w:eastAsia="Calibri" w:hAnsi="Book Antiqua"/>
          <w:bCs/>
          <w:i/>
          <w:iCs/>
          <w:lang w:val="es-PR"/>
        </w:rPr>
        <w:t>based</w:t>
      </w:r>
      <w:proofErr w:type="spellEnd"/>
      <w:r w:rsidRPr="00CE005E">
        <w:rPr>
          <w:rFonts w:ascii="Book Antiqua" w:eastAsia="Calibri" w:hAnsi="Book Antiqua"/>
          <w:bCs/>
          <w:i/>
          <w:iCs/>
          <w:lang w:val="es-PR"/>
        </w:rPr>
        <w:t xml:space="preserve"> </w:t>
      </w:r>
      <w:proofErr w:type="spellStart"/>
      <w:r w:rsidRPr="00CE005E">
        <w:rPr>
          <w:rFonts w:ascii="Book Antiqua" w:eastAsia="Calibri" w:hAnsi="Book Antiqua"/>
          <w:bCs/>
          <w:i/>
          <w:iCs/>
          <w:lang w:val="es-PR"/>
        </w:rPr>
        <w:t>on</w:t>
      </w:r>
      <w:proofErr w:type="spellEnd"/>
      <w:r w:rsidRPr="00CE005E">
        <w:rPr>
          <w:rFonts w:ascii="Book Antiqua" w:eastAsia="Calibri" w:hAnsi="Book Antiqua"/>
          <w:bCs/>
          <w:i/>
          <w:iCs/>
          <w:lang w:val="es-PR"/>
        </w:rPr>
        <w:t xml:space="preserve"> sexual </w:t>
      </w:r>
      <w:proofErr w:type="spellStart"/>
      <w:r w:rsidRPr="00CE005E">
        <w:rPr>
          <w:rFonts w:ascii="Book Antiqua" w:eastAsia="Calibri" w:hAnsi="Book Antiqua"/>
          <w:bCs/>
          <w:i/>
          <w:iCs/>
          <w:lang w:val="es-PR"/>
        </w:rPr>
        <w:t>orientation</w:t>
      </w:r>
      <w:proofErr w:type="spellEnd"/>
      <w:r w:rsidRPr="00CE005E">
        <w:rPr>
          <w:rFonts w:ascii="Book Antiqua" w:eastAsia="Calibri" w:hAnsi="Book Antiqua"/>
          <w:bCs/>
          <w:i/>
          <w:iCs/>
          <w:lang w:val="es-PR"/>
        </w:rPr>
        <w:t xml:space="preserve"> and </w:t>
      </w:r>
      <w:proofErr w:type="spellStart"/>
      <w:r w:rsidRPr="00CE005E">
        <w:rPr>
          <w:rFonts w:ascii="Book Antiqua" w:eastAsia="Calibri" w:hAnsi="Book Antiqua"/>
          <w:bCs/>
          <w:i/>
          <w:iCs/>
          <w:lang w:val="es-PR"/>
        </w:rPr>
        <w:t>gender</w:t>
      </w:r>
      <w:proofErr w:type="spellEnd"/>
      <w:r w:rsidRPr="00CE005E">
        <w:rPr>
          <w:rFonts w:ascii="Book Antiqua" w:eastAsia="Calibri" w:hAnsi="Book Antiqua"/>
          <w:bCs/>
          <w:i/>
          <w:iCs/>
          <w:lang w:val="es-PR"/>
        </w:rPr>
        <w:t xml:space="preserve"> </w:t>
      </w:r>
      <w:proofErr w:type="spellStart"/>
      <w:r w:rsidRPr="00CE005E">
        <w:rPr>
          <w:rFonts w:ascii="Book Antiqua" w:eastAsia="Calibri" w:hAnsi="Book Antiqua"/>
          <w:bCs/>
          <w:i/>
          <w:iCs/>
          <w:lang w:val="es-PR"/>
        </w:rPr>
        <w:t>identity</w:t>
      </w:r>
      <w:proofErr w:type="spellEnd"/>
      <w:r w:rsidRPr="00CE005E">
        <w:rPr>
          <w:rFonts w:ascii="Book Antiqua" w:eastAsia="Calibri" w:hAnsi="Book Antiqua"/>
          <w:bCs/>
          <w:i/>
          <w:iCs/>
          <w:lang w:val="es-PR"/>
        </w:rPr>
        <w:t xml:space="preserve">, </w:t>
      </w:r>
      <w:proofErr w:type="spellStart"/>
      <w:r w:rsidRPr="00CE005E">
        <w:rPr>
          <w:rFonts w:ascii="Book Antiqua" w:eastAsia="Calibri" w:hAnsi="Book Antiqua"/>
          <w:bCs/>
          <w:i/>
          <w:iCs/>
          <w:lang w:val="es-PR"/>
        </w:rPr>
        <w:t>Practices</w:t>
      </w:r>
      <w:proofErr w:type="spellEnd"/>
      <w:r w:rsidRPr="00CE005E">
        <w:rPr>
          <w:rFonts w:ascii="Book Antiqua" w:eastAsia="Calibri" w:hAnsi="Book Antiqua"/>
          <w:b/>
          <w:bCs/>
          <w:i/>
          <w:iCs/>
          <w:lang w:val="es-PR"/>
        </w:rPr>
        <w:t xml:space="preserve"> </w:t>
      </w:r>
      <w:r w:rsidRPr="00CE005E">
        <w:rPr>
          <w:rFonts w:ascii="Book Antiqua" w:eastAsia="Calibri" w:hAnsi="Book Antiqua"/>
          <w:bCs/>
          <w:i/>
          <w:iCs/>
          <w:lang w:val="es-PR"/>
        </w:rPr>
        <w:t>of so-</w:t>
      </w:r>
      <w:proofErr w:type="spellStart"/>
      <w:r w:rsidRPr="00CE005E">
        <w:rPr>
          <w:rFonts w:ascii="Book Antiqua" w:eastAsia="Calibri" w:hAnsi="Book Antiqua"/>
          <w:bCs/>
          <w:i/>
          <w:iCs/>
          <w:lang w:val="es-PR"/>
        </w:rPr>
        <w:t>called</w:t>
      </w:r>
      <w:proofErr w:type="spellEnd"/>
      <w:r w:rsidRPr="00CE005E">
        <w:rPr>
          <w:rFonts w:ascii="Book Antiqua" w:eastAsia="Calibri" w:hAnsi="Book Antiqua"/>
          <w:bCs/>
          <w:i/>
          <w:iCs/>
          <w:lang w:val="es-PR"/>
        </w:rPr>
        <w:t xml:space="preserve"> “</w:t>
      </w:r>
      <w:proofErr w:type="spellStart"/>
      <w:r w:rsidRPr="00CE005E">
        <w:rPr>
          <w:rFonts w:ascii="Book Antiqua" w:eastAsia="Calibri" w:hAnsi="Book Antiqua"/>
          <w:bCs/>
          <w:i/>
          <w:iCs/>
          <w:lang w:val="es-PR"/>
        </w:rPr>
        <w:t>conversion</w:t>
      </w:r>
      <w:proofErr w:type="spellEnd"/>
      <w:r w:rsidRPr="00CE005E">
        <w:rPr>
          <w:rFonts w:ascii="Book Antiqua" w:eastAsia="Calibri" w:hAnsi="Book Antiqua"/>
          <w:bCs/>
          <w:i/>
          <w:iCs/>
          <w:lang w:val="es-PR"/>
        </w:rPr>
        <w:t xml:space="preserve"> </w:t>
      </w:r>
      <w:proofErr w:type="spellStart"/>
      <w:r w:rsidRPr="00CE005E">
        <w:rPr>
          <w:rFonts w:ascii="Book Antiqua" w:eastAsia="Calibri" w:hAnsi="Book Antiqua"/>
          <w:bCs/>
          <w:i/>
          <w:iCs/>
          <w:lang w:val="es-PR"/>
        </w:rPr>
        <w:t>therapy</w:t>
      </w:r>
      <w:proofErr w:type="spellEnd"/>
      <w:r w:rsidRPr="00CE005E">
        <w:rPr>
          <w:rFonts w:ascii="Book Antiqua" w:eastAsia="Calibri" w:hAnsi="Book Antiqua"/>
          <w:bCs/>
          <w:i/>
          <w:iCs/>
          <w:lang w:val="es-PR"/>
        </w:rPr>
        <w:t>.”</w:t>
      </w:r>
      <w:r w:rsidR="00676864">
        <w:rPr>
          <w:rFonts w:ascii="Book Antiqua" w:eastAsia="Calibri" w:hAnsi="Book Antiqua"/>
          <w:bCs/>
          <w:lang w:val="es-PR"/>
        </w:rPr>
        <w:t xml:space="preserve"> </w:t>
      </w:r>
      <w:bookmarkEnd w:id="1"/>
      <w:r w:rsidR="00676864">
        <w:rPr>
          <w:rFonts w:ascii="Book Antiqua" w:eastAsia="Calibri" w:hAnsi="Book Antiqua"/>
          <w:bCs/>
          <w:lang w:val="es-PR"/>
        </w:rPr>
        <w:t>que fue publicado en el año 2020</w:t>
      </w:r>
      <w:r w:rsidR="00676864">
        <w:rPr>
          <w:rStyle w:val="FootnoteReference"/>
          <w:rFonts w:ascii="Book Antiqua" w:eastAsia="Calibri" w:hAnsi="Book Antiqua"/>
          <w:bCs/>
          <w:lang w:val="es-PR"/>
        </w:rPr>
        <w:footnoteReference w:id="4"/>
      </w:r>
      <w:r w:rsidR="00676864">
        <w:rPr>
          <w:rFonts w:ascii="Book Antiqua" w:eastAsia="Calibri" w:hAnsi="Book Antiqua"/>
          <w:bCs/>
          <w:lang w:val="es-PR"/>
        </w:rPr>
        <w:t>.</w:t>
      </w:r>
    </w:p>
    <w:p w14:paraId="6000D740" w14:textId="77777777" w:rsidR="00522023" w:rsidRPr="00CE005E" w:rsidRDefault="00522023" w:rsidP="00522023">
      <w:pPr>
        <w:ind w:firstLine="720"/>
        <w:jc w:val="both"/>
        <w:rPr>
          <w:rFonts w:ascii="Book Antiqua" w:eastAsia="Calibri" w:hAnsi="Book Antiqua"/>
          <w:bCs/>
          <w:lang w:val="es-PR"/>
        </w:rPr>
      </w:pPr>
    </w:p>
    <w:p w14:paraId="571E5635" w14:textId="7665E3AE" w:rsidR="00676864" w:rsidRDefault="003358E8" w:rsidP="00522023">
      <w:pPr>
        <w:ind w:firstLine="720"/>
        <w:jc w:val="both"/>
        <w:rPr>
          <w:rFonts w:ascii="Book Antiqua" w:hAnsi="Book Antiqua"/>
          <w:lang w:val="es-PR"/>
        </w:rPr>
      </w:pPr>
      <w:r>
        <w:rPr>
          <w:rFonts w:ascii="Book Antiqua" w:eastAsia="Calibri" w:hAnsi="Book Antiqua"/>
          <w:bCs/>
          <w:lang w:val="es-PR"/>
        </w:rPr>
        <w:t xml:space="preserve">Por otro </w:t>
      </w:r>
      <w:proofErr w:type="gramStart"/>
      <w:r>
        <w:rPr>
          <w:rFonts w:ascii="Book Antiqua" w:eastAsia="Calibri" w:hAnsi="Book Antiqua"/>
          <w:bCs/>
          <w:lang w:val="es-PR"/>
        </w:rPr>
        <w:t>lado</w:t>
      </w:r>
      <w:proofErr w:type="gramEnd"/>
      <w:r>
        <w:rPr>
          <w:rFonts w:ascii="Book Antiqua" w:eastAsia="Calibri" w:hAnsi="Book Antiqua"/>
          <w:bCs/>
          <w:lang w:val="es-PR"/>
        </w:rPr>
        <w:t xml:space="preserve"> </w:t>
      </w:r>
      <w:r w:rsidR="00782BF8" w:rsidRPr="00DF41D3">
        <w:rPr>
          <w:rFonts w:ascii="Book Antiqua" w:eastAsia="Calibri" w:hAnsi="Book Antiqua"/>
          <w:bCs/>
          <w:lang w:val="es-PR"/>
        </w:rPr>
        <w:t>e</w:t>
      </w:r>
      <w:r w:rsidR="00F64FE6" w:rsidRPr="00DF41D3">
        <w:rPr>
          <w:rFonts w:ascii="Book Antiqua" w:eastAsia="Calibri" w:hAnsi="Book Antiqua"/>
          <w:bCs/>
          <w:lang w:val="es-PR"/>
        </w:rPr>
        <w:t>l proyecto p</w:t>
      </w:r>
      <w:r w:rsidR="00264349" w:rsidRPr="00DF41D3">
        <w:rPr>
          <w:rFonts w:ascii="Book Antiqua" w:eastAsia="Calibri" w:hAnsi="Book Antiqua"/>
          <w:lang w:val="es-PR"/>
        </w:rPr>
        <w:t xml:space="preserve">reserva </w:t>
      </w:r>
      <w:r w:rsidR="00264349" w:rsidRPr="00DF41D3">
        <w:rPr>
          <w:rFonts w:ascii="Book Antiqua" w:hAnsi="Book Antiqua"/>
          <w:lang w:val="es-PR"/>
        </w:rPr>
        <w:t>la autonomía del paciente</w:t>
      </w:r>
      <w:r w:rsidR="007B39FF" w:rsidRPr="00DF41D3">
        <w:rPr>
          <w:rFonts w:ascii="Book Antiqua" w:hAnsi="Book Antiqua"/>
          <w:lang w:val="es-PR"/>
        </w:rPr>
        <w:t>,</w:t>
      </w:r>
      <w:r w:rsidR="00F64FE6" w:rsidRPr="00DF41D3">
        <w:rPr>
          <w:rFonts w:ascii="Book Antiqua" w:hAnsi="Book Antiqua"/>
          <w:lang w:val="es-PR"/>
        </w:rPr>
        <w:t xml:space="preserve"> reconociendo que</w:t>
      </w:r>
      <w:r w:rsidR="007B39FF" w:rsidRPr="00DF41D3">
        <w:rPr>
          <w:rFonts w:ascii="Book Antiqua" w:hAnsi="Book Antiqua"/>
          <w:lang w:val="es-PR"/>
        </w:rPr>
        <w:t>,</w:t>
      </w:r>
      <w:r w:rsidR="00F64FE6" w:rsidRPr="00DF41D3">
        <w:rPr>
          <w:rFonts w:ascii="Book Antiqua" w:hAnsi="Book Antiqua"/>
          <w:lang w:val="es-PR"/>
        </w:rPr>
        <w:t xml:space="preserve"> en los temas de orientación sexual e identidad de </w:t>
      </w:r>
      <w:r w:rsidR="007B39FF" w:rsidRPr="00DF41D3">
        <w:rPr>
          <w:rFonts w:ascii="Book Antiqua" w:hAnsi="Book Antiqua"/>
          <w:lang w:val="es-PR"/>
        </w:rPr>
        <w:t>género,</w:t>
      </w:r>
      <w:r w:rsidR="00F64FE6" w:rsidRPr="00DF41D3">
        <w:rPr>
          <w:rFonts w:ascii="Book Antiqua" w:hAnsi="Book Antiqua"/>
          <w:lang w:val="es-PR"/>
        </w:rPr>
        <w:t xml:space="preserve"> el profesional de la salud mental </w:t>
      </w:r>
      <w:r w:rsidR="007B39FF" w:rsidRPr="00DF41D3">
        <w:rPr>
          <w:rFonts w:ascii="Book Antiqua" w:hAnsi="Book Antiqua"/>
          <w:lang w:val="es-PR"/>
        </w:rPr>
        <w:t>no puede imponer modelos o metas que vayan en contra de l</w:t>
      </w:r>
      <w:r w:rsidR="00F37F43">
        <w:rPr>
          <w:rFonts w:ascii="Book Antiqua" w:hAnsi="Book Antiqua"/>
          <w:lang w:val="es-PR"/>
        </w:rPr>
        <w:t>a voluntad y dignidad de cualquier persona.</w:t>
      </w:r>
      <w:r w:rsidR="009C10D2">
        <w:rPr>
          <w:rFonts w:ascii="Book Antiqua" w:hAnsi="Book Antiqua"/>
          <w:lang w:val="es-PR"/>
        </w:rPr>
        <w:t xml:space="preserve"> Este </w:t>
      </w:r>
      <w:r w:rsidR="00676864">
        <w:rPr>
          <w:rFonts w:ascii="Book Antiqua" w:hAnsi="Book Antiqua"/>
          <w:lang w:val="es-PR"/>
        </w:rPr>
        <w:t xml:space="preserve">proyecto pretende seguir los lineamientos señalados por la ONU en el informe antes citado sobre las llamadas terapias de conversión, donde subraya que las prohibiciones no pueden pretender coartar la autonomía del paciente en la exploración </w:t>
      </w:r>
      <w:r w:rsidR="00AD699E">
        <w:rPr>
          <w:rFonts w:ascii="Book Antiqua" w:hAnsi="Book Antiqua"/>
          <w:lang w:val="es-PR"/>
        </w:rPr>
        <w:t>legítima</w:t>
      </w:r>
      <w:r w:rsidR="00676864">
        <w:rPr>
          <w:rFonts w:ascii="Book Antiqua" w:hAnsi="Book Antiqua"/>
          <w:lang w:val="es-PR"/>
        </w:rPr>
        <w:t xml:space="preserve"> de su identidad de orientación sexual</w:t>
      </w:r>
      <w:r w:rsidR="0072031C">
        <w:rPr>
          <w:rFonts w:ascii="Book Antiqua" w:hAnsi="Book Antiqua"/>
          <w:lang w:val="es-PR"/>
        </w:rPr>
        <w:t>:</w:t>
      </w:r>
    </w:p>
    <w:p w14:paraId="1B4E9E60" w14:textId="77777777" w:rsidR="00522023" w:rsidRDefault="00522023" w:rsidP="00522023">
      <w:pPr>
        <w:ind w:firstLine="720"/>
        <w:jc w:val="both"/>
        <w:rPr>
          <w:rFonts w:ascii="Book Antiqua" w:hAnsi="Book Antiqua"/>
          <w:lang w:val="es-PR"/>
        </w:rPr>
      </w:pPr>
    </w:p>
    <w:p w14:paraId="2D4E9E57" w14:textId="77777777" w:rsidR="003B40AC" w:rsidRDefault="003B40AC" w:rsidP="00522023">
      <w:pPr>
        <w:ind w:left="720" w:right="720"/>
        <w:jc w:val="both"/>
        <w:rPr>
          <w:rFonts w:ascii="Book Antiqua" w:hAnsi="Book Antiqua"/>
          <w:lang w:val="es-PR"/>
        </w:rPr>
      </w:pPr>
      <w:r w:rsidRPr="003B40AC">
        <w:rPr>
          <w:rFonts w:ascii="Book Antiqua" w:hAnsi="Book Antiqua"/>
          <w:lang w:val="es-PR"/>
        </w:rPr>
        <w:t xml:space="preserve">El </w:t>
      </w:r>
      <w:r w:rsidRPr="003B40AC">
        <w:rPr>
          <w:rFonts w:ascii="Book Antiqua" w:hAnsi="Book Antiqua"/>
          <w:i/>
          <w:iCs/>
          <w:lang w:val="es-PR"/>
        </w:rPr>
        <w:t>Experto Independiente</w:t>
      </w:r>
      <w:r w:rsidRPr="003B40AC">
        <w:rPr>
          <w:rFonts w:ascii="Book Antiqua" w:hAnsi="Book Antiqua"/>
          <w:lang w:val="es-PR"/>
        </w:rPr>
        <w:t xml:space="preserve"> es consciente y respetuoso de los dilemas existenciales expresados por las personas que experimentan un conflicto entre sus deseos y emociones, profundamente percibidos, y sus convicciones personales sobre lo que es una norma deseable en relación con </w:t>
      </w:r>
      <w:r w:rsidRPr="003B40AC">
        <w:rPr>
          <w:rFonts w:ascii="Book Antiqua" w:hAnsi="Book Antiqua"/>
          <w:lang w:val="es-PR"/>
        </w:rPr>
        <w:lastRenderedPageBreak/>
        <w:t xml:space="preserve">la orientación sexual y la identidad de género, y que puedan desear alinear su comportamiento y expresión a lo último. </w:t>
      </w:r>
    </w:p>
    <w:p w14:paraId="48C1225A" w14:textId="77777777" w:rsidR="00522023" w:rsidRPr="003B40AC" w:rsidRDefault="00522023" w:rsidP="00522023">
      <w:pPr>
        <w:ind w:left="720" w:right="720"/>
        <w:jc w:val="both"/>
        <w:rPr>
          <w:rFonts w:ascii="Book Antiqua" w:hAnsi="Book Antiqua"/>
          <w:lang w:val="es-PR"/>
        </w:rPr>
      </w:pPr>
    </w:p>
    <w:p w14:paraId="317A2A33" w14:textId="49E813F9" w:rsidR="0072031C" w:rsidRDefault="003B40AC" w:rsidP="00522023">
      <w:pPr>
        <w:ind w:left="720" w:right="720"/>
        <w:jc w:val="both"/>
        <w:rPr>
          <w:rFonts w:ascii="Book Antiqua" w:hAnsi="Book Antiqua"/>
          <w:lang w:val="es-PR"/>
        </w:rPr>
      </w:pPr>
      <w:r w:rsidRPr="003B40AC">
        <w:rPr>
          <w:rFonts w:ascii="Book Antiqua" w:hAnsi="Book Antiqua"/>
          <w:lang w:val="es-PR"/>
        </w:rPr>
        <w:t xml:space="preserve">La autodeterminación crea el espacio para que las personas decidan la forma en que desean identificarse; como ha afirmado constantemente El </w:t>
      </w:r>
      <w:r w:rsidRPr="003B40AC">
        <w:rPr>
          <w:rFonts w:ascii="Book Antiqua" w:hAnsi="Book Antiqua"/>
          <w:i/>
          <w:iCs/>
          <w:lang w:val="es-PR"/>
        </w:rPr>
        <w:t>Experto independiente</w:t>
      </w:r>
      <w:r w:rsidRPr="003B40AC">
        <w:rPr>
          <w:rFonts w:ascii="Book Antiqua" w:hAnsi="Book Antiqua"/>
          <w:lang w:val="es-PR"/>
        </w:rPr>
        <w:t>, los principios de libertad y autonomía contradicen directamente la idea de que una persona nace para desempeñar un determinado papel en la sociedad.</w:t>
      </w:r>
      <w:r w:rsidR="0072031C">
        <w:rPr>
          <w:rStyle w:val="FootnoteReference"/>
          <w:rFonts w:ascii="Book Antiqua" w:hAnsi="Book Antiqua"/>
          <w:lang w:val="en-US"/>
        </w:rPr>
        <w:footnoteReference w:id="5"/>
      </w:r>
      <w:r w:rsidR="0072031C" w:rsidRPr="003B40AC">
        <w:rPr>
          <w:rFonts w:ascii="Book Antiqua" w:hAnsi="Book Antiqua"/>
          <w:lang w:val="es-PR"/>
        </w:rPr>
        <w:t>.</w:t>
      </w:r>
    </w:p>
    <w:p w14:paraId="344FBDE0" w14:textId="77777777" w:rsidR="00522023" w:rsidRPr="003B40AC" w:rsidRDefault="00522023" w:rsidP="00522023">
      <w:pPr>
        <w:ind w:left="720" w:right="720"/>
        <w:jc w:val="both"/>
        <w:rPr>
          <w:rFonts w:ascii="Book Antiqua" w:hAnsi="Book Antiqua"/>
          <w:lang w:val="es-PR"/>
        </w:rPr>
      </w:pPr>
    </w:p>
    <w:p w14:paraId="125EAB08" w14:textId="525B7511" w:rsidR="0072031C" w:rsidRDefault="0072031C" w:rsidP="00522023">
      <w:pPr>
        <w:ind w:firstLine="720"/>
        <w:jc w:val="both"/>
        <w:rPr>
          <w:rFonts w:ascii="Book Antiqua" w:hAnsi="Book Antiqua"/>
          <w:lang w:val="es-PR"/>
        </w:rPr>
      </w:pPr>
      <w:r>
        <w:rPr>
          <w:rFonts w:ascii="Book Antiqua" w:hAnsi="Book Antiqua"/>
          <w:lang w:val="es-PR"/>
        </w:rPr>
        <w:t xml:space="preserve">Incluso en este informe se reconoce, que, en el marco de la autonomía del paciente, se haga </w:t>
      </w:r>
      <w:r w:rsidRPr="0072031C">
        <w:rPr>
          <w:rFonts w:ascii="Book Antiqua" w:hAnsi="Book Antiqua"/>
          <w:lang w:val="es-PR"/>
        </w:rPr>
        <w:t>uso de los recursos profesionales, religiosos y de consejería disponibles</w:t>
      </w:r>
      <w:r>
        <w:rPr>
          <w:rFonts w:ascii="Book Antiqua" w:hAnsi="Book Antiqua"/>
          <w:lang w:val="es-PR"/>
        </w:rPr>
        <w:t>:</w:t>
      </w:r>
    </w:p>
    <w:p w14:paraId="723400CE" w14:textId="77777777" w:rsidR="00522023" w:rsidRPr="0072031C" w:rsidRDefault="00522023" w:rsidP="00522023">
      <w:pPr>
        <w:ind w:firstLine="720"/>
        <w:jc w:val="both"/>
        <w:rPr>
          <w:rFonts w:ascii="Book Antiqua" w:hAnsi="Book Antiqua"/>
          <w:lang w:val="es-PR"/>
        </w:rPr>
      </w:pPr>
    </w:p>
    <w:p w14:paraId="2908E627" w14:textId="77BEC432" w:rsidR="003B40AC" w:rsidRDefault="003B40AC" w:rsidP="00522023">
      <w:pPr>
        <w:ind w:left="720" w:right="720"/>
        <w:jc w:val="both"/>
        <w:rPr>
          <w:rFonts w:ascii="Book Antiqua" w:hAnsi="Book Antiqua"/>
          <w:lang w:val="es-PR"/>
        </w:rPr>
      </w:pPr>
      <w:r w:rsidRPr="003B40AC">
        <w:rPr>
          <w:rFonts w:ascii="Book Antiqua" w:hAnsi="Book Antiqua"/>
          <w:lang w:val="es-PR"/>
        </w:rPr>
        <w:t xml:space="preserve">En los procesos de autodeterminación y al abordar los dilemas existenciales que pueden estar conectados con esos procesos, las personas pueden optar por valerse de mecanismos de apoyo y consejería, algunos de los cuales pueden basarse en enfoques psicológicos, médicos o religiosos relacionados con la exploración libre </w:t>
      </w:r>
      <w:r w:rsidR="003C5C72">
        <w:rPr>
          <w:rFonts w:ascii="Book Antiqua" w:hAnsi="Book Antiqua"/>
          <w:lang w:val="es-PR"/>
        </w:rPr>
        <w:t xml:space="preserve">para el </w:t>
      </w:r>
      <w:r w:rsidRPr="003B40AC">
        <w:rPr>
          <w:rFonts w:ascii="Book Antiqua" w:hAnsi="Book Antiqua"/>
          <w:lang w:val="es-PR"/>
        </w:rPr>
        <w:t xml:space="preserve">desarrollo y/o afirmación de la propia identidad. </w:t>
      </w:r>
    </w:p>
    <w:p w14:paraId="500FD526" w14:textId="77777777" w:rsidR="00522023" w:rsidRPr="003B40AC" w:rsidRDefault="00522023" w:rsidP="00522023">
      <w:pPr>
        <w:ind w:left="720" w:right="720"/>
        <w:jc w:val="both"/>
        <w:rPr>
          <w:rFonts w:ascii="Book Antiqua" w:hAnsi="Book Antiqua"/>
          <w:lang w:val="es-PR"/>
        </w:rPr>
      </w:pPr>
    </w:p>
    <w:p w14:paraId="7FCCDFAE" w14:textId="43D203AC" w:rsidR="0072031C" w:rsidRDefault="003B40AC" w:rsidP="00522023">
      <w:pPr>
        <w:ind w:left="720" w:right="720"/>
        <w:jc w:val="both"/>
        <w:rPr>
          <w:rFonts w:ascii="Book Antiqua" w:hAnsi="Book Antiqua"/>
          <w:lang w:val="es-PR"/>
        </w:rPr>
      </w:pPr>
      <w:r w:rsidRPr="003B40AC">
        <w:rPr>
          <w:rFonts w:ascii="Book Antiqua" w:hAnsi="Book Antiqua"/>
          <w:lang w:val="es-PR"/>
        </w:rPr>
        <w:t>Sin embargo, como se establece en el presente informe, sobre la base de la abrumadora evidencia disponible, ninguno de esos enfoques pueden afirmar la "conversión" como resultado, al igual que tampoco pueden afirmar que las distintas orientaciones sexuales o identidades de género sean una enfermedad o trastorno que requiera tratamiento</w:t>
      </w:r>
      <w:r w:rsidR="0072031C">
        <w:rPr>
          <w:rStyle w:val="FootnoteReference"/>
          <w:rFonts w:ascii="Book Antiqua" w:hAnsi="Book Antiqua"/>
          <w:lang w:val="en-US"/>
        </w:rPr>
        <w:footnoteReference w:id="6"/>
      </w:r>
      <w:r w:rsidR="0072031C" w:rsidRPr="003B40AC">
        <w:rPr>
          <w:rFonts w:ascii="Book Antiqua" w:hAnsi="Book Antiqua"/>
          <w:lang w:val="es-PR"/>
        </w:rPr>
        <w:t>.</w:t>
      </w:r>
    </w:p>
    <w:p w14:paraId="0A70E574" w14:textId="77777777" w:rsidR="00522023" w:rsidRPr="003B40AC" w:rsidRDefault="00522023" w:rsidP="00522023">
      <w:pPr>
        <w:ind w:left="720" w:right="720"/>
        <w:jc w:val="both"/>
        <w:rPr>
          <w:rFonts w:ascii="Book Antiqua" w:hAnsi="Book Antiqua"/>
          <w:lang w:val="es-PR"/>
        </w:rPr>
      </w:pPr>
    </w:p>
    <w:p w14:paraId="0C752A95" w14:textId="5F7B3F01" w:rsidR="00782BF8" w:rsidRPr="00DF41D3" w:rsidRDefault="003358E8" w:rsidP="00522023">
      <w:pPr>
        <w:ind w:firstLine="720"/>
        <w:jc w:val="both"/>
        <w:rPr>
          <w:rFonts w:ascii="Book Antiqua" w:hAnsi="Book Antiqua"/>
        </w:rPr>
      </w:pPr>
      <w:r>
        <w:rPr>
          <w:rFonts w:ascii="Book Antiqua" w:hAnsi="Book Antiqua"/>
          <w:lang w:val="es-PR"/>
        </w:rPr>
        <w:t>En el mismo sentido</w:t>
      </w:r>
      <w:r w:rsidR="0016779F">
        <w:rPr>
          <w:rFonts w:ascii="Book Antiqua" w:hAnsi="Book Antiqua"/>
          <w:lang w:val="es-PR"/>
        </w:rPr>
        <w:t xml:space="preserve"> </w:t>
      </w:r>
      <w:r w:rsidR="007B39FF" w:rsidRPr="00DF41D3">
        <w:rPr>
          <w:rFonts w:ascii="Book Antiqua" w:hAnsi="Book Antiqua"/>
          <w:lang w:val="es-PR"/>
        </w:rPr>
        <w:t>la APA</w:t>
      </w:r>
      <w:r w:rsidR="00D05EC8" w:rsidRPr="00DF41D3">
        <w:rPr>
          <w:rFonts w:ascii="Book Antiqua" w:hAnsi="Book Antiqua"/>
          <w:lang w:val="es-PR"/>
        </w:rPr>
        <w:t>,</w:t>
      </w:r>
      <w:r w:rsidR="007B39FF" w:rsidRPr="00DF41D3">
        <w:rPr>
          <w:rFonts w:ascii="Book Antiqua" w:hAnsi="Book Antiqua"/>
          <w:lang w:val="es-PR"/>
        </w:rPr>
        <w:t xml:space="preserve"> </w:t>
      </w:r>
      <w:r w:rsidR="00AB2419" w:rsidRPr="00DF41D3">
        <w:rPr>
          <w:rFonts w:ascii="Book Antiqua" w:hAnsi="Book Antiqua"/>
          <w:lang w:val="es-PR"/>
        </w:rPr>
        <w:t>recordaba a los psicólogos</w:t>
      </w:r>
      <w:r w:rsidR="00D05EC8" w:rsidRPr="00DF41D3">
        <w:rPr>
          <w:rFonts w:ascii="Book Antiqua" w:hAnsi="Book Antiqua"/>
          <w:lang w:val="es-PR"/>
        </w:rPr>
        <w:t>,</w:t>
      </w:r>
      <w:r w:rsidR="00AB2419" w:rsidRPr="00DF41D3">
        <w:rPr>
          <w:rFonts w:ascii="Book Antiqua" w:hAnsi="Book Antiqua"/>
          <w:lang w:val="es-PR"/>
        </w:rPr>
        <w:t xml:space="preserve"> que al momento de formular las metas de las terapias debían tomar en consideración los modos diversos como los clientes define</w:t>
      </w:r>
      <w:r w:rsidR="00D05EC8" w:rsidRPr="00DF41D3">
        <w:rPr>
          <w:rFonts w:ascii="Book Antiqua" w:hAnsi="Book Antiqua"/>
          <w:lang w:val="es-PR"/>
        </w:rPr>
        <w:t>n</w:t>
      </w:r>
      <w:r w:rsidR="00AB2419" w:rsidRPr="00DF41D3">
        <w:rPr>
          <w:rFonts w:ascii="Book Antiqua" w:hAnsi="Book Antiqua"/>
          <w:lang w:val="es-PR"/>
        </w:rPr>
        <w:t xml:space="preserve"> y expresa</w:t>
      </w:r>
      <w:r w:rsidR="00D05EC8" w:rsidRPr="00DF41D3">
        <w:rPr>
          <w:rFonts w:ascii="Book Antiqua" w:hAnsi="Book Antiqua"/>
          <w:lang w:val="es-PR"/>
        </w:rPr>
        <w:t>n</w:t>
      </w:r>
      <w:r w:rsidR="00AB2419" w:rsidRPr="00DF41D3">
        <w:rPr>
          <w:rFonts w:ascii="Book Antiqua" w:hAnsi="Book Antiqua"/>
          <w:lang w:val="es-PR"/>
        </w:rPr>
        <w:t xml:space="preserve"> su identidad de orientación sexual: </w:t>
      </w:r>
      <w:r w:rsidR="00782BF8" w:rsidRPr="00DF41D3">
        <w:rPr>
          <w:rFonts w:ascii="Book Antiqua" w:hAnsi="Book Antiqua"/>
          <w:lang w:val="es-PR"/>
        </w:rPr>
        <w:t xml:space="preserve"> </w:t>
      </w:r>
    </w:p>
    <w:p w14:paraId="1D4AFD8D" w14:textId="451D6EEF" w:rsidR="003C5C72" w:rsidRDefault="003C5C72" w:rsidP="00522023">
      <w:pPr>
        <w:ind w:left="720" w:right="720"/>
        <w:jc w:val="both"/>
        <w:rPr>
          <w:rFonts w:ascii="Book Antiqua" w:hAnsi="Book Antiqua"/>
          <w:lang w:val="es-PR"/>
        </w:rPr>
      </w:pPr>
      <w:bookmarkStart w:id="4" w:name="_Hlk68760398"/>
      <w:r w:rsidRPr="003C5C72">
        <w:rPr>
          <w:rFonts w:ascii="Book Antiqua" w:hAnsi="Book Antiqua"/>
          <w:lang w:val="es-PR"/>
        </w:rPr>
        <w:lastRenderedPageBreak/>
        <w:t xml:space="preserve">En términos de formular los objetivos del tratamiento, proponemos que, </w:t>
      </w:r>
      <w:r>
        <w:rPr>
          <w:rFonts w:ascii="Book Antiqua" w:hAnsi="Book Antiqua"/>
          <w:lang w:val="es-PR"/>
        </w:rPr>
        <w:t xml:space="preserve">basados en investigaciones </w:t>
      </w:r>
      <w:r w:rsidRPr="003C5C72">
        <w:rPr>
          <w:rFonts w:ascii="Book Antiqua" w:hAnsi="Book Antiqua"/>
          <w:lang w:val="es-PR"/>
        </w:rPr>
        <w:t xml:space="preserve">sobre la orientación sexual y la identidad de orientación sexual, lo que parece cambiar y evolucionar en la vida de algunas personas es la identidad de orientación sexual, no la orientación sexual. Dado que existe diversidad en la forma en que los individuos definen y expresan su identidad de orientación sexual, un enfoque afirmativo apoya el desarrollo de la identidad de los clientes sin un objetivo de tratamiento </w:t>
      </w:r>
      <w:r w:rsidRPr="003C5C72">
        <w:rPr>
          <w:rFonts w:ascii="Book Antiqua" w:hAnsi="Book Antiqua"/>
          <w:i/>
          <w:iCs/>
          <w:lang w:val="es-PR"/>
        </w:rPr>
        <w:t>a priori</w:t>
      </w:r>
      <w:r w:rsidRPr="003C5C72">
        <w:rPr>
          <w:rFonts w:ascii="Book Antiqua" w:hAnsi="Book Antiqua"/>
          <w:lang w:val="es-PR"/>
        </w:rPr>
        <w:t xml:space="preserve"> sobre cómo los clientes identifican</w:t>
      </w:r>
      <w:r w:rsidR="00F37F43">
        <w:rPr>
          <w:rFonts w:ascii="Book Antiqua" w:hAnsi="Book Antiqua"/>
          <w:lang w:val="es-PR"/>
        </w:rPr>
        <w:t xml:space="preserve"> o viven su orientación sexual</w:t>
      </w:r>
      <w:r>
        <w:rPr>
          <w:rStyle w:val="FootnoteReference"/>
          <w:rFonts w:ascii="Book Antiqua" w:hAnsi="Book Antiqua"/>
          <w:lang w:val="es-PR"/>
        </w:rPr>
        <w:footnoteReference w:id="7"/>
      </w:r>
      <w:r w:rsidRPr="003C5C72">
        <w:rPr>
          <w:rFonts w:ascii="Book Antiqua" w:hAnsi="Book Antiqua"/>
          <w:lang w:val="es-PR"/>
        </w:rPr>
        <w:t>.</w:t>
      </w:r>
      <w:bookmarkEnd w:id="4"/>
    </w:p>
    <w:p w14:paraId="730FDA1D" w14:textId="77777777" w:rsidR="00522023" w:rsidRPr="003C5C72" w:rsidRDefault="00522023" w:rsidP="00522023">
      <w:pPr>
        <w:ind w:left="720" w:right="720"/>
        <w:jc w:val="both"/>
        <w:rPr>
          <w:rFonts w:ascii="Book Antiqua" w:hAnsi="Book Antiqua"/>
          <w:lang w:val="es-PR"/>
        </w:rPr>
      </w:pPr>
    </w:p>
    <w:p w14:paraId="17021778" w14:textId="2E02C4A0" w:rsidR="00264349" w:rsidRDefault="00264349" w:rsidP="00522023">
      <w:pPr>
        <w:ind w:firstLine="720"/>
        <w:jc w:val="both"/>
        <w:rPr>
          <w:rFonts w:ascii="Book Antiqua" w:eastAsia="Calibri" w:hAnsi="Book Antiqua"/>
          <w:bCs/>
        </w:rPr>
      </w:pPr>
      <w:r w:rsidRPr="00DF41D3">
        <w:rPr>
          <w:rFonts w:ascii="Book Antiqua" w:eastAsia="Calibri" w:hAnsi="Book Antiqua"/>
          <w:bCs/>
          <w:lang w:val="es-PR"/>
        </w:rPr>
        <w:t xml:space="preserve">De hecho, los </w:t>
      </w:r>
      <w:r w:rsidRPr="00DF41D3">
        <w:rPr>
          <w:rFonts w:ascii="Book Antiqua" w:eastAsia="Calibri" w:hAnsi="Book Antiqua"/>
          <w:bCs/>
        </w:rPr>
        <w:t xml:space="preserve">Códigos de Ética de las profesiones </w:t>
      </w:r>
      <w:r w:rsidR="00F64FE6" w:rsidRPr="00DF41D3">
        <w:rPr>
          <w:rFonts w:ascii="Book Antiqua" w:eastAsia="Calibri" w:hAnsi="Book Antiqua"/>
          <w:bCs/>
        </w:rPr>
        <w:t xml:space="preserve">de la salud mental </w:t>
      </w:r>
      <w:r w:rsidRPr="00DF41D3">
        <w:rPr>
          <w:rFonts w:ascii="Book Antiqua" w:eastAsia="Calibri" w:hAnsi="Book Antiqua"/>
          <w:bCs/>
        </w:rPr>
        <w:t xml:space="preserve">defienden el principio de autonomía o libre determinación del cliente/paciente. Entre ellos encontramos el </w:t>
      </w:r>
      <w:r w:rsidRPr="00DF41D3">
        <w:rPr>
          <w:rFonts w:ascii="Book Antiqua" w:eastAsia="Calibri" w:hAnsi="Book Antiqua"/>
          <w:bCs/>
          <w:i/>
        </w:rPr>
        <w:t>Código de Ética de la Junta Examinadora de Psicólogos de Puerto Rico</w:t>
      </w:r>
      <w:r w:rsidRPr="00DF41D3">
        <w:rPr>
          <w:rFonts w:ascii="Book Antiqua" w:eastAsia="Calibri" w:hAnsi="Book Antiqua"/>
          <w:bCs/>
        </w:rPr>
        <w:t>:</w:t>
      </w:r>
    </w:p>
    <w:p w14:paraId="422F8126" w14:textId="77777777" w:rsidR="00522023" w:rsidRPr="00DF41D3" w:rsidRDefault="00522023" w:rsidP="00522023">
      <w:pPr>
        <w:ind w:firstLine="720"/>
        <w:jc w:val="both"/>
        <w:rPr>
          <w:rFonts w:ascii="Book Antiqua" w:eastAsia="Calibri" w:hAnsi="Book Antiqua"/>
          <w:bCs/>
        </w:rPr>
      </w:pPr>
    </w:p>
    <w:p w14:paraId="464B0C8B" w14:textId="77777777" w:rsidR="00264349" w:rsidRDefault="00264349" w:rsidP="00522023">
      <w:pPr>
        <w:ind w:firstLine="720"/>
        <w:jc w:val="both"/>
        <w:rPr>
          <w:rFonts w:ascii="Book Antiqua" w:eastAsia="Calibri" w:hAnsi="Book Antiqua"/>
          <w:b/>
          <w:bCs/>
        </w:rPr>
      </w:pPr>
      <w:r w:rsidRPr="00DF41D3">
        <w:rPr>
          <w:rFonts w:ascii="Book Antiqua" w:eastAsia="Calibri" w:hAnsi="Book Antiqua"/>
          <w:b/>
          <w:bCs/>
        </w:rPr>
        <w:t>“Los psicólogos y psicólogas reconocen el derecho del cliente, paciente, participante y persona que recibe servicios a mantener sus propias normas morales y por lo tanto respetan su libertad e individualidad, sin tratar de imponer las suyas sobre éstos.” (JEPPR, 2002, p. 12)</w:t>
      </w:r>
    </w:p>
    <w:p w14:paraId="337A56F6" w14:textId="77777777" w:rsidR="00522023" w:rsidRPr="00DF41D3" w:rsidRDefault="00522023" w:rsidP="00522023">
      <w:pPr>
        <w:ind w:firstLine="720"/>
        <w:jc w:val="both"/>
        <w:rPr>
          <w:rFonts w:ascii="Book Antiqua" w:eastAsia="Calibri" w:hAnsi="Book Antiqua"/>
          <w:b/>
          <w:bCs/>
        </w:rPr>
      </w:pPr>
    </w:p>
    <w:p w14:paraId="482D01F1" w14:textId="77777777" w:rsidR="00264349" w:rsidRDefault="00264349" w:rsidP="00522023">
      <w:pPr>
        <w:ind w:firstLine="720"/>
        <w:jc w:val="both"/>
        <w:rPr>
          <w:rFonts w:ascii="Book Antiqua" w:eastAsia="Calibri" w:hAnsi="Book Antiqua"/>
          <w:bCs/>
        </w:rPr>
      </w:pPr>
      <w:r w:rsidRPr="00DF41D3">
        <w:rPr>
          <w:rFonts w:ascii="Book Antiqua" w:eastAsia="Calibri" w:hAnsi="Book Antiqua"/>
          <w:bCs/>
        </w:rPr>
        <w:t xml:space="preserve">También de la misma manera se expresa el </w:t>
      </w:r>
      <w:r w:rsidRPr="00DF41D3">
        <w:rPr>
          <w:rFonts w:ascii="Book Antiqua" w:eastAsia="Calibri" w:hAnsi="Book Antiqua"/>
          <w:bCs/>
          <w:i/>
        </w:rPr>
        <w:t>Código de Ética de la Asociación Americana de Psicología</w:t>
      </w:r>
      <w:r w:rsidRPr="00DF41D3">
        <w:rPr>
          <w:rFonts w:ascii="Book Antiqua" w:eastAsia="Calibri" w:hAnsi="Book Antiqua"/>
          <w:bCs/>
        </w:rPr>
        <w:t>:</w:t>
      </w:r>
    </w:p>
    <w:p w14:paraId="7766F222" w14:textId="77777777" w:rsidR="00522023" w:rsidRPr="00DF41D3" w:rsidRDefault="00522023" w:rsidP="00522023">
      <w:pPr>
        <w:ind w:firstLine="720"/>
        <w:jc w:val="both"/>
        <w:rPr>
          <w:rFonts w:ascii="Book Antiqua" w:eastAsia="Calibri" w:hAnsi="Book Antiqua"/>
          <w:bCs/>
        </w:rPr>
      </w:pPr>
    </w:p>
    <w:p w14:paraId="01B06567" w14:textId="77777777" w:rsidR="00264349" w:rsidRDefault="00264349" w:rsidP="00522023">
      <w:pPr>
        <w:ind w:firstLine="720"/>
        <w:jc w:val="both"/>
        <w:rPr>
          <w:rFonts w:ascii="Book Antiqua" w:eastAsia="Calibri" w:hAnsi="Book Antiqua"/>
          <w:b/>
          <w:bCs/>
          <w:lang w:val="en-US"/>
        </w:rPr>
      </w:pPr>
      <w:r w:rsidRPr="00DF41D3">
        <w:rPr>
          <w:rFonts w:ascii="Book Antiqua" w:eastAsia="Calibri" w:hAnsi="Book Antiqua"/>
          <w:b/>
          <w:bCs/>
          <w:lang w:val="en-US"/>
        </w:rPr>
        <w:t>“Psychologists respect the dignity and worth of all people, and the rights of individuals to privacy, confidentiality, and self-determination” (APA Code of Ethics, 2017. p.4)</w:t>
      </w:r>
    </w:p>
    <w:p w14:paraId="65E13D72" w14:textId="77777777" w:rsidR="00522023" w:rsidRPr="00DF41D3" w:rsidRDefault="00522023" w:rsidP="00522023">
      <w:pPr>
        <w:ind w:firstLine="720"/>
        <w:jc w:val="both"/>
        <w:rPr>
          <w:rFonts w:ascii="Book Antiqua" w:eastAsia="Calibri" w:hAnsi="Book Antiqua"/>
          <w:b/>
          <w:bCs/>
          <w:lang w:val="en-US"/>
        </w:rPr>
      </w:pPr>
    </w:p>
    <w:p w14:paraId="672ED4A4" w14:textId="77777777" w:rsidR="00264349" w:rsidRDefault="00264349" w:rsidP="00522023">
      <w:pPr>
        <w:ind w:firstLine="720"/>
        <w:jc w:val="both"/>
        <w:rPr>
          <w:rFonts w:ascii="Book Antiqua" w:eastAsia="Calibri" w:hAnsi="Book Antiqua"/>
          <w:bCs/>
        </w:rPr>
      </w:pPr>
      <w:r w:rsidRPr="00DF41D3">
        <w:rPr>
          <w:rFonts w:ascii="Book Antiqua" w:eastAsia="Calibri" w:hAnsi="Book Antiqua"/>
          <w:bCs/>
        </w:rPr>
        <w:t>Por último, el Código de Ética de los Trabajadores Sociales de Puerto Rico:</w:t>
      </w:r>
    </w:p>
    <w:p w14:paraId="0CFF30FC" w14:textId="77777777" w:rsidR="00522023" w:rsidRPr="00DF41D3" w:rsidRDefault="00522023" w:rsidP="00522023">
      <w:pPr>
        <w:ind w:firstLine="720"/>
        <w:jc w:val="both"/>
        <w:rPr>
          <w:rFonts w:ascii="Book Antiqua" w:eastAsia="Calibri" w:hAnsi="Book Antiqua"/>
          <w:bCs/>
        </w:rPr>
      </w:pPr>
    </w:p>
    <w:p w14:paraId="0AA08893" w14:textId="77777777" w:rsidR="00264349" w:rsidRDefault="00264349" w:rsidP="00522023">
      <w:pPr>
        <w:ind w:firstLine="720"/>
        <w:jc w:val="both"/>
        <w:rPr>
          <w:rFonts w:ascii="Book Antiqua" w:eastAsia="Calibri" w:hAnsi="Book Antiqua"/>
          <w:b/>
          <w:bCs/>
        </w:rPr>
      </w:pPr>
      <w:r w:rsidRPr="00DF41D3">
        <w:rPr>
          <w:rFonts w:ascii="Book Antiqua" w:eastAsia="Calibri" w:hAnsi="Book Antiqua"/>
          <w:b/>
          <w:bCs/>
        </w:rPr>
        <w:t>“Respetará el derecho de su participante a la autodeterminación.”  (Colegio de Profesionales del Trabajo Social de Puerto Rico, 2011, p.25)</w:t>
      </w:r>
    </w:p>
    <w:p w14:paraId="3506DC9C" w14:textId="77777777" w:rsidR="00522023" w:rsidRPr="00DF41D3" w:rsidRDefault="00522023" w:rsidP="00522023">
      <w:pPr>
        <w:ind w:firstLine="720"/>
        <w:jc w:val="both"/>
        <w:rPr>
          <w:rFonts w:ascii="Book Antiqua" w:eastAsia="Calibri" w:hAnsi="Book Antiqua"/>
          <w:b/>
          <w:bCs/>
        </w:rPr>
      </w:pPr>
    </w:p>
    <w:p w14:paraId="28AEB9D1" w14:textId="47753381" w:rsidR="00E7240F" w:rsidRDefault="00D05EC8" w:rsidP="00522023">
      <w:pPr>
        <w:ind w:firstLine="720"/>
        <w:jc w:val="both"/>
        <w:rPr>
          <w:rFonts w:ascii="Book Antiqua" w:eastAsia="Calibri" w:hAnsi="Book Antiqua"/>
          <w:bCs/>
          <w:lang w:val="es-PR"/>
        </w:rPr>
      </w:pPr>
      <w:r w:rsidRPr="00DF41D3">
        <w:rPr>
          <w:rFonts w:ascii="Book Antiqua" w:eastAsia="Calibri" w:hAnsi="Book Antiqua"/>
          <w:bCs/>
          <w:lang w:val="es-PR"/>
        </w:rPr>
        <w:t xml:space="preserve">Por otro lado, </w:t>
      </w:r>
      <w:r w:rsidR="00841B77" w:rsidRPr="00DF41D3">
        <w:rPr>
          <w:rFonts w:ascii="Book Antiqua" w:eastAsia="Calibri" w:hAnsi="Book Antiqua"/>
          <w:bCs/>
          <w:lang w:val="es-PR"/>
        </w:rPr>
        <w:t>este proyecto responde a las inquietudes de sectores creyentes que han manifestado preocupación sobre el alcance que puedan tener las prohibiciones de las llamadas “terapias de conversión” en el ejercicio de la libertad religiosa.</w:t>
      </w:r>
      <w:r w:rsidR="00E7240F" w:rsidRPr="00DF41D3">
        <w:rPr>
          <w:rFonts w:ascii="Book Antiqua" w:eastAsia="Calibri" w:hAnsi="Book Antiqua"/>
          <w:bCs/>
          <w:lang w:val="es-PR"/>
        </w:rPr>
        <w:t xml:space="preserve"> </w:t>
      </w:r>
      <w:r w:rsidR="00841B77" w:rsidRPr="00DF41D3">
        <w:rPr>
          <w:rFonts w:ascii="Book Antiqua" w:eastAsia="Calibri" w:hAnsi="Book Antiqua"/>
          <w:bCs/>
          <w:lang w:val="es-PR"/>
        </w:rPr>
        <w:t xml:space="preserve">Nuestro proyecto deja claro que </w:t>
      </w:r>
      <w:r w:rsidR="00C27864" w:rsidRPr="00DF41D3">
        <w:rPr>
          <w:rFonts w:ascii="Book Antiqua" w:eastAsia="Calibri" w:hAnsi="Book Antiqua"/>
          <w:bCs/>
          <w:lang w:val="es-PR"/>
        </w:rPr>
        <w:t>la aplicabilidad de estas prohibiciones de las terapias de conversión está</w:t>
      </w:r>
      <w:r w:rsidR="00841B77" w:rsidRPr="00DF41D3">
        <w:rPr>
          <w:rFonts w:ascii="Book Antiqua" w:eastAsia="Calibri" w:hAnsi="Book Antiqua"/>
          <w:bCs/>
          <w:lang w:val="es-PR"/>
        </w:rPr>
        <w:t xml:space="preserve"> </w:t>
      </w:r>
      <w:r w:rsidR="00841B77" w:rsidRPr="00DF41D3">
        <w:rPr>
          <w:rFonts w:ascii="Book Antiqua" w:eastAsia="Calibri" w:hAnsi="Book Antiqua"/>
          <w:bCs/>
          <w:lang w:val="es-PR"/>
        </w:rPr>
        <w:lastRenderedPageBreak/>
        <w:t>circunscrita a los profesionales de la salud mental por lo que las iglesias, consejeros espirituales, sacerdotes y pastores</w:t>
      </w:r>
      <w:r w:rsidR="00C27864" w:rsidRPr="00DF41D3">
        <w:rPr>
          <w:rFonts w:ascii="Book Antiqua" w:eastAsia="Calibri" w:hAnsi="Book Antiqua"/>
          <w:bCs/>
          <w:lang w:val="es-PR"/>
        </w:rPr>
        <w:t>,</w:t>
      </w:r>
      <w:r w:rsidR="00841B77" w:rsidRPr="00DF41D3">
        <w:rPr>
          <w:rFonts w:ascii="Book Antiqua" w:eastAsia="Calibri" w:hAnsi="Book Antiqua"/>
          <w:bCs/>
          <w:lang w:val="es-PR"/>
        </w:rPr>
        <w:t xml:space="preserve"> cuando ejercen </w:t>
      </w:r>
      <w:r w:rsidR="00C27864" w:rsidRPr="00DF41D3">
        <w:rPr>
          <w:rFonts w:ascii="Book Antiqua" w:eastAsia="Calibri" w:hAnsi="Book Antiqua"/>
          <w:bCs/>
          <w:lang w:val="es-PR"/>
        </w:rPr>
        <w:t>su responsabilidad pastoral, están exentos de esta ley</w:t>
      </w:r>
      <w:r w:rsidR="00F37F43">
        <w:rPr>
          <w:rFonts w:ascii="Book Antiqua" w:eastAsia="Calibri" w:hAnsi="Book Antiqua"/>
          <w:bCs/>
          <w:lang w:val="es-PR"/>
        </w:rPr>
        <w:t xml:space="preserve"> siempre y cuando no incurran en una actividad de maltrato o que viole la dignidad de una persona.</w:t>
      </w:r>
    </w:p>
    <w:p w14:paraId="634A14D3" w14:textId="77777777" w:rsidR="00522023" w:rsidRPr="00DF41D3" w:rsidRDefault="00522023" w:rsidP="00522023">
      <w:pPr>
        <w:ind w:firstLine="720"/>
        <w:jc w:val="both"/>
        <w:rPr>
          <w:rFonts w:ascii="Book Antiqua" w:eastAsia="Calibri" w:hAnsi="Book Antiqua"/>
          <w:bCs/>
          <w:lang w:val="es-PR"/>
        </w:rPr>
      </w:pPr>
    </w:p>
    <w:p w14:paraId="45BC13DF" w14:textId="79A9E3C2" w:rsidR="001A1CE5" w:rsidRDefault="00F37F43" w:rsidP="00522023">
      <w:pPr>
        <w:ind w:firstLine="720"/>
        <w:jc w:val="both"/>
        <w:rPr>
          <w:rFonts w:ascii="Book Antiqua" w:eastAsia="Calibri" w:hAnsi="Book Antiqua"/>
          <w:bCs/>
        </w:rPr>
      </w:pPr>
      <w:r>
        <w:rPr>
          <w:rFonts w:ascii="Book Antiqua" w:eastAsia="Calibri" w:hAnsi="Book Antiqua"/>
          <w:bCs/>
        </w:rPr>
        <w:t>Hasta el momento de la radicación de este proyecto, e</w:t>
      </w:r>
      <w:r w:rsidR="001A1CE5" w:rsidRPr="00DF41D3">
        <w:rPr>
          <w:rFonts w:ascii="Book Antiqua" w:eastAsia="Calibri" w:hAnsi="Book Antiqua"/>
          <w:bCs/>
        </w:rPr>
        <w:t xml:space="preserve">s importante insistir que no existe evidencia que las </w:t>
      </w:r>
      <w:r w:rsidR="001A1CE5" w:rsidRPr="001A1CE5">
        <w:rPr>
          <w:rFonts w:ascii="Book Antiqua" w:eastAsia="Calibri" w:hAnsi="Book Antiqua"/>
          <w:bCs/>
        </w:rPr>
        <w:t xml:space="preserve">Iglesias </w:t>
      </w:r>
      <w:r w:rsidR="001A1CE5" w:rsidRPr="00DF41D3">
        <w:rPr>
          <w:rFonts w:ascii="Book Antiqua" w:eastAsia="Calibri" w:hAnsi="Book Antiqua"/>
          <w:bCs/>
        </w:rPr>
        <w:t xml:space="preserve">o sus </w:t>
      </w:r>
      <w:r w:rsidR="001A1CE5" w:rsidRPr="001A1CE5">
        <w:rPr>
          <w:rFonts w:ascii="Book Antiqua" w:eastAsia="Calibri" w:hAnsi="Book Antiqua"/>
          <w:bCs/>
        </w:rPr>
        <w:t xml:space="preserve">instituciones, </w:t>
      </w:r>
      <w:r w:rsidR="001A1CE5" w:rsidRPr="00DF41D3">
        <w:rPr>
          <w:rFonts w:ascii="Book Antiqua" w:eastAsia="Calibri" w:hAnsi="Book Antiqua"/>
          <w:bCs/>
        </w:rPr>
        <w:t xml:space="preserve">hayan incurrido </w:t>
      </w:r>
      <w:r w:rsidR="001A1CE5" w:rsidRPr="001A1CE5">
        <w:rPr>
          <w:rFonts w:ascii="Book Antiqua" w:eastAsia="Calibri" w:hAnsi="Book Antiqua"/>
          <w:bCs/>
        </w:rPr>
        <w:t xml:space="preserve">en ningún tipo de tratamiento de descargas eléctricas, incluyendo las terapias </w:t>
      </w:r>
      <w:proofErr w:type="spellStart"/>
      <w:r w:rsidR="001A1CE5" w:rsidRPr="001A1CE5">
        <w:rPr>
          <w:rFonts w:ascii="Book Antiqua" w:eastAsia="Calibri" w:hAnsi="Book Antiqua"/>
          <w:bCs/>
        </w:rPr>
        <w:t>electroconvulsivas</w:t>
      </w:r>
      <w:proofErr w:type="spellEnd"/>
      <w:r w:rsidR="001A1CE5" w:rsidRPr="001A1CE5">
        <w:rPr>
          <w:rFonts w:ascii="Book Antiqua" w:eastAsia="Calibri" w:hAnsi="Book Antiqua"/>
          <w:bCs/>
        </w:rPr>
        <w:t xml:space="preserve"> o la estimulación magnética </w:t>
      </w:r>
      <w:proofErr w:type="spellStart"/>
      <w:r w:rsidR="001A1CE5" w:rsidRPr="001A1CE5">
        <w:rPr>
          <w:rFonts w:ascii="Book Antiqua" w:eastAsia="Calibri" w:hAnsi="Book Antiqua"/>
          <w:bCs/>
        </w:rPr>
        <w:t>transcraneal</w:t>
      </w:r>
      <w:proofErr w:type="spellEnd"/>
      <w:r w:rsidR="001A1CE5" w:rsidRPr="001A1CE5">
        <w:rPr>
          <w:rFonts w:ascii="Book Antiqua" w:eastAsia="Calibri" w:hAnsi="Book Antiqua"/>
          <w:bCs/>
        </w:rPr>
        <w:t xml:space="preserve"> con miras a lograr un cambio en la orientación sexual de sus feligreses.</w:t>
      </w:r>
      <w:r w:rsidR="001A1CE5" w:rsidRPr="00DF41D3">
        <w:rPr>
          <w:rFonts w:ascii="Book Antiqua" w:eastAsia="Calibri" w:hAnsi="Book Antiqua"/>
          <w:bCs/>
        </w:rPr>
        <w:t xml:space="preserve"> Por lo tanto, se reconoce que las iglesias e instituciones eclesiales, ha</w:t>
      </w:r>
      <w:r w:rsidR="006D4822" w:rsidRPr="00DF41D3">
        <w:rPr>
          <w:rFonts w:ascii="Book Antiqua" w:eastAsia="Calibri" w:hAnsi="Book Antiqua"/>
          <w:bCs/>
        </w:rPr>
        <w:t>n</w:t>
      </w:r>
      <w:r w:rsidR="001A1CE5" w:rsidRPr="001A1CE5">
        <w:rPr>
          <w:rFonts w:ascii="Book Antiqua" w:eastAsia="Calibri" w:hAnsi="Book Antiqua"/>
          <w:bCs/>
        </w:rPr>
        <w:t xml:space="preserve"> enmarcado </w:t>
      </w:r>
      <w:r w:rsidR="001A1CE5" w:rsidRPr="00DF41D3">
        <w:rPr>
          <w:rFonts w:ascii="Book Antiqua" w:eastAsia="Calibri" w:hAnsi="Book Antiqua"/>
          <w:bCs/>
        </w:rPr>
        <w:t xml:space="preserve">el tema de las orientaciones sexuales e identidad de género dentro del ámbito de la pastoral y consejería </w:t>
      </w:r>
      <w:r>
        <w:rPr>
          <w:rFonts w:ascii="Book Antiqua" w:eastAsia="Calibri" w:hAnsi="Book Antiqua"/>
          <w:bCs/>
        </w:rPr>
        <w:t>espiritual.</w:t>
      </w:r>
    </w:p>
    <w:p w14:paraId="3CCBB972" w14:textId="77777777" w:rsidR="00522023" w:rsidRPr="001A1CE5" w:rsidRDefault="00522023" w:rsidP="00522023">
      <w:pPr>
        <w:ind w:firstLine="720"/>
        <w:jc w:val="both"/>
        <w:rPr>
          <w:rFonts w:ascii="Book Antiqua" w:eastAsia="Calibri" w:hAnsi="Book Antiqua"/>
          <w:bCs/>
        </w:rPr>
      </w:pPr>
    </w:p>
    <w:p w14:paraId="7A7EC1EA" w14:textId="2129BCA7" w:rsidR="006D4822" w:rsidRDefault="00C27864" w:rsidP="00522023">
      <w:pPr>
        <w:ind w:firstLine="720"/>
        <w:jc w:val="both"/>
        <w:rPr>
          <w:rFonts w:ascii="Book Antiqua" w:eastAsia="Calibri" w:hAnsi="Book Antiqua"/>
          <w:bCs/>
          <w:lang w:val="es-PR"/>
        </w:rPr>
      </w:pPr>
      <w:r w:rsidRPr="00DF41D3">
        <w:rPr>
          <w:rFonts w:ascii="Book Antiqua" w:eastAsia="Calibri" w:hAnsi="Book Antiqua"/>
          <w:bCs/>
          <w:lang w:val="es-PR"/>
        </w:rPr>
        <w:t xml:space="preserve">Sobre la relación entre la experiencia religiosa y los profesionales de la salud mental sobre este tema de la prohibición de </w:t>
      </w:r>
      <w:r w:rsidR="001A1CE5" w:rsidRPr="00DF41D3">
        <w:rPr>
          <w:rFonts w:ascii="Book Antiqua" w:eastAsia="Calibri" w:hAnsi="Book Antiqua"/>
          <w:bCs/>
          <w:lang w:val="es-PR"/>
        </w:rPr>
        <w:t>las terapias</w:t>
      </w:r>
      <w:r w:rsidRPr="00DF41D3">
        <w:rPr>
          <w:rFonts w:ascii="Book Antiqua" w:eastAsia="Calibri" w:hAnsi="Book Antiqua"/>
          <w:bCs/>
          <w:lang w:val="es-PR"/>
        </w:rPr>
        <w:t xml:space="preserve"> de conversión </w:t>
      </w:r>
      <w:r w:rsidR="00A17FE3" w:rsidRPr="00DF41D3">
        <w:rPr>
          <w:rFonts w:ascii="Book Antiqua" w:eastAsia="Calibri" w:hAnsi="Book Antiqua"/>
          <w:bCs/>
          <w:lang w:val="es-PR"/>
        </w:rPr>
        <w:t>la</w:t>
      </w:r>
      <w:r w:rsidR="00B46B11" w:rsidRPr="00DF41D3">
        <w:rPr>
          <w:rFonts w:ascii="Book Antiqua" w:eastAsia="Calibri" w:hAnsi="Book Antiqua"/>
          <w:bCs/>
          <w:lang w:val="es-PR"/>
        </w:rPr>
        <w:t xml:space="preserve"> </w:t>
      </w:r>
      <w:r w:rsidR="00B46B11" w:rsidRPr="00DF41D3">
        <w:rPr>
          <w:rFonts w:ascii="Book Antiqua" w:eastAsia="Calibri" w:hAnsi="Book Antiqua"/>
          <w:bCs/>
          <w:i/>
          <w:lang w:val="es-PR"/>
        </w:rPr>
        <w:t xml:space="preserve">American </w:t>
      </w:r>
      <w:proofErr w:type="spellStart"/>
      <w:r w:rsidR="00B46B11" w:rsidRPr="00DF41D3">
        <w:rPr>
          <w:rFonts w:ascii="Book Antiqua" w:eastAsia="Calibri" w:hAnsi="Book Antiqua"/>
          <w:bCs/>
          <w:i/>
          <w:lang w:val="es-PR"/>
        </w:rPr>
        <w:t>Psychological</w:t>
      </w:r>
      <w:proofErr w:type="spellEnd"/>
      <w:r w:rsidR="00B46B11" w:rsidRPr="00DF41D3">
        <w:rPr>
          <w:rFonts w:ascii="Book Antiqua" w:eastAsia="Calibri" w:hAnsi="Book Antiqua"/>
          <w:bCs/>
          <w:i/>
          <w:lang w:val="es-PR"/>
        </w:rPr>
        <w:t xml:space="preserve"> </w:t>
      </w:r>
      <w:proofErr w:type="spellStart"/>
      <w:r w:rsidR="00B46B11" w:rsidRPr="00DF41D3">
        <w:rPr>
          <w:rFonts w:ascii="Book Antiqua" w:eastAsia="Calibri" w:hAnsi="Book Antiqua"/>
          <w:bCs/>
          <w:i/>
          <w:lang w:val="es-PR"/>
        </w:rPr>
        <w:t>Association</w:t>
      </w:r>
      <w:proofErr w:type="spellEnd"/>
      <w:r w:rsidR="00B46B11" w:rsidRPr="00DF41D3">
        <w:rPr>
          <w:rFonts w:ascii="Book Antiqua" w:eastAsia="Calibri" w:hAnsi="Book Antiqua"/>
          <w:bCs/>
          <w:lang w:val="es-PR"/>
        </w:rPr>
        <w:t xml:space="preserve"> ha pedido </w:t>
      </w:r>
      <w:r w:rsidRPr="00DF41D3">
        <w:rPr>
          <w:rFonts w:ascii="Book Antiqua" w:eastAsia="Calibri" w:hAnsi="Book Antiqua"/>
          <w:bCs/>
          <w:lang w:val="es-PR"/>
        </w:rPr>
        <w:t>una actitud de colaboración y respeto</w:t>
      </w:r>
      <w:r w:rsidR="001A1CE5" w:rsidRPr="00DF41D3">
        <w:rPr>
          <w:rFonts w:ascii="Book Antiqua" w:eastAsia="Calibri" w:hAnsi="Book Antiqua"/>
          <w:bCs/>
          <w:lang w:val="es-PR"/>
        </w:rPr>
        <w:t xml:space="preserve">, insistiendo en la importancia de </w:t>
      </w:r>
      <w:r w:rsidR="00B46B11" w:rsidRPr="00DF41D3">
        <w:rPr>
          <w:rFonts w:ascii="Book Antiqua" w:eastAsia="Calibri" w:hAnsi="Book Antiqua"/>
          <w:bCs/>
          <w:lang w:val="es-PR"/>
        </w:rPr>
        <w:t xml:space="preserve">la autonomía del paciente sobre </w:t>
      </w:r>
      <w:r w:rsidR="00A17FE3" w:rsidRPr="00DF41D3">
        <w:rPr>
          <w:rFonts w:ascii="Book Antiqua" w:eastAsia="Calibri" w:hAnsi="Book Antiqua"/>
          <w:bCs/>
          <w:lang w:val="es-PR"/>
        </w:rPr>
        <w:t xml:space="preserve">las </w:t>
      </w:r>
      <w:r w:rsidR="00B46B11" w:rsidRPr="00DF41D3">
        <w:rPr>
          <w:rFonts w:ascii="Book Antiqua" w:eastAsia="Calibri" w:hAnsi="Book Antiqua"/>
          <w:bCs/>
          <w:lang w:val="es-PR"/>
        </w:rPr>
        <w:t>metas</w:t>
      </w:r>
      <w:r w:rsidR="00A17FE3" w:rsidRPr="00DF41D3">
        <w:rPr>
          <w:rFonts w:ascii="Book Antiqua" w:eastAsia="Calibri" w:hAnsi="Book Antiqua"/>
          <w:bCs/>
          <w:lang w:val="es-PR"/>
        </w:rPr>
        <w:t xml:space="preserve"> que pretende alcanzar en un proceso terapéutico profesional</w:t>
      </w:r>
      <w:r w:rsidR="00B46B11" w:rsidRPr="00DF41D3">
        <w:rPr>
          <w:rStyle w:val="FootnoteReference"/>
          <w:rFonts w:ascii="Book Antiqua" w:eastAsia="Calibri" w:hAnsi="Book Antiqua"/>
          <w:bCs/>
          <w:lang w:val="es-PR"/>
        </w:rPr>
        <w:footnoteReference w:id="8"/>
      </w:r>
      <w:r w:rsidR="00B46B11" w:rsidRPr="00DF41D3">
        <w:rPr>
          <w:rFonts w:ascii="Book Antiqua" w:eastAsia="Calibri" w:hAnsi="Book Antiqua"/>
          <w:bCs/>
          <w:lang w:val="es-PR"/>
        </w:rPr>
        <w:t xml:space="preserve">. </w:t>
      </w:r>
      <w:r w:rsidR="006D4822" w:rsidRPr="00DF41D3">
        <w:rPr>
          <w:rFonts w:ascii="Book Antiqua" w:eastAsia="Calibri" w:hAnsi="Book Antiqua"/>
          <w:bCs/>
          <w:lang w:val="es-PR"/>
        </w:rPr>
        <w:t xml:space="preserve">Este proyecto responde a esa inquietud de ese importante gremio profesional que </w:t>
      </w:r>
      <w:r w:rsidR="00B46B11" w:rsidRPr="00DF41D3">
        <w:rPr>
          <w:rFonts w:ascii="Book Antiqua" w:eastAsia="Calibri" w:hAnsi="Book Antiqua"/>
          <w:bCs/>
          <w:lang w:val="es-PR"/>
        </w:rPr>
        <w:t>ha propuesto que se desarrollen modelos de integración de la orientación sexual en</w:t>
      </w:r>
      <w:r w:rsidR="00A17FE3" w:rsidRPr="00DF41D3">
        <w:rPr>
          <w:rFonts w:ascii="Book Antiqua" w:eastAsia="Calibri" w:hAnsi="Book Antiqua"/>
          <w:bCs/>
          <w:lang w:val="es-PR"/>
        </w:rPr>
        <w:t xml:space="preserve"> un </w:t>
      </w:r>
      <w:r w:rsidR="00841B77" w:rsidRPr="00DF41D3">
        <w:rPr>
          <w:rFonts w:ascii="Book Antiqua" w:eastAsia="Calibri" w:hAnsi="Book Antiqua"/>
          <w:bCs/>
          <w:lang w:val="es-PR"/>
        </w:rPr>
        <w:t>i</w:t>
      </w:r>
      <w:r w:rsidR="00A17FE3" w:rsidRPr="00DF41D3">
        <w:rPr>
          <w:rFonts w:ascii="Book Antiqua" w:eastAsia="Calibri" w:hAnsi="Book Antiqua"/>
          <w:bCs/>
          <w:lang w:val="es-PR"/>
        </w:rPr>
        <w:t>deario de experiencia religiosa</w:t>
      </w:r>
      <w:r w:rsidR="00B46B11" w:rsidRPr="00DF41D3">
        <w:rPr>
          <w:rStyle w:val="FootnoteReference"/>
          <w:rFonts w:ascii="Book Antiqua" w:eastAsia="Calibri" w:hAnsi="Book Antiqua"/>
          <w:bCs/>
          <w:lang w:val="es-PR"/>
        </w:rPr>
        <w:footnoteReference w:id="9"/>
      </w:r>
      <w:r w:rsidR="00B46B11" w:rsidRPr="00DF41D3">
        <w:rPr>
          <w:rFonts w:ascii="Book Antiqua" w:eastAsia="Calibri" w:hAnsi="Book Antiqua"/>
          <w:bCs/>
          <w:lang w:val="es-PR"/>
        </w:rPr>
        <w:t xml:space="preserve"> cuando el paciente considera que su fe es un factor determinante de su identidad humana. </w:t>
      </w:r>
    </w:p>
    <w:p w14:paraId="6E962F1D" w14:textId="77777777" w:rsidR="00522023" w:rsidRPr="00DF41D3" w:rsidRDefault="00522023" w:rsidP="00522023">
      <w:pPr>
        <w:ind w:firstLine="720"/>
        <w:jc w:val="both"/>
        <w:rPr>
          <w:rFonts w:ascii="Book Antiqua" w:eastAsia="Calibri" w:hAnsi="Book Antiqua"/>
          <w:bCs/>
          <w:lang w:val="es-PR"/>
        </w:rPr>
      </w:pPr>
    </w:p>
    <w:p w14:paraId="02FDBA8D" w14:textId="6224D88F" w:rsidR="00B46B11" w:rsidRPr="00DF41D3" w:rsidRDefault="00B46B11" w:rsidP="00522023">
      <w:pPr>
        <w:ind w:firstLine="720"/>
        <w:jc w:val="both"/>
        <w:rPr>
          <w:rFonts w:ascii="Book Antiqua" w:eastAsia="Calibri" w:hAnsi="Book Antiqua"/>
          <w:bCs/>
          <w:lang w:val="es-PR"/>
        </w:rPr>
      </w:pPr>
      <w:r w:rsidRPr="00DF41D3">
        <w:rPr>
          <w:rFonts w:ascii="Book Antiqua" w:eastAsia="Calibri" w:hAnsi="Book Antiqua"/>
          <w:bCs/>
          <w:lang w:val="es-PR"/>
        </w:rPr>
        <w:t xml:space="preserve">En efecto </w:t>
      </w:r>
      <w:r w:rsidR="006D4822" w:rsidRPr="00DF41D3">
        <w:rPr>
          <w:rFonts w:ascii="Book Antiqua" w:eastAsia="Calibri" w:hAnsi="Book Antiqua"/>
          <w:bCs/>
          <w:lang w:val="es-PR"/>
        </w:rPr>
        <w:t xml:space="preserve">la </w:t>
      </w:r>
      <w:r w:rsidRPr="00DF41D3">
        <w:rPr>
          <w:rFonts w:ascii="Book Antiqua" w:eastAsia="Calibri" w:hAnsi="Book Antiqua"/>
          <w:bCs/>
          <w:lang w:val="es-PR"/>
        </w:rPr>
        <w:t>APA afirma</w:t>
      </w:r>
      <w:r w:rsidR="006D4822" w:rsidRPr="00DF41D3">
        <w:rPr>
          <w:rFonts w:ascii="Book Antiqua" w:eastAsia="Calibri" w:hAnsi="Book Antiqua"/>
          <w:bCs/>
          <w:lang w:val="es-PR"/>
        </w:rPr>
        <w:t xml:space="preserve"> sobre lo anterior lo siguiente</w:t>
      </w:r>
      <w:r w:rsidRPr="00DF41D3">
        <w:rPr>
          <w:rFonts w:ascii="Book Antiqua" w:eastAsia="Calibri" w:hAnsi="Book Antiqua"/>
          <w:bCs/>
          <w:lang w:val="es-PR"/>
        </w:rPr>
        <w:t>:</w:t>
      </w:r>
    </w:p>
    <w:p w14:paraId="51AF00EB" w14:textId="1F844E81" w:rsidR="0016779F" w:rsidRDefault="0016779F" w:rsidP="00522023">
      <w:pPr>
        <w:ind w:left="720" w:right="720"/>
        <w:jc w:val="both"/>
        <w:rPr>
          <w:rFonts w:ascii="Book Antiqua" w:eastAsia="Calibri" w:hAnsi="Book Antiqua"/>
          <w:lang w:val="es-PR"/>
        </w:rPr>
      </w:pPr>
      <w:r w:rsidRPr="0016779F">
        <w:rPr>
          <w:rFonts w:ascii="Book Antiqua" w:eastAsia="Calibri" w:hAnsi="Book Antiqua"/>
          <w:lang w:val="es-PR"/>
        </w:rPr>
        <w:lastRenderedPageBreak/>
        <w:t xml:space="preserve">Muchas minorías sexuales religiosas experimentan una angustia psicológica significativa y conflictos debido a la divergencia entre su orientación sexual y creencias religiosas. Para apoyar a los clientes que tienen estas inquietudes, </w:t>
      </w:r>
      <w:r w:rsidR="003358E8">
        <w:rPr>
          <w:rFonts w:ascii="Book Antiqua" w:eastAsia="Calibri" w:hAnsi="Book Antiqua"/>
          <w:lang w:val="es-PR"/>
        </w:rPr>
        <w:t>un profesional de la salud mental puede</w:t>
      </w:r>
      <w:r w:rsidRPr="0016779F">
        <w:rPr>
          <w:rFonts w:ascii="Book Antiqua" w:eastAsia="Calibri" w:hAnsi="Book Antiqua"/>
          <w:lang w:val="es-PR"/>
        </w:rPr>
        <w:t xml:space="preserve"> brindar aceptación psicológica, apoyo y reconocimiento de la importancia de la fe para las personas y las comunidades, al tiempo que reconoce la ciencia de la orientación sexual. </w:t>
      </w:r>
    </w:p>
    <w:p w14:paraId="129A7089" w14:textId="77777777" w:rsidR="00522023" w:rsidRPr="0016779F" w:rsidRDefault="00522023" w:rsidP="00522023">
      <w:pPr>
        <w:ind w:left="720" w:right="720"/>
        <w:jc w:val="both"/>
        <w:rPr>
          <w:rFonts w:ascii="Book Antiqua" w:eastAsia="Calibri" w:hAnsi="Book Antiqua"/>
          <w:lang w:val="es-PR"/>
        </w:rPr>
      </w:pPr>
    </w:p>
    <w:p w14:paraId="41C30A2B" w14:textId="2CF97A80" w:rsidR="0016779F" w:rsidRDefault="003358E8" w:rsidP="00522023">
      <w:pPr>
        <w:ind w:left="720" w:right="720"/>
        <w:jc w:val="both"/>
        <w:rPr>
          <w:rFonts w:ascii="Book Antiqua" w:eastAsia="Calibri" w:hAnsi="Book Antiqua"/>
          <w:lang w:val="es-PR"/>
        </w:rPr>
      </w:pPr>
      <w:r>
        <w:rPr>
          <w:rFonts w:ascii="Book Antiqua" w:eastAsia="Calibri" w:hAnsi="Book Antiqua"/>
          <w:lang w:val="es-PR"/>
        </w:rPr>
        <w:t>U</w:t>
      </w:r>
      <w:r w:rsidRPr="003358E8">
        <w:rPr>
          <w:rFonts w:ascii="Book Antiqua" w:eastAsia="Calibri" w:hAnsi="Book Antiqua"/>
          <w:lang w:val="es-PR"/>
        </w:rPr>
        <w:t>n profesional de la salud mental</w:t>
      </w:r>
      <w:r w:rsidR="0016779F" w:rsidRPr="0016779F">
        <w:rPr>
          <w:rFonts w:ascii="Book Antiqua" w:eastAsia="Calibri" w:hAnsi="Book Antiqua"/>
          <w:lang w:val="es-PR"/>
        </w:rPr>
        <w:t xml:space="preserve">, que trabaja con personas y familias religiosas, puede incorporar la investigación de la psicología de la religión en un marco multicultural centrado en el cliente […]. El objetivo del tratamiento es que el cliente explore posibles caminos de vida que aborden la realidad de su orientación sexual mientras considera las posibilidades de una vida religiosa y espiritualmente significativa y gratificante. </w:t>
      </w:r>
    </w:p>
    <w:p w14:paraId="49DBFB21" w14:textId="77777777" w:rsidR="00522023" w:rsidRPr="0016779F" w:rsidRDefault="00522023" w:rsidP="00522023">
      <w:pPr>
        <w:ind w:left="720" w:right="720"/>
        <w:jc w:val="both"/>
        <w:rPr>
          <w:rFonts w:ascii="Book Antiqua" w:eastAsia="Calibri" w:hAnsi="Book Antiqua"/>
          <w:lang w:val="es-PR"/>
        </w:rPr>
      </w:pPr>
    </w:p>
    <w:p w14:paraId="5AEA5CBB" w14:textId="7ABDE5C6" w:rsidR="00B46B11" w:rsidRDefault="0016779F" w:rsidP="00522023">
      <w:pPr>
        <w:ind w:left="720" w:right="720"/>
        <w:jc w:val="both"/>
        <w:rPr>
          <w:rFonts w:ascii="Book Antiqua" w:eastAsia="Calibri" w:hAnsi="Book Antiqua"/>
          <w:lang w:val="es-PR"/>
        </w:rPr>
      </w:pPr>
      <w:r w:rsidRPr="0016779F">
        <w:rPr>
          <w:rFonts w:ascii="Book Antiqua" w:eastAsia="Calibri" w:hAnsi="Book Antiqua"/>
          <w:lang w:val="es-PR"/>
        </w:rPr>
        <w:t xml:space="preserve">Dicha psicoterapia puede centrarse en profundizar la búsqueda de los clientes de encontrar sentido, significado y una relación con lo sagrado en sus vidas (por ejemplo, </w:t>
      </w:r>
      <w:proofErr w:type="spellStart"/>
      <w:r w:rsidRPr="0016779F">
        <w:rPr>
          <w:rFonts w:ascii="Book Antiqua" w:eastAsia="Calibri" w:hAnsi="Book Antiqua"/>
          <w:lang w:val="es-PR"/>
        </w:rPr>
        <w:t>Pargament</w:t>
      </w:r>
      <w:proofErr w:type="spellEnd"/>
      <w:r w:rsidRPr="0016779F">
        <w:rPr>
          <w:rFonts w:ascii="Book Antiqua" w:eastAsia="Calibri" w:hAnsi="Book Antiqua"/>
          <w:lang w:val="es-PR"/>
        </w:rPr>
        <w:t xml:space="preserve"> y </w:t>
      </w:r>
      <w:proofErr w:type="spellStart"/>
      <w:r w:rsidRPr="0016779F">
        <w:rPr>
          <w:rFonts w:ascii="Book Antiqua" w:eastAsia="Calibri" w:hAnsi="Book Antiqua"/>
          <w:lang w:val="es-PR"/>
        </w:rPr>
        <w:t>Maloney</w:t>
      </w:r>
      <w:proofErr w:type="spellEnd"/>
      <w:r w:rsidRPr="0016779F">
        <w:rPr>
          <w:rFonts w:ascii="Book Antiqua" w:eastAsia="Calibri" w:hAnsi="Book Antiqua"/>
          <w:lang w:val="es-PR"/>
        </w:rPr>
        <w:t>, 2005)</w:t>
      </w:r>
      <w:r w:rsidR="00B46B11" w:rsidRPr="00DF41D3">
        <w:rPr>
          <w:rFonts w:ascii="Book Antiqua" w:eastAsia="Calibri" w:hAnsi="Book Antiqua"/>
          <w:vertAlign w:val="superscript"/>
        </w:rPr>
        <w:footnoteReference w:id="10"/>
      </w:r>
      <w:r w:rsidR="00B46B11" w:rsidRPr="0016779F">
        <w:rPr>
          <w:rFonts w:ascii="Book Antiqua" w:eastAsia="Calibri" w:hAnsi="Book Antiqua"/>
          <w:lang w:val="es-PR"/>
        </w:rPr>
        <w:t>.</w:t>
      </w:r>
    </w:p>
    <w:p w14:paraId="173E0625" w14:textId="77777777" w:rsidR="00522023" w:rsidRPr="0016779F" w:rsidRDefault="00522023" w:rsidP="00522023">
      <w:pPr>
        <w:ind w:left="720" w:right="720"/>
        <w:jc w:val="both"/>
        <w:rPr>
          <w:rFonts w:ascii="Book Antiqua" w:eastAsia="Calibri" w:hAnsi="Book Antiqua"/>
          <w:lang w:val="es-PR"/>
        </w:rPr>
      </w:pPr>
    </w:p>
    <w:p w14:paraId="274E7FBC" w14:textId="3F2652A2" w:rsidR="00446662" w:rsidRDefault="00446662" w:rsidP="00522023">
      <w:pPr>
        <w:jc w:val="both"/>
        <w:rPr>
          <w:rFonts w:ascii="Book Antiqua" w:hAnsi="Book Antiqua"/>
          <w:lang w:val="en-US"/>
        </w:rPr>
      </w:pPr>
      <w:r w:rsidRPr="00446662">
        <w:rPr>
          <w:rFonts w:ascii="Book Antiqua" w:hAnsi="Book Antiqua"/>
          <w:lang w:val="en-US"/>
        </w:rPr>
        <w:t xml:space="preserve">Como </w:t>
      </w:r>
      <w:proofErr w:type="spellStart"/>
      <w:r w:rsidRPr="00446662">
        <w:rPr>
          <w:rFonts w:ascii="Book Antiqua" w:hAnsi="Book Antiqua"/>
          <w:lang w:val="en-US"/>
        </w:rPr>
        <w:t>afirmaba</w:t>
      </w:r>
      <w:proofErr w:type="spellEnd"/>
      <w:r w:rsidRPr="00446662">
        <w:rPr>
          <w:rFonts w:ascii="Book Antiqua" w:hAnsi="Book Antiqua"/>
          <w:lang w:val="en-US"/>
        </w:rPr>
        <w:t xml:space="preserve"> la </w:t>
      </w:r>
      <w:bookmarkStart w:id="5" w:name="_Hlk67245548"/>
      <w:r w:rsidRPr="00446662">
        <w:rPr>
          <w:rFonts w:ascii="Book Antiqua" w:hAnsi="Book Antiqua"/>
          <w:lang w:val="en-US"/>
        </w:rPr>
        <w:t>Dra</w:t>
      </w:r>
      <w:r w:rsidRPr="00446662">
        <w:rPr>
          <w:rFonts w:ascii="Book Antiqua" w:hAnsi="Book Antiqua" w:cs="Helvetica"/>
          <w:shd w:val="clear" w:color="auto" w:fill="FFFFFF"/>
          <w:lang w:val="en-US"/>
        </w:rPr>
        <w:t xml:space="preserve"> </w:t>
      </w:r>
      <w:r w:rsidRPr="00446662">
        <w:rPr>
          <w:rFonts w:ascii="Book Antiqua" w:hAnsi="Book Antiqua"/>
          <w:lang w:val="en-US"/>
        </w:rPr>
        <w:t> </w:t>
      </w:r>
      <w:hyperlink r:id="rId7" w:history="1">
        <w:r w:rsidRPr="00446662">
          <w:rPr>
            <w:rStyle w:val="Hyperlink"/>
            <w:rFonts w:ascii="Book Antiqua" w:hAnsi="Book Antiqua"/>
            <w:color w:val="auto"/>
            <w:lang w:val="en-US"/>
          </w:rPr>
          <w:t xml:space="preserve">Angelica </w:t>
        </w:r>
        <w:proofErr w:type="spellStart"/>
        <w:r w:rsidRPr="00446662">
          <w:rPr>
            <w:rStyle w:val="Hyperlink"/>
            <w:rFonts w:ascii="Book Antiqua" w:hAnsi="Book Antiqua"/>
            <w:color w:val="auto"/>
            <w:lang w:val="en-US"/>
          </w:rPr>
          <w:t>Terepka</w:t>
        </w:r>
        <w:proofErr w:type="spellEnd"/>
        <w:r w:rsidRPr="00446662">
          <w:rPr>
            <w:rStyle w:val="Hyperlink"/>
            <w:rFonts w:ascii="Book Antiqua" w:hAnsi="Book Antiqua"/>
            <w:color w:val="auto"/>
            <w:lang w:val="en-US"/>
          </w:rPr>
          <w:t xml:space="preserve">, </w:t>
        </w:r>
      </w:hyperlink>
      <w:bookmarkEnd w:id="5"/>
      <w:r w:rsidRPr="00446662">
        <w:rPr>
          <w:rFonts w:ascii="Book Antiqua" w:hAnsi="Book Antiqua"/>
          <w:lang w:val="en-US"/>
        </w:rPr>
        <w:t xml:space="preserve">un </w:t>
      </w:r>
      <w:proofErr w:type="spellStart"/>
      <w:r w:rsidRPr="00446662">
        <w:rPr>
          <w:rFonts w:ascii="Book Antiqua" w:hAnsi="Book Antiqua"/>
          <w:lang w:val="en-US"/>
        </w:rPr>
        <w:t>artículo</w:t>
      </w:r>
      <w:proofErr w:type="spellEnd"/>
      <w:r w:rsidRPr="00446662">
        <w:rPr>
          <w:rFonts w:ascii="Book Antiqua" w:hAnsi="Book Antiqua"/>
          <w:lang w:val="en-US"/>
        </w:rPr>
        <w:t xml:space="preserve"> </w:t>
      </w:r>
      <w:proofErr w:type="spellStart"/>
      <w:r w:rsidRPr="00446662">
        <w:rPr>
          <w:rFonts w:ascii="Book Antiqua" w:hAnsi="Book Antiqua"/>
          <w:lang w:val="en-US"/>
        </w:rPr>
        <w:t>titulado</w:t>
      </w:r>
      <w:proofErr w:type="spellEnd"/>
      <w:r w:rsidRPr="00446662">
        <w:rPr>
          <w:rFonts w:ascii="Book Antiqua" w:hAnsi="Book Antiqua"/>
          <w:lang w:val="en-US"/>
        </w:rPr>
        <w:t xml:space="preserve">: “Sexual identity and religious ideals: Therapeutic considerations when working with contending areas of diversity” </w:t>
      </w:r>
      <w:proofErr w:type="spellStart"/>
      <w:r w:rsidRPr="00446662">
        <w:rPr>
          <w:rFonts w:ascii="Book Antiqua" w:hAnsi="Book Antiqua"/>
          <w:lang w:val="en-US"/>
        </w:rPr>
        <w:t>en</w:t>
      </w:r>
      <w:proofErr w:type="spellEnd"/>
      <w:r w:rsidRPr="00446662">
        <w:rPr>
          <w:rFonts w:ascii="Book Antiqua" w:hAnsi="Book Antiqua"/>
          <w:lang w:val="en-US"/>
        </w:rPr>
        <w:t xml:space="preserve"> </w:t>
      </w:r>
      <w:proofErr w:type="spellStart"/>
      <w:r w:rsidRPr="00446662">
        <w:rPr>
          <w:rFonts w:ascii="Book Antiqua" w:hAnsi="Book Antiqua"/>
          <w:lang w:val="en-US"/>
        </w:rPr>
        <w:t>una</w:t>
      </w:r>
      <w:proofErr w:type="spellEnd"/>
      <w:r w:rsidRPr="00446662">
        <w:rPr>
          <w:rFonts w:ascii="Book Antiqua" w:hAnsi="Book Antiqua"/>
          <w:lang w:val="en-US"/>
        </w:rPr>
        <w:t xml:space="preserve"> </w:t>
      </w:r>
      <w:proofErr w:type="spellStart"/>
      <w:r w:rsidRPr="00446662">
        <w:rPr>
          <w:rFonts w:ascii="Book Antiqua" w:hAnsi="Book Antiqua"/>
          <w:lang w:val="en-US"/>
        </w:rPr>
        <w:t>publicación</w:t>
      </w:r>
      <w:proofErr w:type="spellEnd"/>
      <w:r w:rsidRPr="00446662">
        <w:rPr>
          <w:rFonts w:ascii="Book Antiqua" w:hAnsi="Book Antiqua"/>
          <w:lang w:val="en-US"/>
        </w:rPr>
        <w:t xml:space="preserve"> de “Society for the Psychology of Sexual Orientation and Gender Diversity” (SPSOGD) </w:t>
      </w:r>
      <w:proofErr w:type="spellStart"/>
      <w:r w:rsidRPr="00446662">
        <w:rPr>
          <w:rFonts w:ascii="Book Antiqua" w:hAnsi="Book Antiqua"/>
          <w:lang w:val="en-US"/>
        </w:rPr>
        <w:t>relacionado</w:t>
      </w:r>
      <w:proofErr w:type="spellEnd"/>
      <w:r w:rsidRPr="00446662">
        <w:rPr>
          <w:rFonts w:ascii="Book Antiqua" w:hAnsi="Book Antiqua"/>
          <w:lang w:val="en-US"/>
        </w:rPr>
        <w:t xml:space="preserve"> con Cornell University:</w:t>
      </w:r>
    </w:p>
    <w:p w14:paraId="3B4DD033" w14:textId="77777777" w:rsidR="00446662" w:rsidRPr="00446662" w:rsidRDefault="00446662" w:rsidP="00522023">
      <w:pPr>
        <w:ind w:left="1440" w:right="720"/>
        <w:jc w:val="both"/>
        <w:rPr>
          <w:rFonts w:ascii="Book Antiqua" w:hAnsi="Book Antiqua"/>
          <w:lang w:val="en-US"/>
        </w:rPr>
      </w:pPr>
    </w:p>
    <w:p w14:paraId="098707DF" w14:textId="32F62F05" w:rsidR="00446662" w:rsidRDefault="00B030EF" w:rsidP="00522023">
      <w:pPr>
        <w:ind w:left="1440" w:right="720"/>
        <w:jc w:val="both"/>
        <w:rPr>
          <w:rFonts w:ascii="Book Antiqua" w:hAnsi="Book Antiqua"/>
          <w:lang w:val="es-PR"/>
        </w:rPr>
      </w:pPr>
      <w:r w:rsidRPr="00B030EF">
        <w:rPr>
          <w:rFonts w:ascii="Book Antiqua" w:hAnsi="Book Antiqua"/>
          <w:lang w:val="es-PR"/>
        </w:rPr>
        <w:t>En general, los psicólogos deben recordar que “cuanto mayor es el conflicto entre las identidades sexuales y religiosas, más difícil es su integración y mayor es la pérdida percibida al elegir una sobre la otra” (</w:t>
      </w:r>
      <w:proofErr w:type="spellStart"/>
      <w:r w:rsidRPr="00B030EF">
        <w:rPr>
          <w:rFonts w:ascii="Book Antiqua" w:hAnsi="Book Antiqua"/>
          <w:lang w:val="es-PR"/>
        </w:rPr>
        <w:t>Bartoli</w:t>
      </w:r>
      <w:proofErr w:type="spellEnd"/>
      <w:r w:rsidRPr="00B030EF">
        <w:rPr>
          <w:rFonts w:ascii="Book Antiqua" w:hAnsi="Book Antiqua"/>
          <w:lang w:val="es-PR"/>
        </w:rPr>
        <w:t xml:space="preserve"> &amp; </w:t>
      </w:r>
      <w:proofErr w:type="spellStart"/>
      <w:r w:rsidRPr="00B030EF">
        <w:rPr>
          <w:rFonts w:ascii="Book Antiqua" w:hAnsi="Book Antiqua"/>
          <w:lang w:val="es-PR"/>
        </w:rPr>
        <w:t>Gillem</w:t>
      </w:r>
      <w:proofErr w:type="spellEnd"/>
      <w:r w:rsidRPr="00B030EF">
        <w:rPr>
          <w:rFonts w:ascii="Book Antiqua" w:hAnsi="Book Antiqua"/>
          <w:lang w:val="es-PR"/>
        </w:rPr>
        <w:t xml:space="preserve">, 2008, p.204). Desde una postura profesional, adherirse a un conjunto de recomendaciones éticas y afirmar los valores religiosos sobre la orientación sexual o viceversa no constituye una solución a este problema, sino que exacerba el </w:t>
      </w:r>
      <w:r w:rsidRPr="00B030EF">
        <w:rPr>
          <w:rFonts w:ascii="Book Antiqua" w:hAnsi="Book Antiqua"/>
          <w:lang w:val="es-PR"/>
        </w:rPr>
        <w:lastRenderedPageBreak/>
        <w:t>conflicto entre creencias religiosas y orientaciones LGBT. En cambio, la profesión debe apuntar a integrar estos dos reinos de diversidad y, al hacerlo así, avanzar hacia un objetivo mayor: no cambiar ni las creencias religiosas ni la orientación sexual, sino buscar la integración para el mejoramiento de nuestros clientes y la sociedad.</w:t>
      </w:r>
      <w:r w:rsidR="00446662">
        <w:rPr>
          <w:rStyle w:val="FootnoteReference"/>
          <w:rFonts w:ascii="Book Antiqua" w:hAnsi="Book Antiqua"/>
          <w:lang w:val="en-US"/>
        </w:rPr>
        <w:footnoteReference w:id="11"/>
      </w:r>
      <w:r w:rsidR="00446662" w:rsidRPr="00B030EF">
        <w:rPr>
          <w:rFonts w:ascii="Book Antiqua" w:hAnsi="Book Antiqua"/>
          <w:lang w:val="es-PR"/>
        </w:rPr>
        <w:t>.</w:t>
      </w:r>
    </w:p>
    <w:p w14:paraId="2B6176D2" w14:textId="77777777" w:rsidR="00522023" w:rsidRPr="00B030EF" w:rsidRDefault="00522023" w:rsidP="00522023">
      <w:pPr>
        <w:ind w:left="1440" w:right="720"/>
        <w:jc w:val="both"/>
        <w:rPr>
          <w:rFonts w:ascii="Book Antiqua" w:hAnsi="Book Antiqua"/>
          <w:lang w:val="es-PR"/>
        </w:rPr>
      </w:pPr>
    </w:p>
    <w:p w14:paraId="6BA31C1A" w14:textId="3A7368E9" w:rsidR="00B46B11" w:rsidRPr="00DF41D3" w:rsidRDefault="001A1CE5" w:rsidP="00522023">
      <w:pPr>
        <w:pStyle w:val="Normal1"/>
        <w:ind w:firstLine="720"/>
        <w:jc w:val="both"/>
        <w:rPr>
          <w:rFonts w:ascii="Book Antiqua" w:eastAsia="Book Antiqua" w:hAnsi="Book Antiqua"/>
        </w:rPr>
      </w:pPr>
      <w:r w:rsidRPr="00DF41D3">
        <w:rPr>
          <w:rFonts w:ascii="Book Antiqua" w:eastAsia="Book Antiqua" w:hAnsi="Book Antiqua"/>
        </w:rPr>
        <w:t>Por otro lado, p</w:t>
      </w:r>
      <w:r w:rsidR="006C6A85" w:rsidRPr="00DF41D3">
        <w:rPr>
          <w:rFonts w:ascii="Book Antiqua" w:eastAsia="Book Antiqua" w:hAnsi="Book Antiqua"/>
        </w:rPr>
        <w:t xml:space="preserve">ara poder entender, jurídicamente hablando, los parámetros </w:t>
      </w:r>
      <w:r w:rsidR="00E4429B" w:rsidRPr="00DF41D3">
        <w:rPr>
          <w:rFonts w:ascii="Book Antiqua" w:eastAsia="Book Antiqua" w:hAnsi="Book Antiqua"/>
        </w:rPr>
        <w:t xml:space="preserve">legales </w:t>
      </w:r>
      <w:r w:rsidR="006C6A85" w:rsidRPr="00DF41D3">
        <w:rPr>
          <w:rFonts w:ascii="Book Antiqua" w:eastAsia="Book Antiqua" w:hAnsi="Book Antiqua"/>
        </w:rPr>
        <w:t xml:space="preserve">en </w:t>
      </w:r>
      <w:r w:rsidR="00E4429B" w:rsidRPr="00DF41D3">
        <w:rPr>
          <w:rFonts w:ascii="Book Antiqua" w:eastAsia="Book Antiqua" w:hAnsi="Book Antiqua"/>
        </w:rPr>
        <w:t xml:space="preserve">los </w:t>
      </w:r>
      <w:r w:rsidR="006C6A85" w:rsidRPr="00DF41D3">
        <w:rPr>
          <w:rFonts w:ascii="Book Antiqua" w:eastAsia="Book Antiqua" w:hAnsi="Book Antiqua"/>
        </w:rPr>
        <w:t xml:space="preserve">que </w:t>
      </w:r>
      <w:r w:rsidR="00E4429B" w:rsidRPr="00DF41D3">
        <w:rPr>
          <w:rFonts w:ascii="Book Antiqua" w:eastAsia="Book Antiqua" w:hAnsi="Book Antiqua"/>
        </w:rPr>
        <w:t>se podría</w:t>
      </w:r>
      <w:r w:rsidR="006C6A85" w:rsidRPr="00DF41D3">
        <w:rPr>
          <w:rFonts w:ascii="Book Antiqua" w:eastAsia="Book Antiqua" w:hAnsi="Book Antiqua"/>
        </w:rPr>
        <w:t xml:space="preserve"> justificar nuestra intervención</w:t>
      </w:r>
      <w:r w:rsidR="00E4429B" w:rsidRPr="00DF41D3">
        <w:rPr>
          <w:rFonts w:ascii="Book Antiqua" w:eastAsia="Book Antiqua" w:hAnsi="Book Antiqua"/>
        </w:rPr>
        <w:t xml:space="preserve"> legislativa en un asunto tan delicado</w:t>
      </w:r>
      <w:r w:rsidRPr="00DF41D3">
        <w:rPr>
          <w:rFonts w:ascii="Book Antiqua" w:eastAsia="Book Antiqua" w:hAnsi="Book Antiqua"/>
        </w:rPr>
        <w:t xml:space="preserve">, </w:t>
      </w:r>
      <w:r w:rsidR="00E4429B" w:rsidRPr="00DF41D3">
        <w:rPr>
          <w:rFonts w:ascii="Book Antiqua" w:eastAsia="Book Antiqua" w:hAnsi="Book Antiqua"/>
        </w:rPr>
        <w:t>como es la relación entre el profesional de la salud mental y su cliente</w:t>
      </w:r>
      <w:r w:rsidRPr="00DF41D3">
        <w:rPr>
          <w:rFonts w:ascii="Book Antiqua" w:eastAsia="Book Antiqua" w:hAnsi="Book Antiqua"/>
        </w:rPr>
        <w:t>,</w:t>
      </w:r>
      <w:r w:rsidR="00E4429B" w:rsidRPr="00DF41D3">
        <w:rPr>
          <w:rFonts w:ascii="Book Antiqua" w:eastAsia="Book Antiqua" w:hAnsi="Book Antiqua"/>
        </w:rPr>
        <w:t xml:space="preserve"> es imprescindible hacer referencia al caso del </w:t>
      </w:r>
      <w:r w:rsidR="00B46B11" w:rsidRPr="00DF41D3">
        <w:rPr>
          <w:rFonts w:ascii="Book Antiqua" w:eastAsia="Book Antiqua" w:hAnsi="Book Antiqua"/>
        </w:rPr>
        <w:t xml:space="preserve">Tribunal Supremo de los Estados Unidos </w:t>
      </w:r>
      <w:r w:rsidR="00E4429B" w:rsidRPr="00DF41D3">
        <w:rPr>
          <w:rFonts w:ascii="Book Antiqua" w:eastAsia="Book Antiqua" w:hAnsi="Book Antiqua"/>
        </w:rPr>
        <w:t xml:space="preserve">conocido como </w:t>
      </w:r>
      <w:proofErr w:type="spellStart"/>
      <w:r w:rsidR="00B46B11" w:rsidRPr="00DF41D3">
        <w:rPr>
          <w:rFonts w:ascii="Book Antiqua" w:eastAsia="Book Antiqua" w:hAnsi="Book Antiqua"/>
          <w:i/>
          <w:iCs/>
          <w:u w:val="single"/>
        </w:rPr>
        <w:t>National</w:t>
      </w:r>
      <w:proofErr w:type="spellEnd"/>
      <w:r w:rsidR="00B46B11" w:rsidRPr="00DF41D3">
        <w:rPr>
          <w:rFonts w:ascii="Book Antiqua" w:eastAsia="Book Antiqua" w:hAnsi="Book Antiqua"/>
          <w:i/>
          <w:iCs/>
          <w:u w:val="single"/>
        </w:rPr>
        <w:t xml:space="preserve"> </w:t>
      </w:r>
      <w:proofErr w:type="spellStart"/>
      <w:r w:rsidR="00B46B11" w:rsidRPr="00DF41D3">
        <w:rPr>
          <w:rFonts w:ascii="Book Antiqua" w:eastAsia="Book Antiqua" w:hAnsi="Book Antiqua"/>
          <w:i/>
          <w:iCs/>
          <w:u w:val="single"/>
        </w:rPr>
        <w:t>Institute</w:t>
      </w:r>
      <w:proofErr w:type="spellEnd"/>
      <w:r w:rsidR="00B46B11" w:rsidRPr="00DF41D3">
        <w:rPr>
          <w:rFonts w:ascii="Book Antiqua" w:eastAsia="Book Antiqua" w:hAnsi="Book Antiqua"/>
          <w:i/>
          <w:iCs/>
          <w:u w:val="single"/>
        </w:rPr>
        <w:t xml:space="preserve"> Of </w:t>
      </w:r>
      <w:proofErr w:type="spellStart"/>
      <w:r w:rsidR="00B46B11" w:rsidRPr="00DF41D3">
        <w:rPr>
          <w:rFonts w:ascii="Book Antiqua" w:eastAsia="Book Antiqua" w:hAnsi="Book Antiqua"/>
          <w:i/>
          <w:iCs/>
          <w:u w:val="single"/>
        </w:rPr>
        <w:t>Family</w:t>
      </w:r>
      <w:proofErr w:type="spellEnd"/>
      <w:r w:rsidR="00B46B11" w:rsidRPr="00DF41D3">
        <w:rPr>
          <w:rFonts w:ascii="Book Antiqua" w:eastAsia="Book Antiqua" w:hAnsi="Book Antiqua"/>
          <w:i/>
          <w:iCs/>
          <w:u w:val="single"/>
        </w:rPr>
        <w:t xml:space="preserve"> And </w:t>
      </w:r>
      <w:proofErr w:type="spellStart"/>
      <w:r w:rsidR="00B46B11" w:rsidRPr="00DF41D3">
        <w:rPr>
          <w:rFonts w:ascii="Book Antiqua" w:eastAsia="Book Antiqua" w:hAnsi="Book Antiqua"/>
          <w:i/>
          <w:iCs/>
          <w:u w:val="single"/>
        </w:rPr>
        <w:t>Life</w:t>
      </w:r>
      <w:proofErr w:type="spellEnd"/>
      <w:r w:rsidR="00B46B11" w:rsidRPr="00DF41D3">
        <w:rPr>
          <w:rFonts w:ascii="Book Antiqua" w:eastAsia="Book Antiqua" w:hAnsi="Book Antiqua"/>
          <w:i/>
          <w:iCs/>
          <w:u w:val="single"/>
        </w:rPr>
        <w:t xml:space="preserve"> </w:t>
      </w:r>
      <w:proofErr w:type="spellStart"/>
      <w:r w:rsidR="00B46B11" w:rsidRPr="00DF41D3">
        <w:rPr>
          <w:rFonts w:ascii="Book Antiqua" w:eastAsia="Book Antiqua" w:hAnsi="Book Antiqua"/>
          <w:i/>
          <w:iCs/>
          <w:u w:val="single"/>
        </w:rPr>
        <w:t>Advocates</w:t>
      </w:r>
      <w:proofErr w:type="spellEnd"/>
      <w:r w:rsidR="00B46B11" w:rsidRPr="00DF41D3">
        <w:rPr>
          <w:rFonts w:ascii="Book Antiqua" w:eastAsia="Book Antiqua" w:hAnsi="Book Antiqua"/>
          <w:i/>
          <w:iCs/>
          <w:u w:val="single"/>
        </w:rPr>
        <w:t xml:space="preserve">, </w:t>
      </w:r>
      <w:proofErr w:type="spellStart"/>
      <w:r w:rsidR="00B46B11" w:rsidRPr="00DF41D3">
        <w:rPr>
          <w:rFonts w:ascii="Book Antiqua" w:eastAsia="Book Antiqua" w:hAnsi="Book Antiqua"/>
          <w:i/>
          <w:iCs/>
          <w:u w:val="single"/>
        </w:rPr>
        <w:t>Dba</w:t>
      </w:r>
      <w:proofErr w:type="spellEnd"/>
      <w:r w:rsidR="00B46B11" w:rsidRPr="00DF41D3">
        <w:rPr>
          <w:rFonts w:ascii="Book Antiqua" w:eastAsia="Book Antiqua" w:hAnsi="Book Antiqua"/>
          <w:i/>
          <w:iCs/>
          <w:u w:val="single"/>
        </w:rPr>
        <w:t xml:space="preserve"> </w:t>
      </w:r>
      <w:proofErr w:type="spellStart"/>
      <w:r w:rsidR="00B46B11" w:rsidRPr="00DF41D3">
        <w:rPr>
          <w:rFonts w:ascii="Book Antiqua" w:eastAsia="Book Antiqua" w:hAnsi="Book Antiqua"/>
          <w:i/>
          <w:iCs/>
          <w:u w:val="single"/>
        </w:rPr>
        <w:t>Nifla</w:t>
      </w:r>
      <w:proofErr w:type="spellEnd"/>
      <w:r w:rsidR="00B46B11" w:rsidRPr="00DF41D3">
        <w:rPr>
          <w:rFonts w:ascii="Book Antiqua" w:eastAsia="Book Antiqua" w:hAnsi="Book Antiqua"/>
          <w:i/>
          <w:iCs/>
          <w:u w:val="single"/>
        </w:rPr>
        <w:t>, Et Al., V. Xavier Becerra</w:t>
      </w:r>
      <w:r w:rsidR="00B46B11" w:rsidRPr="00DF41D3">
        <w:rPr>
          <w:rFonts w:ascii="Book Antiqua" w:eastAsia="Book Antiqua" w:hAnsi="Book Antiqua"/>
        </w:rPr>
        <w:t xml:space="preserve">, et al. </w:t>
      </w:r>
      <w:r w:rsidR="00E4429B" w:rsidRPr="00DF41D3">
        <w:rPr>
          <w:rFonts w:ascii="Book Antiqua" w:eastAsia="Book Antiqua" w:hAnsi="Book Antiqua"/>
        </w:rPr>
        <w:t>(</w:t>
      </w:r>
      <w:r w:rsidR="00B46B11" w:rsidRPr="00DF41D3">
        <w:rPr>
          <w:rFonts w:ascii="Book Antiqua" w:eastAsia="Book Antiqua" w:hAnsi="Book Antiqua"/>
        </w:rPr>
        <w:t xml:space="preserve">138 </w:t>
      </w:r>
      <w:proofErr w:type="spellStart"/>
      <w:r w:rsidR="00B46B11" w:rsidRPr="00DF41D3">
        <w:rPr>
          <w:rFonts w:ascii="Book Antiqua" w:eastAsia="Book Antiqua" w:hAnsi="Book Antiqua"/>
        </w:rPr>
        <w:t>S.Ct</w:t>
      </w:r>
      <w:proofErr w:type="spellEnd"/>
      <w:r w:rsidR="00B46B11" w:rsidRPr="00DF41D3">
        <w:rPr>
          <w:rFonts w:ascii="Book Antiqua" w:eastAsia="Book Antiqua" w:hAnsi="Book Antiqua"/>
        </w:rPr>
        <w:t>. 2361</w:t>
      </w:r>
      <w:r w:rsidR="00E4429B" w:rsidRPr="00DF41D3">
        <w:rPr>
          <w:rFonts w:ascii="Book Antiqua" w:eastAsia="Book Antiqua" w:hAnsi="Book Antiqua"/>
        </w:rPr>
        <w:t xml:space="preserve">, </w:t>
      </w:r>
      <w:r w:rsidR="00B46B11" w:rsidRPr="00DF41D3">
        <w:rPr>
          <w:rFonts w:ascii="Book Antiqua" w:eastAsia="Book Antiqua" w:hAnsi="Book Antiqua"/>
        </w:rPr>
        <w:t xml:space="preserve">2018) </w:t>
      </w:r>
      <w:r w:rsidR="00E4429B" w:rsidRPr="00DF41D3">
        <w:rPr>
          <w:rFonts w:ascii="Book Antiqua" w:eastAsia="Book Antiqua" w:hAnsi="Book Antiqua"/>
        </w:rPr>
        <w:t xml:space="preserve">donde reafirma </w:t>
      </w:r>
      <w:r w:rsidR="00B46B11" w:rsidRPr="00DF41D3">
        <w:rPr>
          <w:rFonts w:ascii="Book Antiqua" w:eastAsia="Book Antiqua" w:hAnsi="Book Antiqua"/>
        </w:rPr>
        <w:t xml:space="preserve">que </w:t>
      </w:r>
      <w:r w:rsidR="00E4429B" w:rsidRPr="00DF41D3">
        <w:rPr>
          <w:rFonts w:ascii="Book Antiqua" w:eastAsia="Book Antiqua" w:hAnsi="Book Antiqua"/>
        </w:rPr>
        <w:t>el llamado “</w:t>
      </w:r>
      <w:proofErr w:type="spellStart"/>
      <w:r w:rsidR="00E4429B" w:rsidRPr="00DF41D3">
        <w:rPr>
          <w:rFonts w:ascii="Book Antiqua" w:eastAsia="Book Antiqua" w:hAnsi="Book Antiqua"/>
        </w:rPr>
        <w:t>professional</w:t>
      </w:r>
      <w:proofErr w:type="spellEnd"/>
      <w:r w:rsidR="00E4429B" w:rsidRPr="00DF41D3">
        <w:rPr>
          <w:rFonts w:ascii="Book Antiqua" w:eastAsia="Book Antiqua" w:hAnsi="Book Antiqua"/>
        </w:rPr>
        <w:t xml:space="preserve"> </w:t>
      </w:r>
      <w:proofErr w:type="spellStart"/>
      <w:r w:rsidR="00E4429B" w:rsidRPr="00DF41D3">
        <w:rPr>
          <w:rFonts w:ascii="Book Antiqua" w:eastAsia="Book Antiqua" w:hAnsi="Book Antiqua"/>
        </w:rPr>
        <w:t>speech</w:t>
      </w:r>
      <w:proofErr w:type="spellEnd"/>
      <w:r w:rsidR="00E4429B" w:rsidRPr="00DF41D3">
        <w:rPr>
          <w:rFonts w:ascii="Book Antiqua" w:eastAsia="Book Antiqua" w:hAnsi="Book Antiqua"/>
        </w:rPr>
        <w:t>”</w:t>
      </w:r>
      <w:r w:rsidR="00683BAF" w:rsidRPr="00DF41D3">
        <w:rPr>
          <w:rStyle w:val="FootnoteReference"/>
          <w:rFonts w:ascii="Book Antiqua" w:eastAsia="Book Antiqua" w:hAnsi="Book Antiqua"/>
        </w:rPr>
        <w:footnoteReference w:id="12"/>
      </w:r>
      <w:r w:rsidR="00E4429B" w:rsidRPr="00DF41D3">
        <w:rPr>
          <w:rFonts w:ascii="Book Antiqua" w:eastAsia="Book Antiqua" w:hAnsi="Book Antiqua"/>
        </w:rPr>
        <w:t xml:space="preserve"> es un derecho </w:t>
      </w:r>
      <w:r w:rsidR="00683BAF" w:rsidRPr="00DF41D3">
        <w:rPr>
          <w:rFonts w:ascii="Book Antiqua" w:eastAsia="Book Antiqua" w:hAnsi="Book Antiqua"/>
        </w:rPr>
        <w:t>fundamental que</w:t>
      </w:r>
      <w:r w:rsidR="00E4429B" w:rsidRPr="00DF41D3">
        <w:rPr>
          <w:rFonts w:ascii="Book Antiqua" w:eastAsia="Book Antiqua" w:hAnsi="Book Antiqua"/>
        </w:rPr>
        <w:t xml:space="preserve"> está incluido dentro de la libertad de expresión de expresión </w:t>
      </w:r>
      <w:r w:rsidR="00683BAF" w:rsidRPr="00DF41D3">
        <w:rPr>
          <w:rFonts w:ascii="Book Antiqua" w:eastAsia="Book Antiqua" w:hAnsi="Book Antiqua"/>
        </w:rPr>
        <w:t xml:space="preserve">por el que cualquier intervención estatal que suponga coartar el </w:t>
      </w:r>
      <w:r w:rsidR="00B46B11" w:rsidRPr="00DF41D3">
        <w:rPr>
          <w:rFonts w:ascii="Book Antiqua" w:eastAsia="Book Antiqua" w:hAnsi="Book Antiqua"/>
        </w:rPr>
        <w:t xml:space="preserve">contenido de la </w:t>
      </w:r>
      <w:r w:rsidR="00F71FCA">
        <w:rPr>
          <w:rFonts w:ascii="Book Antiqua" w:eastAsia="Book Antiqua" w:hAnsi="Book Antiqua"/>
        </w:rPr>
        <w:t xml:space="preserve">conversación </w:t>
      </w:r>
      <w:r w:rsidR="00B46B11" w:rsidRPr="00DF41D3">
        <w:rPr>
          <w:rFonts w:ascii="Book Antiqua" w:eastAsia="Book Antiqua" w:hAnsi="Book Antiqua"/>
        </w:rPr>
        <w:t xml:space="preserve">entre </w:t>
      </w:r>
      <w:r w:rsidR="00683BAF" w:rsidRPr="00DF41D3">
        <w:rPr>
          <w:rFonts w:ascii="Book Antiqua" w:eastAsia="Book Antiqua" w:hAnsi="Book Antiqua"/>
        </w:rPr>
        <w:t xml:space="preserve">un profesional y un </w:t>
      </w:r>
      <w:r w:rsidR="00B46B11" w:rsidRPr="00DF41D3">
        <w:rPr>
          <w:rFonts w:ascii="Book Antiqua" w:eastAsia="Book Antiqua" w:hAnsi="Book Antiqua"/>
        </w:rPr>
        <w:t xml:space="preserve">cliente </w:t>
      </w:r>
      <w:r w:rsidR="009D0A46" w:rsidRPr="00DF41D3">
        <w:rPr>
          <w:rFonts w:ascii="Book Antiqua" w:eastAsia="Book Antiqua" w:hAnsi="Book Antiqua"/>
        </w:rPr>
        <w:t xml:space="preserve">deberá </w:t>
      </w:r>
      <w:r w:rsidR="00683BAF" w:rsidRPr="00DF41D3">
        <w:rPr>
          <w:rFonts w:ascii="Book Antiqua" w:eastAsia="Book Antiqua" w:hAnsi="Book Antiqua"/>
        </w:rPr>
        <w:t xml:space="preserve">justificar su intervención amparado </w:t>
      </w:r>
      <w:r w:rsidR="00683BAF" w:rsidRPr="00CA60CC">
        <w:rPr>
          <w:rFonts w:ascii="Book Antiqua" w:eastAsia="Book Antiqua" w:hAnsi="Book Antiqua"/>
        </w:rPr>
        <w:t xml:space="preserve">en un interés apremiante </w:t>
      </w:r>
      <w:r w:rsidR="009D0A46" w:rsidRPr="00DF41D3">
        <w:rPr>
          <w:rFonts w:ascii="Book Antiqua" w:eastAsia="Book Antiqua" w:hAnsi="Book Antiqua"/>
        </w:rPr>
        <w:t xml:space="preserve">demostrando </w:t>
      </w:r>
      <w:r w:rsidR="00683BAF" w:rsidRPr="00DF41D3">
        <w:rPr>
          <w:rFonts w:ascii="Book Antiqua" w:eastAsia="Book Antiqua" w:hAnsi="Book Antiqua"/>
        </w:rPr>
        <w:t xml:space="preserve">que </w:t>
      </w:r>
      <w:r w:rsidR="009D0A46" w:rsidRPr="00DF41D3">
        <w:rPr>
          <w:rFonts w:ascii="Book Antiqua" w:eastAsia="Book Antiqua" w:hAnsi="Book Antiqua"/>
        </w:rPr>
        <w:t>no existe un medio menos oneroso</w:t>
      </w:r>
      <w:r w:rsidR="00A96DBD" w:rsidRPr="00DF41D3">
        <w:rPr>
          <w:rStyle w:val="FootnoteReference"/>
          <w:rFonts w:ascii="Book Antiqua" w:eastAsia="Book Antiqua" w:hAnsi="Book Antiqua"/>
        </w:rPr>
        <w:footnoteReference w:id="13"/>
      </w:r>
      <w:r w:rsidR="00683BAF" w:rsidRPr="00DF41D3">
        <w:rPr>
          <w:rFonts w:ascii="Book Antiqua" w:eastAsia="Book Antiqua" w:hAnsi="Book Antiqua"/>
        </w:rPr>
        <w:t>.</w:t>
      </w:r>
    </w:p>
    <w:p w14:paraId="3C1AA298" w14:textId="053E6F88" w:rsidR="00EC79B7" w:rsidRDefault="00A96DBD" w:rsidP="00522023">
      <w:pPr>
        <w:pStyle w:val="Normal1"/>
        <w:ind w:firstLine="720"/>
        <w:jc w:val="both"/>
        <w:rPr>
          <w:rFonts w:ascii="Book Antiqua" w:eastAsia="Book Antiqua" w:hAnsi="Book Antiqua"/>
        </w:rPr>
      </w:pPr>
      <w:r w:rsidRPr="00DF41D3">
        <w:rPr>
          <w:rFonts w:ascii="Book Antiqua" w:eastAsia="Book Antiqua" w:hAnsi="Book Antiqua"/>
        </w:rPr>
        <w:lastRenderedPageBreak/>
        <w:t>De hecho</w:t>
      </w:r>
      <w:r w:rsidR="0045028D" w:rsidRPr="00DF41D3">
        <w:rPr>
          <w:rFonts w:ascii="Book Antiqua" w:eastAsia="Book Antiqua" w:hAnsi="Book Antiqua"/>
        </w:rPr>
        <w:t>,</w:t>
      </w:r>
      <w:r w:rsidRPr="00DF41D3">
        <w:rPr>
          <w:rFonts w:ascii="Book Antiqua" w:eastAsia="Book Antiqua" w:hAnsi="Book Antiqua"/>
        </w:rPr>
        <w:t xml:space="preserve"> el mismo tribunal</w:t>
      </w:r>
      <w:r w:rsidR="0045028D" w:rsidRPr="00DF41D3">
        <w:rPr>
          <w:rFonts w:ascii="Book Antiqua" w:eastAsia="Book Antiqua" w:hAnsi="Book Antiqua"/>
        </w:rPr>
        <w:t>,</w:t>
      </w:r>
      <w:r w:rsidRPr="00DF41D3">
        <w:rPr>
          <w:rFonts w:ascii="Book Antiqua" w:eastAsia="Book Antiqua" w:hAnsi="Book Antiqua"/>
        </w:rPr>
        <w:t xml:space="preserve"> critica</w:t>
      </w:r>
      <w:r w:rsidR="00E67672" w:rsidRPr="00DF41D3">
        <w:rPr>
          <w:rFonts w:ascii="Book Antiqua" w:eastAsia="Book Antiqua" w:hAnsi="Book Antiqua"/>
        </w:rPr>
        <w:t xml:space="preserve"> duramente </w:t>
      </w:r>
      <w:r w:rsidRPr="00DF41D3">
        <w:rPr>
          <w:rFonts w:ascii="Book Antiqua" w:eastAsia="Book Antiqua" w:hAnsi="Book Antiqua"/>
        </w:rPr>
        <w:t xml:space="preserve">tres </w:t>
      </w:r>
      <w:r w:rsidR="0045028D" w:rsidRPr="00DF41D3">
        <w:rPr>
          <w:rFonts w:ascii="Book Antiqua" w:eastAsia="Book Antiqua" w:hAnsi="Book Antiqua"/>
        </w:rPr>
        <w:t xml:space="preserve">casos </w:t>
      </w:r>
      <w:r w:rsidR="0045028D" w:rsidRPr="00DF41D3">
        <w:rPr>
          <w:rFonts w:ascii="Book Antiqua" w:eastAsia="Book Antiqua" w:hAnsi="Book Antiqua"/>
          <w:lang w:val="es-PR"/>
        </w:rPr>
        <w:t>resueltos</w:t>
      </w:r>
      <w:r w:rsidR="00E67672" w:rsidRPr="00DF41D3">
        <w:rPr>
          <w:rFonts w:ascii="Book Antiqua" w:eastAsia="Book Antiqua" w:hAnsi="Book Antiqua"/>
          <w:lang w:val="es-PR"/>
        </w:rPr>
        <w:t xml:space="preserve"> por dos tribunales apelativos federales</w:t>
      </w:r>
      <w:r w:rsidR="00F71FCA">
        <w:rPr>
          <w:rFonts w:ascii="Book Antiqua" w:eastAsia="Book Antiqua" w:hAnsi="Book Antiqua"/>
          <w:lang w:val="es-PR"/>
        </w:rPr>
        <w:t xml:space="preserve"> que no aplicaron el escrutinio estricto a las intervenciones estatales sobre el “profesional </w:t>
      </w:r>
      <w:proofErr w:type="spellStart"/>
      <w:r w:rsidR="00F71FCA">
        <w:rPr>
          <w:rFonts w:ascii="Book Antiqua" w:eastAsia="Book Antiqua" w:hAnsi="Book Antiqua"/>
          <w:lang w:val="es-PR"/>
        </w:rPr>
        <w:t>speech</w:t>
      </w:r>
      <w:proofErr w:type="spellEnd"/>
      <w:r w:rsidR="00F71FCA">
        <w:rPr>
          <w:rFonts w:ascii="Book Antiqua" w:eastAsia="Book Antiqua" w:hAnsi="Book Antiqua"/>
          <w:lang w:val="es-PR"/>
        </w:rPr>
        <w:t>” en el contexto de las prohibiciones de las terapias de conversión.</w:t>
      </w:r>
      <w:r w:rsidR="00EC79B7" w:rsidRPr="00DF41D3">
        <w:rPr>
          <w:rFonts w:ascii="Book Antiqua" w:eastAsia="Book Antiqua" w:hAnsi="Book Antiqua"/>
          <w:lang w:val="es-PR"/>
        </w:rPr>
        <w:t xml:space="preserve"> </w:t>
      </w:r>
      <w:r w:rsidR="00F71FCA" w:rsidRPr="00F71FCA">
        <w:rPr>
          <w:rFonts w:ascii="Book Antiqua" w:eastAsia="Book Antiqua" w:hAnsi="Book Antiqua"/>
          <w:lang w:val="en-US"/>
        </w:rPr>
        <w:t xml:space="preserve">Los </w:t>
      </w:r>
      <w:proofErr w:type="spellStart"/>
      <w:r w:rsidR="00F71FCA" w:rsidRPr="00F71FCA">
        <w:rPr>
          <w:rFonts w:ascii="Book Antiqua" w:eastAsia="Book Antiqua" w:hAnsi="Book Antiqua"/>
          <w:lang w:val="en-US"/>
        </w:rPr>
        <w:t>casos</w:t>
      </w:r>
      <w:proofErr w:type="spellEnd"/>
      <w:r w:rsidR="00F71FCA" w:rsidRPr="00F71FCA">
        <w:rPr>
          <w:rFonts w:ascii="Book Antiqua" w:eastAsia="Book Antiqua" w:hAnsi="Book Antiqua"/>
          <w:lang w:val="en-US"/>
        </w:rPr>
        <w:t xml:space="preserve"> a </w:t>
      </w:r>
      <w:proofErr w:type="spellStart"/>
      <w:r w:rsidR="00F71FCA" w:rsidRPr="00F71FCA">
        <w:rPr>
          <w:rFonts w:ascii="Book Antiqua" w:eastAsia="Book Antiqua" w:hAnsi="Book Antiqua"/>
          <w:lang w:val="en-US"/>
        </w:rPr>
        <w:t>los</w:t>
      </w:r>
      <w:proofErr w:type="spellEnd"/>
      <w:r w:rsidR="00F71FCA" w:rsidRPr="00F71FCA">
        <w:rPr>
          <w:rFonts w:ascii="Book Antiqua" w:eastAsia="Book Antiqua" w:hAnsi="Book Antiqua"/>
          <w:lang w:val="en-US"/>
        </w:rPr>
        <w:t xml:space="preserve"> que se </w:t>
      </w:r>
      <w:proofErr w:type="spellStart"/>
      <w:r w:rsidR="00F71FCA" w:rsidRPr="00F71FCA">
        <w:rPr>
          <w:rFonts w:ascii="Book Antiqua" w:eastAsia="Book Antiqua" w:hAnsi="Book Antiqua"/>
          <w:lang w:val="en-US"/>
        </w:rPr>
        <w:t>refiere</w:t>
      </w:r>
      <w:proofErr w:type="spellEnd"/>
      <w:r w:rsidR="00F71FCA" w:rsidRPr="00F71FCA">
        <w:rPr>
          <w:rFonts w:ascii="Book Antiqua" w:eastAsia="Book Antiqua" w:hAnsi="Book Antiqua"/>
          <w:lang w:val="en-US"/>
        </w:rPr>
        <w:t xml:space="preserve"> el </w:t>
      </w:r>
      <w:proofErr w:type="spellStart"/>
      <w:r w:rsidR="00F71FCA" w:rsidRPr="00F71FCA">
        <w:rPr>
          <w:rFonts w:ascii="Book Antiqua" w:eastAsia="Book Antiqua" w:hAnsi="Book Antiqua"/>
          <w:lang w:val="en-US"/>
        </w:rPr>
        <w:t>foro</w:t>
      </w:r>
      <w:proofErr w:type="spellEnd"/>
      <w:r w:rsidR="00F71FCA" w:rsidRPr="00F71FCA">
        <w:rPr>
          <w:rFonts w:ascii="Book Antiqua" w:eastAsia="Book Antiqua" w:hAnsi="Book Antiqua"/>
          <w:lang w:val="en-US"/>
        </w:rPr>
        <w:t xml:space="preserve"> judicial </w:t>
      </w:r>
      <w:r w:rsidR="00EC79B7" w:rsidRPr="00F71FCA">
        <w:rPr>
          <w:rFonts w:ascii="Book Antiqua" w:eastAsia="Book Antiqua" w:hAnsi="Book Antiqua"/>
          <w:lang w:val="en-US"/>
        </w:rPr>
        <w:t>son</w:t>
      </w:r>
      <w:r w:rsidR="00E67672" w:rsidRPr="00F71FCA">
        <w:rPr>
          <w:rFonts w:ascii="Book Antiqua" w:eastAsia="Book Antiqua" w:hAnsi="Book Antiqua"/>
          <w:lang w:val="en-US"/>
        </w:rPr>
        <w:t xml:space="preserve">: </w:t>
      </w:r>
      <w:r w:rsidR="00E67672" w:rsidRPr="00F71FCA">
        <w:rPr>
          <w:rFonts w:ascii="Book Antiqua" w:eastAsia="Book Antiqua" w:hAnsi="Book Antiqua"/>
          <w:i/>
          <w:lang w:val="en-US"/>
        </w:rPr>
        <w:t>Welch v. Brown</w:t>
      </w:r>
      <w:r w:rsidR="00E67672" w:rsidRPr="00F71FCA">
        <w:rPr>
          <w:rFonts w:ascii="Book Antiqua" w:eastAsia="Book Antiqua" w:hAnsi="Book Antiqua"/>
          <w:iCs/>
          <w:lang w:val="en-US"/>
        </w:rPr>
        <w:t xml:space="preserve"> 907 F. 2d 1102 (2012), </w:t>
      </w:r>
      <w:r w:rsidR="00E67672" w:rsidRPr="00F71FCA">
        <w:rPr>
          <w:rFonts w:ascii="Book Antiqua" w:eastAsia="Book Antiqua" w:hAnsi="Book Antiqua"/>
          <w:i/>
          <w:lang w:val="en-US"/>
        </w:rPr>
        <w:t>Pickup v. Brown</w:t>
      </w:r>
      <w:r w:rsidR="00E67672" w:rsidRPr="00F71FCA">
        <w:rPr>
          <w:rFonts w:ascii="Book Antiqua" w:eastAsia="Book Antiqua" w:hAnsi="Book Antiqua"/>
          <w:iCs/>
          <w:lang w:val="en-US"/>
        </w:rPr>
        <w:t xml:space="preserve">, 728 F.3d 1042 (9th Cir. 2013) y </w:t>
      </w:r>
      <w:r w:rsidR="00E67672" w:rsidRPr="00F71FCA">
        <w:rPr>
          <w:rFonts w:ascii="Book Antiqua" w:eastAsia="Book Antiqua" w:hAnsi="Book Antiqua"/>
          <w:i/>
          <w:lang w:val="en-US"/>
        </w:rPr>
        <w:t xml:space="preserve">King </w:t>
      </w:r>
      <w:proofErr w:type="gramStart"/>
      <w:r w:rsidR="00E67672" w:rsidRPr="00F71FCA">
        <w:rPr>
          <w:rFonts w:ascii="Book Antiqua" w:eastAsia="Book Antiqua" w:hAnsi="Book Antiqua"/>
          <w:i/>
          <w:lang w:val="en-US"/>
        </w:rPr>
        <w:t>v.</w:t>
      </w:r>
      <w:proofErr w:type="gramEnd"/>
      <w:r w:rsidR="00E67672" w:rsidRPr="00F71FCA">
        <w:rPr>
          <w:rFonts w:ascii="Book Antiqua" w:eastAsia="Book Antiqua" w:hAnsi="Book Antiqua"/>
          <w:i/>
          <w:lang w:val="en-US"/>
        </w:rPr>
        <w:t xml:space="preserve"> Governor of the State of New Jersey</w:t>
      </w:r>
      <w:r w:rsidR="00E67672" w:rsidRPr="00F71FCA">
        <w:rPr>
          <w:rFonts w:ascii="Book Antiqua" w:eastAsia="Book Antiqua" w:hAnsi="Book Antiqua"/>
          <w:iCs/>
          <w:lang w:val="en-US"/>
        </w:rPr>
        <w:t xml:space="preserve"> 767 F.3d 216 (3 Cir. 2014)</w:t>
      </w:r>
      <w:r w:rsidR="00EC79B7" w:rsidRPr="00F71FCA">
        <w:rPr>
          <w:rFonts w:ascii="Book Antiqua" w:eastAsia="Book Antiqua" w:hAnsi="Book Antiqua"/>
          <w:iCs/>
          <w:lang w:val="en-US"/>
        </w:rPr>
        <w:t xml:space="preserve">. </w:t>
      </w:r>
      <w:r w:rsidR="00EC79B7" w:rsidRPr="00DF41D3">
        <w:rPr>
          <w:rFonts w:ascii="Book Antiqua" w:eastAsia="Book Antiqua" w:hAnsi="Book Antiqua"/>
        </w:rPr>
        <w:t xml:space="preserve">Es más, </w:t>
      </w:r>
      <w:r w:rsidR="00F71FCA">
        <w:rPr>
          <w:rFonts w:ascii="Book Antiqua" w:eastAsia="Book Antiqua" w:hAnsi="Book Antiqua"/>
        </w:rPr>
        <w:t xml:space="preserve">se puede concluir de las expresiones del tribunal que </w:t>
      </w:r>
      <w:r w:rsidR="00EC79B7" w:rsidRPr="00DF41D3">
        <w:rPr>
          <w:rFonts w:ascii="Book Antiqua" w:eastAsia="Book Antiqua" w:hAnsi="Book Antiqua"/>
        </w:rPr>
        <w:t>las llamadas terapias de conversión son propiamente “</w:t>
      </w:r>
      <w:proofErr w:type="spellStart"/>
      <w:r w:rsidR="00B065DE" w:rsidRPr="00DF41D3">
        <w:rPr>
          <w:rFonts w:ascii="Book Antiqua" w:eastAsia="Book Antiqua" w:hAnsi="Book Antiqua"/>
        </w:rPr>
        <w:t>professional</w:t>
      </w:r>
      <w:proofErr w:type="spellEnd"/>
      <w:r w:rsidR="00B065DE" w:rsidRPr="00DF41D3">
        <w:rPr>
          <w:rFonts w:ascii="Book Antiqua" w:eastAsia="Book Antiqua" w:hAnsi="Book Antiqua"/>
        </w:rPr>
        <w:t xml:space="preserve"> </w:t>
      </w:r>
      <w:proofErr w:type="spellStart"/>
      <w:r w:rsidR="00EC79B7" w:rsidRPr="00DF41D3">
        <w:rPr>
          <w:rFonts w:ascii="Book Antiqua" w:eastAsia="Book Antiqua" w:hAnsi="Book Antiqua"/>
        </w:rPr>
        <w:t>speech</w:t>
      </w:r>
      <w:proofErr w:type="spellEnd"/>
      <w:r w:rsidR="00EC79B7" w:rsidRPr="00DF41D3">
        <w:rPr>
          <w:rFonts w:ascii="Book Antiqua" w:eastAsia="Book Antiqua" w:hAnsi="Book Antiqua"/>
        </w:rPr>
        <w:t xml:space="preserve">” y no </w:t>
      </w:r>
      <w:r w:rsidR="00F71FCA">
        <w:rPr>
          <w:rFonts w:ascii="Book Antiqua" w:eastAsia="Book Antiqua" w:hAnsi="Book Antiqua"/>
        </w:rPr>
        <w:t xml:space="preserve">pueden ser equiparadas a </w:t>
      </w:r>
      <w:r w:rsidR="00B065DE" w:rsidRPr="00DF41D3">
        <w:rPr>
          <w:rFonts w:ascii="Book Antiqua" w:eastAsia="Book Antiqua" w:hAnsi="Book Antiqua"/>
        </w:rPr>
        <w:t>“</w:t>
      </w:r>
      <w:proofErr w:type="spellStart"/>
      <w:r w:rsidR="00B065DE" w:rsidRPr="00DF41D3">
        <w:rPr>
          <w:rFonts w:ascii="Book Antiqua" w:eastAsia="Book Antiqua" w:hAnsi="Book Antiqua"/>
        </w:rPr>
        <w:t>professional</w:t>
      </w:r>
      <w:proofErr w:type="spellEnd"/>
      <w:r w:rsidR="00B065DE" w:rsidRPr="00DF41D3">
        <w:rPr>
          <w:rFonts w:ascii="Book Antiqua" w:eastAsia="Book Antiqua" w:hAnsi="Book Antiqua"/>
        </w:rPr>
        <w:t xml:space="preserve"> </w:t>
      </w:r>
      <w:proofErr w:type="spellStart"/>
      <w:r w:rsidR="00B065DE" w:rsidRPr="00DF41D3">
        <w:rPr>
          <w:rFonts w:ascii="Book Antiqua" w:eastAsia="Book Antiqua" w:hAnsi="Book Antiqua"/>
        </w:rPr>
        <w:t>conduct</w:t>
      </w:r>
      <w:proofErr w:type="spellEnd"/>
      <w:r w:rsidR="00B065DE" w:rsidRPr="00DF41D3">
        <w:rPr>
          <w:rFonts w:ascii="Book Antiqua" w:eastAsia="Book Antiqua" w:hAnsi="Book Antiqua"/>
        </w:rPr>
        <w:t>”</w:t>
      </w:r>
      <w:r w:rsidR="00EC79B7" w:rsidRPr="00DF41D3">
        <w:rPr>
          <w:rFonts w:ascii="Book Antiqua" w:eastAsia="Book Antiqua" w:hAnsi="Book Antiqua"/>
        </w:rPr>
        <w:t>.</w:t>
      </w:r>
    </w:p>
    <w:p w14:paraId="5518105C" w14:textId="77777777" w:rsidR="00522023" w:rsidRPr="00F71FCA" w:rsidRDefault="00522023" w:rsidP="00522023">
      <w:pPr>
        <w:pStyle w:val="Normal1"/>
        <w:ind w:firstLine="720"/>
        <w:jc w:val="both"/>
        <w:rPr>
          <w:rFonts w:ascii="Book Antiqua" w:eastAsia="Book Antiqua" w:hAnsi="Book Antiqua"/>
          <w:iCs/>
          <w:lang w:val="es-PR"/>
        </w:rPr>
      </w:pPr>
    </w:p>
    <w:p w14:paraId="6F8DAF97" w14:textId="6BA840F0" w:rsidR="00A96DBD" w:rsidRDefault="00EC79B7" w:rsidP="00522023">
      <w:pPr>
        <w:pStyle w:val="Normal1"/>
        <w:jc w:val="both"/>
        <w:rPr>
          <w:rFonts w:ascii="Book Antiqua" w:eastAsia="Book Antiqua" w:hAnsi="Book Antiqua"/>
          <w:lang w:val="es-PR"/>
        </w:rPr>
      </w:pPr>
      <w:r w:rsidRPr="00DF41D3">
        <w:rPr>
          <w:rFonts w:ascii="Book Antiqua" w:eastAsia="Book Antiqua" w:hAnsi="Book Antiqua"/>
          <w:lang w:val="es-PR"/>
        </w:rPr>
        <w:t>E</w:t>
      </w:r>
      <w:r w:rsidR="0045028D" w:rsidRPr="00DF41D3">
        <w:rPr>
          <w:rFonts w:ascii="Book Antiqua" w:eastAsia="Book Antiqua" w:hAnsi="Book Antiqua"/>
          <w:lang w:val="es-PR"/>
        </w:rPr>
        <w:t>l Tribunal Supremo de Estados Unidos</w:t>
      </w:r>
      <w:r w:rsidRPr="00DF41D3">
        <w:rPr>
          <w:rFonts w:ascii="Book Antiqua" w:eastAsia="Book Antiqua" w:hAnsi="Book Antiqua"/>
          <w:lang w:val="es-PR"/>
        </w:rPr>
        <w:t xml:space="preserve"> concluye: </w:t>
      </w:r>
    </w:p>
    <w:p w14:paraId="17386A7F" w14:textId="77777777" w:rsidR="00522023" w:rsidRPr="00DF41D3" w:rsidRDefault="00522023" w:rsidP="00522023">
      <w:pPr>
        <w:pStyle w:val="Normal1"/>
        <w:jc w:val="both"/>
        <w:rPr>
          <w:rFonts w:ascii="Book Antiqua" w:eastAsia="Book Antiqua" w:hAnsi="Book Antiqua"/>
          <w:lang w:val="es-PR"/>
        </w:rPr>
      </w:pPr>
    </w:p>
    <w:p w14:paraId="757B0123" w14:textId="13F37467" w:rsidR="006C6A85" w:rsidRPr="00DF41D3" w:rsidRDefault="00B030EF" w:rsidP="00522023">
      <w:pPr>
        <w:pStyle w:val="Normal1"/>
        <w:ind w:left="720" w:right="720"/>
        <w:jc w:val="both"/>
        <w:rPr>
          <w:rFonts w:ascii="Book Antiqua" w:eastAsia="Book Antiqua" w:hAnsi="Book Antiqua"/>
          <w:lang w:val="en-US"/>
        </w:rPr>
      </w:pPr>
      <w:r w:rsidRPr="00B030EF">
        <w:rPr>
          <w:rFonts w:ascii="Book Antiqua" w:eastAsia="Book Antiqua" w:hAnsi="Book Antiqua"/>
          <w:lang w:val="es-PR"/>
        </w:rPr>
        <w:t xml:space="preserve">La Corte Suprema ha rechazado sistemáticamente los intentos de no prestarle importancia a los peligros [que comporta] la regulación del contenido del discurso en los entornos profesionales: “Al igual que con otros tipos de discursos, regular el contenido del discurso de los profesionales 'plantea el riesgo inherente de que el Gobierno no </w:t>
      </w:r>
      <w:r w:rsidR="003358E8">
        <w:rPr>
          <w:rFonts w:ascii="Book Antiqua" w:eastAsia="Book Antiqua" w:hAnsi="Book Antiqua"/>
          <w:lang w:val="es-PR"/>
        </w:rPr>
        <w:t>busque</w:t>
      </w:r>
      <w:r w:rsidRPr="00B030EF">
        <w:rPr>
          <w:rFonts w:ascii="Book Antiqua" w:eastAsia="Book Antiqua" w:hAnsi="Book Antiqua"/>
          <w:lang w:val="es-PR"/>
        </w:rPr>
        <w:t xml:space="preserve"> promover un objetivo reglamentario legítimo, sino </w:t>
      </w:r>
      <w:r w:rsidR="003358E8">
        <w:rPr>
          <w:rFonts w:ascii="Book Antiqua" w:eastAsia="Book Antiqua" w:hAnsi="Book Antiqua"/>
          <w:lang w:val="es-PR"/>
        </w:rPr>
        <w:t xml:space="preserve">que intente </w:t>
      </w:r>
      <w:r w:rsidRPr="00B030EF">
        <w:rPr>
          <w:rFonts w:ascii="Book Antiqua" w:eastAsia="Book Antiqua" w:hAnsi="Book Antiqua"/>
          <w:lang w:val="es-PR"/>
        </w:rPr>
        <w:t>suprimir ideas o informaci</w:t>
      </w:r>
      <w:r w:rsidR="003358E8">
        <w:rPr>
          <w:rFonts w:ascii="Book Antiqua" w:eastAsia="Book Antiqua" w:hAnsi="Book Antiqua"/>
          <w:lang w:val="es-PR"/>
        </w:rPr>
        <w:t>ones</w:t>
      </w:r>
      <w:r w:rsidRPr="00B030EF">
        <w:rPr>
          <w:rFonts w:ascii="Book Antiqua" w:eastAsia="Book Antiqua" w:hAnsi="Book Antiqua"/>
          <w:lang w:val="es-PR"/>
        </w:rPr>
        <w:t xml:space="preserve"> impopulares '”. </w:t>
      </w:r>
      <w:r w:rsidRPr="00B030EF">
        <w:rPr>
          <w:rFonts w:ascii="Book Antiqua" w:eastAsia="Book Antiqua" w:hAnsi="Book Antiqua"/>
          <w:lang w:val="en-US"/>
        </w:rPr>
        <w:t xml:space="preserve">Nat’l USCA11 Case: 19-10604 Date Filed: 11/20/2020 Page: 7 of 47 Inst. of Fam. &amp; Life </w:t>
      </w:r>
      <w:proofErr w:type="spellStart"/>
      <w:r w:rsidRPr="00B030EF">
        <w:rPr>
          <w:rFonts w:ascii="Book Antiqua" w:eastAsia="Book Antiqua" w:hAnsi="Book Antiqua"/>
          <w:lang w:val="en-US"/>
        </w:rPr>
        <w:t>Advocs</w:t>
      </w:r>
      <w:proofErr w:type="spellEnd"/>
      <w:r w:rsidRPr="00B030EF">
        <w:rPr>
          <w:rFonts w:ascii="Book Antiqua" w:eastAsia="Book Antiqua" w:hAnsi="Book Antiqua"/>
          <w:lang w:val="en-US"/>
        </w:rPr>
        <w:t>. v. Becerra, 138 S. Ct. 2361, 2374 (2018) (alteration in original) (quoting Turner, 512 U.S. at 641)</w:t>
      </w:r>
      <w:r>
        <w:rPr>
          <w:rStyle w:val="FootnoteReference"/>
          <w:rFonts w:ascii="Book Antiqua" w:eastAsia="Book Antiqua" w:hAnsi="Book Antiqua"/>
          <w:lang w:val="en-US"/>
        </w:rPr>
        <w:footnoteReference w:id="14"/>
      </w:r>
      <w:r w:rsidR="006C6A85" w:rsidRPr="00DF41D3">
        <w:rPr>
          <w:rFonts w:ascii="Book Antiqua" w:eastAsia="Book Antiqua" w:hAnsi="Book Antiqua"/>
          <w:lang w:val="en-US"/>
        </w:rPr>
        <w:t>.</w:t>
      </w:r>
    </w:p>
    <w:p w14:paraId="0B5C89D9" w14:textId="478801AA" w:rsidR="00DF41D3" w:rsidRDefault="00DF41D3" w:rsidP="00522023">
      <w:pPr>
        <w:ind w:firstLine="720"/>
        <w:jc w:val="both"/>
        <w:rPr>
          <w:rFonts w:ascii="Book Antiqua" w:hAnsi="Book Antiqua"/>
          <w:lang w:val="es-PR"/>
        </w:rPr>
      </w:pPr>
      <w:r>
        <w:rPr>
          <w:rFonts w:ascii="Book Antiqua" w:hAnsi="Book Antiqua"/>
          <w:lang w:val="es-PR"/>
        </w:rPr>
        <w:lastRenderedPageBreak/>
        <w:t xml:space="preserve">Los parámetros jurídicos asentados por el caso de </w:t>
      </w:r>
      <w:proofErr w:type="spellStart"/>
      <w:r w:rsidRPr="006C3E3C">
        <w:rPr>
          <w:rFonts w:ascii="Book Antiqua" w:hAnsi="Book Antiqua"/>
          <w:b/>
          <w:bCs/>
          <w:lang w:val="es-PR"/>
        </w:rPr>
        <w:t>National</w:t>
      </w:r>
      <w:proofErr w:type="spellEnd"/>
      <w:r w:rsidRPr="006C3E3C">
        <w:rPr>
          <w:rFonts w:ascii="Book Antiqua" w:hAnsi="Book Antiqua"/>
          <w:b/>
          <w:bCs/>
          <w:lang w:val="es-PR"/>
        </w:rPr>
        <w:t xml:space="preserve"> </w:t>
      </w:r>
      <w:r w:rsidRPr="00DF41D3">
        <w:rPr>
          <w:rFonts w:ascii="Book Antiqua" w:hAnsi="Book Antiqua"/>
          <w:i/>
          <w:iCs/>
          <w:lang w:val="es-PR"/>
        </w:rPr>
        <w:t>supra</w:t>
      </w:r>
      <w:r>
        <w:rPr>
          <w:rFonts w:ascii="Book Antiqua" w:hAnsi="Book Antiqua"/>
          <w:lang w:val="es-PR"/>
        </w:rPr>
        <w:t xml:space="preserve">. fueran aplicados por un tribunal apelativo federal (Circuito 11) </w:t>
      </w:r>
      <w:r w:rsidRPr="00DF41D3">
        <w:rPr>
          <w:rFonts w:ascii="Book Antiqua" w:hAnsi="Book Antiqua"/>
          <w:lang w:val="es-PR"/>
        </w:rPr>
        <w:t xml:space="preserve">en </w:t>
      </w:r>
      <w:r>
        <w:rPr>
          <w:rFonts w:ascii="Book Antiqua" w:hAnsi="Book Antiqua"/>
          <w:lang w:val="es-PR"/>
        </w:rPr>
        <w:t xml:space="preserve">el caso </w:t>
      </w:r>
      <w:r w:rsidRPr="00DF41D3">
        <w:rPr>
          <w:rFonts w:ascii="Book Antiqua" w:hAnsi="Book Antiqua"/>
          <w:i/>
          <w:lang w:val="es-PR"/>
        </w:rPr>
        <w:t xml:space="preserve">Otto v. Ciudad de Boca </w:t>
      </w:r>
      <w:proofErr w:type="spellStart"/>
      <w:r w:rsidRPr="00DF41D3">
        <w:rPr>
          <w:rFonts w:ascii="Book Antiqua" w:hAnsi="Book Antiqua"/>
          <w:i/>
          <w:lang w:val="es-PR"/>
        </w:rPr>
        <w:t>Raton</w:t>
      </w:r>
      <w:proofErr w:type="spellEnd"/>
      <w:r w:rsidR="006C3E3C">
        <w:rPr>
          <w:rStyle w:val="FootnoteReference"/>
          <w:rFonts w:ascii="Book Antiqua" w:hAnsi="Book Antiqua"/>
          <w:i/>
          <w:lang w:val="es-PR"/>
        </w:rPr>
        <w:footnoteReference w:id="15"/>
      </w:r>
      <w:r w:rsidRPr="00DF41D3">
        <w:rPr>
          <w:rFonts w:ascii="Book Antiqua" w:hAnsi="Book Antiqua"/>
          <w:lang w:val="es-PR"/>
        </w:rPr>
        <w:t xml:space="preserve">, </w:t>
      </w:r>
      <w:r>
        <w:rPr>
          <w:rFonts w:ascii="Book Antiqua" w:hAnsi="Book Antiqua"/>
          <w:lang w:val="es-PR"/>
        </w:rPr>
        <w:t xml:space="preserve">el 20 de noviembre del 2020.  En efecto el tribunal determinó que son inconstitucionales las prohibiciones de las terapias de conversión porque atentan contra la Primera enmienda de la Constitución de los Estados Unidos en su vertiente del llamado “profesional </w:t>
      </w:r>
      <w:proofErr w:type="spellStart"/>
      <w:r>
        <w:rPr>
          <w:rFonts w:ascii="Book Antiqua" w:hAnsi="Book Antiqua"/>
          <w:lang w:val="es-PR"/>
        </w:rPr>
        <w:t>speech</w:t>
      </w:r>
      <w:proofErr w:type="spellEnd"/>
      <w:r w:rsidR="006C3E3C">
        <w:rPr>
          <w:rFonts w:ascii="Book Antiqua" w:hAnsi="Book Antiqua"/>
          <w:lang w:val="es-PR"/>
        </w:rPr>
        <w:t>”</w:t>
      </w:r>
      <w:r>
        <w:rPr>
          <w:rFonts w:ascii="Book Antiqua" w:hAnsi="Book Antiqua"/>
          <w:lang w:val="es-PR"/>
        </w:rPr>
        <w:t xml:space="preserve">.    </w:t>
      </w:r>
      <w:r w:rsidRPr="00B030EF">
        <w:rPr>
          <w:rFonts w:ascii="Book Antiqua" w:hAnsi="Book Antiqua"/>
          <w:lang w:val="es-PR"/>
        </w:rPr>
        <w:t>En efecto afirmó:</w:t>
      </w:r>
    </w:p>
    <w:p w14:paraId="261064C6" w14:textId="77777777" w:rsidR="00522023" w:rsidRPr="00B030EF" w:rsidRDefault="00522023" w:rsidP="00522023">
      <w:pPr>
        <w:ind w:firstLine="720"/>
        <w:jc w:val="both"/>
        <w:rPr>
          <w:rFonts w:ascii="Book Antiqua" w:hAnsi="Book Antiqua"/>
          <w:lang w:val="es-PR"/>
        </w:rPr>
      </w:pPr>
    </w:p>
    <w:p w14:paraId="7820F2F7" w14:textId="12014EC7" w:rsidR="00DF41D3" w:rsidRPr="00B030EF" w:rsidRDefault="00B030EF" w:rsidP="00522023">
      <w:pPr>
        <w:ind w:left="1440" w:right="720"/>
        <w:jc w:val="both"/>
        <w:rPr>
          <w:rFonts w:ascii="Book Antiqua" w:hAnsi="Book Antiqua"/>
          <w:lang w:val="es-PR"/>
        </w:rPr>
      </w:pPr>
      <w:r w:rsidRPr="00B030EF">
        <w:rPr>
          <w:rFonts w:ascii="Book Antiqua" w:hAnsi="Book Antiqua"/>
          <w:lang w:val="es-PR"/>
        </w:rPr>
        <w:t>Nosotros entendemos y apreciamos que la terapia de conversión es altamente controversial. Pero la Primera Enmienda no prevé ninguna excepción para el discurso controversial. Sostenemos que las ordenanzas impugnadas violan la Primera Enmienda porque son regulaciones de expresión basadas en el contenido que no pueden sobrevivir a un escrutinio estricto</w:t>
      </w:r>
      <w:r>
        <w:rPr>
          <w:rStyle w:val="FootnoteReference"/>
          <w:rFonts w:ascii="Book Antiqua" w:hAnsi="Book Antiqua"/>
          <w:lang w:val="en-US"/>
        </w:rPr>
        <w:footnoteReference w:id="16"/>
      </w:r>
    </w:p>
    <w:p w14:paraId="3A0F8E2D" w14:textId="77777777" w:rsidR="006C3E3C" w:rsidRPr="00B030EF" w:rsidRDefault="006C3E3C" w:rsidP="00522023">
      <w:pPr>
        <w:ind w:firstLine="720"/>
        <w:jc w:val="both"/>
        <w:rPr>
          <w:rFonts w:ascii="Book Antiqua" w:hAnsi="Book Antiqua"/>
          <w:iCs/>
          <w:lang w:val="es-PR"/>
        </w:rPr>
      </w:pPr>
    </w:p>
    <w:p w14:paraId="2315E338" w14:textId="4C1CDE21" w:rsidR="00DF41D3" w:rsidRDefault="00DF41D3" w:rsidP="00522023">
      <w:pPr>
        <w:ind w:firstLine="720"/>
        <w:jc w:val="both"/>
        <w:rPr>
          <w:rFonts w:ascii="Book Antiqua" w:hAnsi="Book Antiqua"/>
          <w:iCs/>
          <w:lang w:val="es-PR"/>
        </w:rPr>
      </w:pPr>
      <w:r w:rsidRPr="00DF41D3">
        <w:rPr>
          <w:rFonts w:ascii="Book Antiqua" w:hAnsi="Book Antiqua"/>
          <w:iCs/>
          <w:lang w:val="es-PR"/>
        </w:rPr>
        <w:t xml:space="preserve">Además, el mismo tribunal </w:t>
      </w:r>
      <w:r w:rsidR="006C3E3C">
        <w:rPr>
          <w:rFonts w:ascii="Book Antiqua" w:hAnsi="Book Antiqua"/>
          <w:iCs/>
          <w:lang w:val="es-PR"/>
        </w:rPr>
        <w:t xml:space="preserve">entendió que el estado no pudo demostrar que existía un interés apremiante para prohibirlas porque las críticas de la APA, en la que sustentaba su intervención, son basadas en </w:t>
      </w:r>
      <w:r w:rsidRPr="00DF41D3">
        <w:rPr>
          <w:rFonts w:ascii="Book Antiqua" w:hAnsi="Book Antiqua"/>
          <w:iCs/>
          <w:lang w:val="es-PR"/>
        </w:rPr>
        <w:t xml:space="preserve">aproximaciones y no conclusiones científicas: </w:t>
      </w:r>
    </w:p>
    <w:p w14:paraId="4E8AA6B8" w14:textId="77777777" w:rsidR="00522023" w:rsidRPr="00DF41D3" w:rsidRDefault="00522023" w:rsidP="00522023">
      <w:pPr>
        <w:ind w:firstLine="720"/>
        <w:jc w:val="both"/>
        <w:rPr>
          <w:rFonts w:ascii="Book Antiqua" w:hAnsi="Book Antiqua"/>
          <w:iCs/>
          <w:lang w:val="es-PR"/>
        </w:rPr>
      </w:pPr>
    </w:p>
    <w:p w14:paraId="05B60652" w14:textId="77777777" w:rsidR="00DE281A" w:rsidRDefault="00DE281A" w:rsidP="00522023">
      <w:pPr>
        <w:ind w:left="1440" w:right="720"/>
        <w:jc w:val="both"/>
        <w:rPr>
          <w:rFonts w:ascii="Book Antiqua" w:hAnsi="Book Antiqua"/>
          <w:iCs/>
          <w:lang w:val="es-PR"/>
        </w:rPr>
      </w:pPr>
      <w:r w:rsidRPr="00DE281A">
        <w:rPr>
          <w:rFonts w:ascii="Book Antiqua" w:hAnsi="Book Antiqua"/>
          <w:iCs/>
          <w:lang w:val="es-PR"/>
        </w:rPr>
        <w:t xml:space="preserve">Los demandados </w:t>
      </w:r>
      <w:r w:rsidRPr="00DE281A">
        <w:rPr>
          <w:iCs/>
          <w:lang w:val="es-PR"/>
        </w:rPr>
        <w:t>​​</w:t>
      </w:r>
      <w:r w:rsidRPr="00DE281A">
        <w:rPr>
          <w:rFonts w:ascii="Book Antiqua" w:hAnsi="Book Antiqua"/>
          <w:iCs/>
          <w:lang w:val="es-PR"/>
        </w:rPr>
        <w:t xml:space="preserve">dicen que las ordenanzas "salvaguardan [...] el bienestar físico y psicológico de los menores". Junto con sus </w:t>
      </w:r>
      <w:proofErr w:type="spellStart"/>
      <w:r w:rsidRPr="00DE281A">
        <w:rPr>
          <w:rFonts w:ascii="Book Antiqua" w:hAnsi="Book Antiqua"/>
          <w:i/>
          <w:iCs/>
          <w:lang w:val="es-PR"/>
        </w:rPr>
        <w:t>amici</w:t>
      </w:r>
      <w:proofErr w:type="spellEnd"/>
      <w:r w:rsidRPr="00DE281A">
        <w:rPr>
          <w:rFonts w:ascii="Book Antiqua" w:hAnsi="Book Antiqua"/>
          <w:iCs/>
          <w:lang w:val="es-PR"/>
        </w:rPr>
        <w:t>, presentan una serie de informes y estudios que exponen los daños [de ese tipo de terapias]. Pero cuando se examinan de cerca, esos documentos ofrecen afirmaciones en lugar de pruebas, al menos con respecto a los efectos de SOCE que están basado solamente en un dialogo hablado [entre el psicólogo y el cliente]</w:t>
      </w:r>
    </w:p>
    <w:p w14:paraId="382AB24B" w14:textId="77777777" w:rsidR="00522023" w:rsidRPr="00DE281A" w:rsidRDefault="00522023" w:rsidP="00522023">
      <w:pPr>
        <w:ind w:left="1440" w:right="720"/>
        <w:jc w:val="both"/>
        <w:rPr>
          <w:rFonts w:ascii="Book Antiqua" w:hAnsi="Book Antiqua"/>
          <w:iCs/>
          <w:lang w:val="es-PR"/>
        </w:rPr>
      </w:pPr>
    </w:p>
    <w:p w14:paraId="7EB03CCA" w14:textId="1303DAB9" w:rsidR="00DE281A" w:rsidRDefault="00DE281A" w:rsidP="00522023">
      <w:pPr>
        <w:ind w:left="1440" w:right="720"/>
        <w:jc w:val="both"/>
        <w:rPr>
          <w:rFonts w:ascii="Book Antiqua" w:hAnsi="Book Antiqua"/>
          <w:iCs/>
        </w:rPr>
      </w:pPr>
      <w:r w:rsidRPr="00DE281A">
        <w:rPr>
          <w:rFonts w:ascii="Book Antiqua" w:hAnsi="Book Antiqua"/>
          <w:iCs/>
          <w:lang w:val="es-PR"/>
        </w:rPr>
        <w:t xml:space="preserve">De hecho, un informe de la </w:t>
      </w:r>
      <w:r w:rsidRPr="00DE281A">
        <w:rPr>
          <w:rFonts w:ascii="Book Antiqua" w:hAnsi="Book Antiqua"/>
          <w:i/>
          <w:iCs/>
          <w:lang w:val="es-PR"/>
        </w:rPr>
        <w:t>Asociación Americana de Psicología</w:t>
      </w:r>
      <w:r w:rsidRPr="00DE281A">
        <w:rPr>
          <w:rFonts w:ascii="Book Antiqua" w:hAnsi="Book Antiqua"/>
          <w:iCs/>
          <w:lang w:val="es-PR"/>
        </w:rPr>
        <w:t xml:space="preserve">, en el que se basan los demandados, concede que </w:t>
      </w:r>
      <w:r w:rsidRPr="00DE281A">
        <w:rPr>
          <w:rFonts w:ascii="Book Antiqua" w:hAnsi="Book Antiqua"/>
          <w:iCs/>
        </w:rPr>
        <w:t xml:space="preserve">“los enfoques recientes y </w:t>
      </w:r>
      <w:r w:rsidR="003358E8">
        <w:rPr>
          <w:rFonts w:ascii="Book Antiqua" w:hAnsi="Book Antiqua"/>
          <w:iCs/>
        </w:rPr>
        <w:t xml:space="preserve">que usan métodos </w:t>
      </w:r>
      <w:r w:rsidRPr="00DE281A">
        <w:rPr>
          <w:rFonts w:ascii="Book Antiqua" w:hAnsi="Book Antiqua"/>
          <w:iCs/>
        </w:rPr>
        <w:t>no aversivos de SOCE no han sido evaluados rigurosamente”.</w:t>
      </w:r>
    </w:p>
    <w:p w14:paraId="5906ABBB" w14:textId="77777777" w:rsidR="00522023" w:rsidRPr="00DE281A" w:rsidRDefault="00522023" w:rsidP="00522023">
      <w:pPr>
        <w:ind w:left="1440" w:right="720"/>
        <w:jc w:val="both"/>
        <w:rPr>
          <w:rFonts w:ascii="Book Antiqua" w:hAnsi="Book Antiqua"/>
          <w:iCs/>
        </w:rPr>
      </w:pPr>
    </w:p>
    <w:p w14:paraId="19BAADFE" w14:textId="04DD82DC" w:rsidR="00DF41D3" w:rsidRDefault="00DE281A" w:rsidP="00522023">
      <w:pPr>
        <w:ind w:left="1440" w:right="720"/>
        <w:jc w:val="both"/>
        <w:rPr>
          <w:rFonts w:ascii="Book Antiqua" w:hAnsi="Book Antiqua"/>
          <w:iCs/>
          <w:lang w:val="es-PR"/>
        </w:rPr>
      </w:pPr>
      <w:r w:rsidRPr="00DE281A">
        <w:rPr>
          <w:rFonts w:ascii="Book Antiqua" w:hAnsi="Book Antiqua"/>
          <w:iCs/>
          <w:lang w:val="es-PR"/>
        </w:rPr>
        <w:t xml:space="preserve">En cuanto al SOCE basado puramente en una terapia hablada, el informe señala que las investigaciones recientes indican que quienes han participado tienen puntos de vista mixtos, [es decir]: “hay individuos que perciben que han sido lastimados y otros que perciben que se han beneficiado de SOCE no aversivos”. Es más, debido a esta "falta total" de rigurosas investigaciones recientes, el </w:t>
      </w:r>
      <w:r w:rsidRPr="00DE281A">
        <w:rPr>
          <w:rFonts w:ascii="Book Antiqua" w:hAnsi="Book Antiqua"/>
          <w:iCs/>
          <w:lang w:val="es-PR"/>
        </w:rPr>
        <w:lastRenderedPageBreak/>
        <w:t>informe concluye que "no hay una indicación clara de la prevalencia de resultados nocivos entre las personas que se han sometido" a SOCE</w:t>
      </w:r>
      <w:r w:rsidR="00B030EF">
        <w:rPr>
          <w:rStyle w:val="FootnoteReference"/>
          <w:rFonts w:ascii="Book Antiqua" w:hAnsi="Book Antiqua"/>
          <w:iCs/>
          <w:lang w:val="en-US"/>
        </w:rPr>
        <w:footnoteReference w:id="17"/>
      </w:r>
    </w:p>
    <w:p w14:paraId="5012A61E" w14:textId="77777777" w:rsidR="00522023" w:rsidRPr="00DE281A" w:rsidRDefault="00522023" w:rsidP="00522023">
      <w:pPr>
        <w:ind w:left="1440" w:right="720"/>
        <w:jc w:val="both"/>
        <w:rPr>
          <w:rFonts w:ascii="Book Antiqua" w:hAnsi="Book Antiqua"/>
          <w:iCs/>
          <w:lang w:val="es-PR"/>
        </w:rPr>
      </w:pPr>
    </w:p>
    <w:p w14:paraId="29B1AA2A" w14:textId="4FA0B919" w:rsidR="00DF41D3" w:rsidRPr="00DF41D3" w:rsidRDefault="00DF41D3" w:rsidP="00522023">
      <w:pPr>
        <w:ind w:firstLine="720"/>
        <w:jc w:val="both"/>
        <w:rPr>
          <w:rFonts w:ascii="Book Antiqua" w:hAnsi="Book Antiqua"/>
          <w:iCs/>
          <w:lang w:val="es-PR"/>
        </w:rPr>
      </w:pPr>
      <w:r w:rsidRPr="00DF41D3">
        <w:rPr>
          <w:rFonts w:ascii="Book Antiqua" w:hAnsi="Book Antiqua"/>
          <w:iCs/>
          <w:lang w:val="es-PR"/>
        </w:rPr>
        <w:t>Por eso concluyen los jueces del circuito 11</w:t>
      </w:r>
      <w:r w:rsidR="009E1D16">
        <w:rPr>
          <w:rFonts w:ascii="Book Antiqua" w:hAnsi="Book Antiqua"/>
          <w:iCs/>
          <w:lang w:val="es-PR"/>
        </w:rPr>
        <w:t xml:space="preserve"> que coartar la capacidad de los profesionales de la salud mental en explorar modos adecuados para ayudar a sus clientes seria en detrimento del desarrollo de la ciencia, como los ejemplos históricos manifiestan:</w:t>
      </w:r>
    </w:p>
    <w:p w14:paraId="08751D54" w14:textId="77777777" w:rsidR="009E1D16" w:rsidRPr="009E1D16" w:rsidRDefault="009E1D16" w:rsidP="00522023">
      <w:pPr>
        <w:ind w:left="1440" w:right="720"/>
        <w:jc w:val="both"/>
        <w:rPr>
          <w:rFonts w:ascii="Book Antiqua" w:hAnsi="Book Antiqua"/>
          <w:iCs/>
          <w:lang w:val="es-PR"/>
        </w:rPr>
      </w:pPr>
    </w:p>
    <w:p w14:paraId="7E6E85A6" w14:textId="77777777" w:rsidR="00DE281A" w:rsidRDefault="00DE281A" w:rsidP="00522023">
      <w:pPr>
        <w:ind w:left="1440" w:right="720"/>
        <w:jc w:val="both"/>
        <w:rPr>
          <w:rFonts w:ascii="Book Antiqua" w:hAnsi="Book Antiqua"/>
          <w:iCs/>
          <w:lang w:val="es-PR"/>
        </w:rPr>
      </w:pPr>
      <w:r w:rsidRPr="00DE281A">
        <w:rPr>
          <w:rFonts w:ascii="Book Antiqua" w:hAnsi="Book Antiqua"/>
          <w:iCs/>
          <w:lang w:val="es-PR"/>
        </w:rPr>
        <w:t xml:space="preserve">No es raro que las organizaciones profesionales tomen una actitud adversa en respuesta a nuevas evidencias o nuevas actitudes, por eso un ejemplo [histórico] se destaca al considerar este caso. </w:t>
      </w:r>
    </w:p>
    <w:p w14:paraId="767BB5B8" w14:textId="77777777" w:rsidR="00522023" w:rsidRPr="00DE281A" w:rsidRDefault="00522023" w:rsidP="00522023">
      <w:pPr>
        <w:ind w:left="1440" w:right="720"/>
        <w:jc w:val="both"/>
        <w:rPr>
          <w:rFonts w:ascii="Book Antiqua" w:hAnsi="Book Antiqua"/>
          <w:iCs/>
          <w:lang w:val="es-PR"/>
        </w:rPr>
      </w:pPr>
    </w:p>
    <w:p w14:paraId="2BE3FEF6" w14:textId="77777777" w:rsidR="00DE281A" w:rsidRDefault="00DE281A" w:rsidP="00522023">
      <w:pPr>
        <w:ind w:left="1440" w:right="720"/>
        <w:jc w:val="both"/>
        <w:rPr>
          <w:rFonts w:ascii="Book Antiqua" w:hAnsi="Book Antiqua"/>
          <w:iCs/>
          <w:lang w:val="es-PR"/>
        </w:rPr>
      </w:pPr>
      <w:r w:rsidRPr="00DE281A">
        <w:rPr>
          <w:rFonts w:ascii="Book Antiqua" w:hAnsi="Book Antiqua"/>
          <w:iCs/>
          <w:lang w:val="es-PR"/>
        </w:rPr>
        <w:t xml:space="preserve">En las tres primeras ediciones del </w:t>
      </w:r>
      <w:r w:rsidRPr="00DE281A">
        <w:rPr>
          <w:rFonts w:ascii="Book Antiqua" w:hAnsi="Book Antiqua"/>
          <w:i/>
          <w:iCs/>
          <w:lang w:val="es-PR"/>
        </w:rPr>
        <w:t>Manual Diagnóstico y Estadístico de los Trastornos Mentales</w:t>
      </w:r>
      <w:r w:rsidRPr="00DE281A">
        <w:rPr>
          <w:rFonts w:ascii="Book Antiqua" w:hAnsi="Book Antiqua"/>
          <w:iCs/>
          <w:lang w:val="es-PR"/>
        </w:rPr>
        <w:t xml:space="preserve"> (DSM), la </w:t>
      </w:r>
      <w:r w:rsidRPr="00DE281A">
        <w:rPr>
          <w:rFonts w:ascii="Book Antiqua" w:hAnsi="Book Antiqua"/>
          <w:i/>
          <w:iCs/>
          <w:lang w:val="es-PR"/>
        </w:rPr>
        <w:t>Asociación Americana de Psiquiatría</w:t>
      </w:r>
      <w:r w:rsidRPr="00DE281A">
        <w:rPr>
          <w:rFonts w:ascii="Book Antiqua" w:hAnsi="Book Antiqua"/>
          <w:iCs/>
          <w:lang w:val="es-PR"/>
        </w:rPr>
        <w:t xml:space="preserve"> consideró la homosexualidad como una parafilia, un trastorno o una perturbación [mental]. Sólo en 1987 se eliminó por completo la homosexualidad del Manual. </w:t>
      </w:r>
    </w:p>
    <w:p w14:paraId="02F75879" w14:textId="77777777" w:rsidR="00522023" w:rsidRPr="00DE281A" w:rsidRDefault="00522023" w:rsidP="00522023">
      <w:pPr>
        <w:ind w:left="1440" w:right="720"/>
        <w:jc w:val="both"/>
        <w:rPr>
          <w:rFonts w:ascii="Book Antiqua" w:hAnsi="Book Antiqua"/>
          <w:iCs/>
          <w:lang w:val="es-PR"/>
        </w:rPr>
      </w:pPr>
    </w:p>
    <w:p w14:paraId="1FD9CC46" w14:textId="273B72E9" w:rsidR="00DF41D3" w:rsidRPr="00DE281A" w:rsidRDefault="00DE281A" w:rsidP="00522023">
      <w:pPr>
        <w:ind w:left="1440" w:right="720"/>
        <w:jc w:val="both"/>
        <w:rPr>
          <w:rFonts w:ascii="Book Antiqua" w:hAnsi="Book Antiqua"/>
          <w:iCs/>
          <w:lang w:val="es-PR"/>
        </w:rPr>
      </w:pPr>
      <w:r w:rsidRPr="00DE281A">
        <w:rPr>
          <w:rFonts w:ascii="Book Antiqua" w:hAnsi="Book Antiqua"/>
          <w:iCs/>
          <w:lang w:val="es-PR"/>
        </w:rPr>
        <w:t>La posición abandonada de la Asociación es, por decirlo cándidamente, ampliamente desfavorecida hoy en día. Pero ese cambio, en sí mismo, muestra por qué no podemos confiar en los juicios de las organizaciones profesionales; habría sido terriblemente incorrecto permitir que el antiguo consenso profesional contra la homosexualidad justificara una prohibición de la consejería que la afirmaba. Los principios neutrales funcionan en ambos sentidos, por lo que no podemos permitir que un nuevo consenso justifique las restricciones a la libre opinión. Las opiniones profesionales y las actitudes culturales pueden haber cambiado, pero la Primera Enmienda no</w:t>
      </w:r>
      <w:r>
        <w:rPr>
          <w:rStyle w:val="FootnoteReference"/>
          <w:rFonts w:ascii="Book Antiqua" w:hAnsi="Book Antiqua"/>
          <w:iCs/>
          <w:lang w:val="en-US"/>
        </w:rPr>
        <w:footnoteReference w:id="18"/>
      </w:r>
    </w:p>
    <w:p w14:paraId="40F62DD0" w14:textId="1CB3770D" w:rsidR="00B46B11" w:rsidRDefault="00EC79B7" w:rsidP="00522023">
      <w:pPr>
        <w:pStyle w:val="Normal1"/>
        <w:ind w:firstLine="720"/>
        <w:jc w:val="both"/>
        <w:rPr>
          <w:rFonts w:ascii="Book Antiqua" w:hAnsi="Book Antiqua"/>
        </w:rPr>
      </w:pPr>
      <w:r w:rsidRPr="00DF41D3">
        <w:rPr>
          <w:rFonts w:ascii="Book Antiqua" w:eastAsia="Book Antiqua" w:hAnsi="Book Antiqua"/>
        </w:rPr>
        <w:lastRenderedPageBreak/>
        <w:t xml:space="preserve">Por </w:t>
      </w:r>
      <w:r w:rsidR="00B065DE" w:rsidRPr="00DF41D3">
        <w:rPr>
          <w:rFonts w:ascii="Book Antiqua" w:eastAsia="Book Antiqua" w:hAnsi="Book Antiqua"/>
        </w:rPr>
        <w:t xml:space="preserve">último, </w:t>
      </w:r>
      <w:r w:rsidR="00C2344E" w:rsidRPr="00DF41D3">
        <w:rPr>
          <w:rFonts w:ascii="Book Antiqua" w:eastAsia="Book Antiqua" w:hAnsi="Book Antiqua"/>
        </w:rPr>
        <w:t xml:space="preserve">este proyecto responde a una preocupación legitima que </w:t>
      </w:r>
      <w:r w:rsidR="00C71C39" w:rsidRPr="00DF41D3">
        <w:rPr>
          <w:rFonts w:ascii="Book Antiqua" w:eastAsia="Book Antiqua" w:hAnsi="Book Antiqua"/>
        </w:rPr>
        <w:t xml:space="preserve">debemos </w:t>
      </w:r>
      <w:r w:rsidR="00C2344E" w:rsidRPr="00DF41D3">
        <w:rPr>
          <w:rFonts w:ascii="Book Antiqua" w:eastAsia="Book Antiqua" w:hAnsi="Book Antiqua"/>
        </w:rPr>
        <w:t xml:space="preserve">tener todos en sociedad, nos referimos a la preocupación </w:t>
      </w:r>
      <w:r w:rsidR="00B46B11" w:rsidRPr="00DF41D3">
        <w:rPr>
          <w:rFonts w:ascii="Book Antiqua" w:eastAsia="Book Antiqua" w:hAnsi="Book Antiqua"/>
        </w:rPr>
        <w:t xml:space="preserve">que se utilicen métodos seudocientíficos, indignos de la persona humana, con propósitos discriminatorios para violentar la autonomía y la libertad de los seres humanos sobre la orientación sexual que deseen expresar en sus vidas. </w:t>
      </w:r>
      <w:r w:rsidR="0065578D" w:rsidRPr="00CA60CC">
        <w:rPr>
          <w:rFonts w:ascii="Book Antiqua" w:eastAsia="Book Antiqua" w:hAnsi="Book Antiqua"/>
        </w:rPr>
        <w:t>Esta prohibición general</w:t>
      </w:r>
      <w:r w:rsidR="0065578D">
        <w:rPr>
          <w:rFonts w:ascii="Book Antiqua" w:eastAsia="Book Antiqua" w:hAnsi="Book Antiqua"/>
        </w:rPr>
        <w:t xml:space="preserve"> de las llamadas terapias de conversión, en el caso de los menores</w:t>
      </w:r>
      <w:r w:rsidR="00B46B11" w:rsidRPr="00DF41D3">
        <w:rPr>
          <w:rStyle w:val="FootnoteReference"/>
          <w:rFonts w:ascii="Book Antiqua" w:hAnsi="Book Antiqua"/>
        </w:rPr>
        <w:footnoteReference w:id="19"/>
      </w:r>
      <w:r w:rsidR="00B46B11" w:rsidRPr="00DF41D3">
        <w:rPr>
          <w:rFonts w:ascii="Book Antiqua" w:hAnsi="Book Antiqua"/>
        </w:rPr>
        <w:t xml:space="preserve">, </w:t>
      </w:r>
      <w:r w:rsidR="0065578D">
        <w:rPr>
          <w:rFonts w:ascii="Book Antiqua" w:hAnsi="Book Antiqua"/>
        </w:rPr>
        <w:t xml:space="preserve">toma en cuenta nuestro </w:t>
      </w:r>
      <w:r w:rsidR="00B46B11" w:rsidRPr="00DF41D3">
        <w:rPr>
          <w:rFonts w:ascii="Book Antiqua" w:hAnsi="Book Antiqua"/>
        </w:rPr>
        <w:t xml:space="preserve">estado de derecho con respecto </w:t>
      </w:r>
      <w:r w:rsidR="0065578D">
        <w:rPr>
          <w:rFonts w:ascii="Book Antiqua" w:hAnsi="Book Antiqua"/>
        </w:rPr>
        <w:t xml:space="preserve">al </w:t>
      </w:r>
      <w:r w:rsidR="0065578D" w:rsidRPr="00CA60CC">
        <w:rPr>
          <w:rFonts w:ascii="Book Antiqua" w:hAnsi="Book Antiqua"/>
        </w:rPr>
        <w:t>derecho fundamental</w:t>
      </w:r>
      <w:r w:rsidR="0065578D">
        <w:rPr>
          <w:rFonts w:ascii="Book Antiqua" w:hAnsi="Book Antiqua"/>
        </w:rPr>
        <w:t xml:space="preserve"> de los padres al ejercicio de </w:t>
      </w:r>
      <w:r w:rsidR="00B46B11" w:rsidRPr="00DF41D3">
        <w:rPr>
          <w:rFonts w:ascii="Book Antiqua" w:hAnsi="Book Antiqua"/>
        </w:rPr>
        <w:t>la patria potestad</w:t>
      </w:r>
      <w:r w:rsidR="0065578D">
        <w:rPr>
          <w:rFonts w:ascii="Book Antiqua" w:hAnsi="Book Antiqua"/>
        </w:rPr>
        <w:t xml:space="preserve"> según recientemente recordado en el Código Civil aprobado</w:t>
      </w:r>
      <w:r w:rsidR="0065578D">
        <w:rPr>
          <w:rStyle w:val="FootnoteReference"/>
          <w:rFonts w:ascii="Book Antiqua" w:hAnsi="Book Antiqua"/>
        </w:rPr>
        <w:footnoteReference w:id="20"/>
      </w:r>
      <w:r w:rsidR="0065578D">
        <w:rPr>
          <w:rFonts w:ascii="Book Antiqua" w:hAnsi="Book Antiqua"/>
        </w:rPr>
        <w:t xml:space="preserve">. </w:t>
      </w:r>
      <w:r w:rsidR="00B46B11" w:rsidRPr="00DF41D3">
        <w:rPr>
          <w:rFonts w:ascii="Book Antiqua" w:hAnsi="Book Antiqua"/>
        </w:rPr>
        <w:t xml:space="preserve"> </w:t>
      </w:r>
    </w:p>
    <w:p w14:paraId="35171CD8" w14:textId="77777777" w:rsidR="00522023" w:rsidRPr="00DF41D3" w:rsidRDefault="00522023" w:rsidP="00522023">
      <w:pPr>
        <w:pStyle w:val="Normal1"/>
        <w:ind w:firstLine="720"/>
        <w:jc w:val="both"/>
        <w:rPr>
          <w:rFonts w:ascii="Book Antiqua" w:hAnsi="Book Antiqua"/>
        </w:rPr>
      </w:pPr>
    </w:p>
    <w:p w14:paraId="20097F4A" w14:textId="5F0AF2D6" w:rsidR="00140B19" w:rsidRPr="00DF41D3" w:rsidRDefault="00560D63" w:rsidP="00522023">
      <w:pPr>
        <w:pStyle w:val="Normal1"/>
        <w:ind w:firstLine="720"/>
        <w:jc w:val="both"/>
        <w:rPr>
          <w:rFonts w:ascii="Book Antiqua" w:eastAsia="Book Antiqua" w:hAnsi="Book Antiqua"/>
        </w:rPr>
      </w:pPr>
      <w:r>
        <w:rPr>
          <w:rFonts w:ascii="Book Antiqua" w:eastAsia="Book Antiqua" w:hAnsi="Book Antiqua"/>
        </w:rPr>
        <w:t xml:space="preserve">Esta </w:t>
      </w:r>
      <w:r w:rsidR="003914CB">
        <w:rPr>
          <w:rFonts w:ascii="Book Antiqua" w:eastAsia="Book Antiqua" w:hAnsi="Book Antiqua"/>
        </w:rPr>
        <w:t xml:space="preserve">Asamblea Legislativa </w:t>
      </w:r>
      <w:r>
        <w:rPr>
          <w:rFonts w:ascii="Book Antiqua" w:eastAsia="Book Antiqua" w:hAnsi="Book Antiqua"/>
        </w:rPr>
        <w:t xml:space="preserve">entiende que </w:t>
      </w:r>
      <w:r w:rsidR="003D3D13">
        <w:rPr>
          <w:rFonts w:ascii="Book Antiqua" w:eastAsia="Book Antiqua" w:hAnsi="Book Antiqua"/>
        </w:rPr>
        <w:t>esta práctica</w:t>
      </w:r>
      <w:r>
        <w:rPr>
          <w:rFonts w:ascii="Book Antiqua" w:eastAsia="Book Antiqua" w:hAnsi="Book Antiqua"/>
        </w:rPr>
        <w:t xml:space="preserve"> no debe ser permitida, pues el mero ejercicio</w:t>
      </w:r>
      <w:r w:rsidR="00381660">
        <w:rPr>
          <w:rFonts w:ascii="Book Antiqua" w:eastAsia="Book Antiqua" w:hAnsi="Book Antiqua"/>
        </w:rPr>
        <w:t xml:space="preserve"> de estas terapias de conversión</w:t>
      </w:r>
      <w:r>
        <w:rPr>
          <w:rFonts w:ascii="Book Antiqua" w:eastAsia="Book Antiqua" w:hAnsi="Book Antiqua"/>
        </w:rPr>
        <w:t xml:space="preserve"> </w:t>
      </w:r>
      <w:r w:rsidR="003D3D13">
        <w:rPr>
          <w:rFonts w:ascii="Book Antiqua" w:eastAsia="Book Antiqua" w:hAnsi="Book Antiqua"/>
        </w:rPr>
        <w:t>transgrede</w:t>
      </w:r>
      <w:r w:rsidR="00381660">
        <w:rPr>
          <w:rFonts w:ascii="Book Antiqua" w:eastAsia="Book Antiqua" w:hAnsi="Book Antiqua"/>
        </w:rPr>
        <w:t xml:space="preserve"> la dignidad de una persona</w:t>
      </w:r>
      <w:r>
        <w:rPr>
          <w:rFonts w:ascii="Book Antiqua" w:eastAsia="Book Antiqua" w:hAnsi="Book Antiqua"/>
        </w:rPr>
        <w:t xml:space="preserve"> provocando un serio daño psicológico a las víctimas de este</w:t>
      </w:r>
      <w:r w:rsidR="003914CB">
        <w:rPr>
          <w:rFonts w:ascii="Book Antiqua" w:eastAsia="Book Antiqua" w:hAnsi="Book Antiqua"/>
        </w:rPr>
        <w:t xml:space="preserve"> patrón de sometimiento</w:t>
      </w:r>
      <w:r w:rsidR="00381660">
        <w:rPr>
          <w:rFonts w:ascii="Book Antiqua" w:eastAsia="Book Antiqua" w:hAnsi="Book Antiqua"/>
        </w:rPr>
        <w:t xml:space="preserve">. Las terapias de conversión </w:t>
      </w:r>
      <w:r>
        <w:rPr>
          <w:rFonts w:ascii="Book Antiqua" w:eastAsia="Book Antiqua" w:hAnsi="Book Antiqua"/>
        </w:rPr>
        <w:t>parte</w:t>
      </w:r>
      <w:r w:rsidR="00381660">
        <w:rPr>
          <w:rFonts w:ascii="Book Antiqua" w:eastAsia="Book Antiqua" w:hAnsi="Book Antiqua"/>
        </w:rPr>
        <w:t>n</w:t>
      </w:r>
      <w:r>
        <w:rPr>
          <w:rFonts w:ascii="Book Antiqua" w:eastAsia="Book Antiqua" w:hAnsi="Book Antiqua"/>
        </w:rPr>
        <w:t xml:space="preserve"> de la premisa que la orientaci</w:t>
      </w:r>
      <w:r w:rsidR="00381660">
        <w:rPr>
          <w:rFonts w:ascii="Book Antiqua" w:eastAsia="Book Antiqua" w:hAnsi="Book Antiqua"/>
        </w:rPr>
        <w:t>ón sexual o la identidad de g</w:t>
      </w:r>
      <w:r w:rsidR="003D3D13">
        <w:rPr>
          <w:rFonts w:ascii="Book Antiqua" w:eastAsia="Book Antiqua" w:hAnsi="Book Antiqua"/>
        </w:rPr>
        <w:t xml:space="preserve">énero real o </w:t>
      </w:r>
      <w:r w:rsidR="00381660">
        <w:rPr>
          <w:rFonts w:ascii="Book Antiqua" w:eastAsia="Book Antiqua" w:hAnsi="Book Antiqua"/>
        </w:rPr>
        <w:t>percibida de una persona</w:t>
      </w:r>
      <w:r>
        <w:rPr>
          <w:rFonts w:ascii="Book Antiqua" w:eastAsia="Book Antiqua" w:hAnsi="Book Antiqua"/>
        </w:rPr>
        <w:t xml:space="preserve"> es una enfermedad</w:t>
      </w:r>
      <w:r w:rsidR="00381660">
        <w:rPr>
          <w:rFonts w:ascii="Book Antiqua" w:eastAsia="Book Antiqua" w:hAnsi="Book Antiqua"/>
        </w:rPr>
        <w:t xml:space="preserve"> remediable o</w:t>
      </w:r>
      <w:r>
        <w:rPr>
          <w:rFonts w:ascii="Book Antiqua" w:eastAsia="Book Antiqua" w:hAnsi="Book Antiqua"/>
        </w:rPr>
        <w:t xml:space="preserve"> curable</w:t>
      </w:r>
      <w:r w:rsidR="00381660">
        <w:rPr>
          <w:rFonts w:ascii="Book Antiqua" w:eastAsia="Book Antiqua" w:hAnsi="Book Antiqua"/>
        </w:rPr>
        <w:t xml:space="preserve">, esto es un asunto que no es correcto, ni ajustado </w:t>
      </w:r>
      <w:r w:rsidR="003D3D13">
        <w:rPr>
          <w:rFonts w:ascii="Book Antiqua" w:eastAsia="Book Antiqua" w:hAnsi="Book Antiqua"/>
        </w:rPr>
        <w:t>a</w:t>
      </w:r>
      <w:r w:rsidR="00381660">
        <w:rPr>
          <w:rFonts w:ascii="Book Antiqua" w:eastAsia="Book Antiqua" w:hAnsi="Book Antiqua"/>
        </w:rPr>
        <w:t xml:space="preserve"> los pronunciamientos en defensa de los derechos humanos realizados en el siglo XX y XXI. </w:t>
      </w:r>
      <w:r w:rsidR="00B46B11" w:rsidRPr="00DF41D3">
        <w:rPr>
          <w:rFonts w:ascii="Book Antiqua" w:eastAsia="Book Antiqua" w:hAnsi="Book Antiqua"/>
        </w:rPr>
        <w:t xml:space="preserve">El </w:t>
      </w:r>
      <w:r w:rsidR="00C2344E" w:rsidRPr="00DF41D3">
        <w:rPr>
          <w:rFonts w:ascii="Book Antiqua" w:eastAsia="Book Antiqua" w:hAnsi="Book Antiqua"/>
        </w:rPr>
        <w:t xml:space="preserve">Estado Libre Asociado </w:t>
      </w:r>
      <w:r w:rsidR="00B46B11" w:rsidRPr="00DF41D3">
        <w:rPr>
          <w:rFonts w:ascii="Book Antiqua" w:eastAsia="Book Antiqua" w:hAnsi="Book Antiqua"/>
        </w:rPr>
        <w:t>tiene un interés genuino en proteger el biene</w:t>
      </w:r>
      <w:r w:rsidR="005A2EAC">
        <w:rPr>
          <w:rFonts w:ascii="Book Antiqua" w:eastAsia="Book Antiqua" w:hAnsi="Book Antiqua"/>
        </w:rPr>
        <w:t xml:space="preserve">star físico y psicológico </w:t>
      </w:r>
      <w:r w:rsidR="003D3D13">
        <w:rPr>
          <w:rFonts w:ascii="Book Antiqua" w:eastAsia="Book Antiqua" w:hAnsi="Book Antiqua"/>
        </w:rPr>
        <w:t xml:space="preserve">de </w:t>
      </w:r>
      <w:r w:rsidR="005A2EAC">
        <w:rPr>
          <w:rFonts w:ascii="Book Antiqua" w:eastAsia="Book Antiqua" w:hAnsi="Book Antiqua"/>
        </w:rPr>
        <w:t>toda persona</w:t>
      </w:r>
      <w:r>
        <w:rPr>
          <w:rFonts w:ascii="Book Antiqua" w:eastAsia="Book Antiqua" w:hAnsi="Book Antiqua"/>
        </w:rPr>
        <w:t>,</w:t>
      </w:r>
      <w:r w:rsidR="00C679C7">
        <w:rPr>
          <w:rFonts w:ascii="Book Antiqua" w:eastAsia="Book Antiqua" w:hAnsi="Book Antiqua"/>
        </w:rPr>
        <w:t xml:space="preserve"> </w:t>
      </w:r>
      <w:r w:rsidR="00B46B11" w:rsidRPr="00DF41D3">
        <w:rPr>
          <w:rFonts w:ascii="Book Antiqua" w:eastAsia="Book Antiqua" w:hAnsi="Book Antiqua"/>
        </w:rPr>
        <w:t xml:space="preserve">y evitar que </w:t>
      </w:r>
      <w:r w:rsidR="003D3D13">
        <w:rPr>
          <w:rFonts w:ascii="Book Antiqua" w:eastAsia="Book Antiqua" w:hAnsi="Book Antiqua"/>
        </w:rPr>
        <w:t>estén expuesta</w:t>
      </w:r>
      <w:r w:rsidR="00B46B11" w:rsidRPr="00DF41D3">
        <w:rPr>
          <w:rFonts w:ascii="Book Antiqua" w:eastAsia="Book Antiqua" w:hAnsi="Book Antiqua"/>
        </w:rPr>
        <w:t xml:space="preserve"> a serios daños producto de tratamientos pseudocientíficos, y esfuerzos que puedan incidir adversamente en su salud mental</w:t>
      </w:r>
      <w:r w:rsidR="00AD699E">
        <w:rPr>
          <w:rFonts w:ascii="Book Antiqua" w:eastAsia="Book Antiqua" w:hAnsi="Book Antiqua"/>
        </w:rPr>
        <w:t xml:space="preserve"> de una persona</w:t>
      </w:r>
      <w:r>
        <w:rPr>
          <w:rFonts w:ascii="Book Antiqua" w:eastAsia="Book Antiqua" w:hAnsi="Book Antiqua"/>
        </w:rPr>
        <w:t>.</w:t>
      </w:r>
    </w:p>
    <w:p w14:paraId="2FE5D750" w14:textId="77777777" w:rsidR="00B46B11" w:rsidRPr="006748BC" w:rsidRDefault="00B46B11" w:rsidP="00522023">
      <w:pPr>
        <w:pStyle w:val="Normal1"/>
        <w:ind w:firstLine="720"/>
        <w:jc w:val="both"/>
        <w:rPr>
          <w:rFonts w:ascii="Book Antiqua" w:eastAsia="Book Antiqua" w:hAnsi="Book Antiqua" w:cs="Book Antiqua"/>
          <w:strike/>
        </w:rPr>
      </w:pPr>
    </w:p>
    <w:p w14:paraId="1F81D967" w14:textId="77777777" w:rsidR="00B46B11" w:rsidRPr="00522023" w:rsidRDefault="00B46B11" w:rsidP="00522023">
      <w:pPr>
        <w:pStyle w:val="Normal1"/>
        <w:spacing w:line="480" w:lineRule="auto"/>
        <w:rPr>
          <w:rFonts w:ascii="Book Antiqua" w:eastAsia="Book Antiqua" w:hAnsi="Book Antiqua" w:cs="Book Antiqua"/>
        </w:rPr>
      </w:pPr>
      <w:r w:rsidRPr="00522023">
        <w:rPr>
          <w:rFonts w:ascii="Book Antiqua" w:eastAsia="Book Antiqua" w:hAnsi="Book Antiqua" w:cs="Book Antiqua"/>
          <w:i/>
        </w:rPr>
        <w:t>DECRÉTASE POR LA ASAMBLEA LEGISLATIVA DE PUERTO RICO:</w:t>
      </w:r>
    </w:p>
    <w:p w14:paraId="537E06E1" w14:textId="77777777" w:rsidR="00B46B11" w:rsidRPr="00522023" w:rsidRDefault="00B46B11" w:rsidP="00B46B11">
      <w:pPr>
        <w:pStyle w:val="Normal1"/>
        <w:spacing w:line="480" w:lineRule="auto"/>
        <w:jc w:val="both"/>
        <w:rPr>
          <w:rFonts w:ascii="Book Antiqua" w:eastAsia="Book Antiqua" w:hAnsi="Book Antiqua" w:cs="Book Antiqua"/>
        </w:rPr>
        <w:sectPr w:rsidR="00B46B11" w:rsidRPr="00522023">
          <w:headerReference w:type="default" r:id="rId8"/>
          <w:headerReference w:type="first" r:id="rId9"/>
          <w:pgSz w:w="12240" w:h="15840"/>
          <w:pgMar w:top="1440" w:right="1440" w:bottom="1440" w:left="1440" w:header="720" w:footer="720" w:gutter="0"/>
          <w:pgNumType w:start="1"/>
          <w:cols w:space="720"/>
          <w:titlePg/>
        </w:sectPr>
      </w:pPr>
    </w:p>
    <w:p w14:paraId="24DAC400" w14:textId="3BE41199" w:rsidR="00B46B11" w:rsidRPr="00B46B11" w:rsidRDefault="00B46B11" w:rsidP="00B46B11">
      <w:pPr>
        <w:pStyle w:val="Normal1"/>
        <w:spacing w:line="480" w:lineRule="auto"/>
        <w:ind w:firstLine="720"/>
        <w:jc w:val="both"/>
        <w:rPr>
          <w:rFonts w:ascii="Book Antiqua" w:eastAsia="Book Antiqua" w:hAnsi="Book Antiqua" w:cs="Book Antiqua"/>
        </w:rPr>
      </w:pPr>
      <w:r w:rsidRPr="00B46B11">
        <w:rPr>
          <w:rFonts w:ascii="Book Antiqua" w:eastAsia="Book Antiqua" w:hAnsi="Book Antiqua" w:cs="Book Antiqua"/>
        </w:rPr>
        <w:lastRenderedPageBreak/>
        <w:t xml:space="preserve">Artículo 1.-Esta Ley se conocerá como la “Ley para la prohibición de las terapias </w:t>
      </w:r>
      <w:r w:rsidR="00F96E6B">
        <w:rPr>
          <w:rFonts w:ascii="Book Antiqua" w:eastAsia="Book Antiqua" w:hAnsi="Book Antiqua" w:cs="Book Antiqua"/>
        </w:rPr>
        <w:t xml:space="preserve">de conversión o </w:t>
      </w:r>
      <w:r w:rsidRPr="00B46B11">
        <w:rPr>
          <w:rFonts w:ascii="Book Antiqua" w:eastAsia="Book Antiqua" w:hAnsi="Book Antiqua" w:cs="Book Antiqua"/>
        </w:rPr>
        <w:t>reparativas”.</w:t>
      </w:r>
    </w:p>
    <w:p w14:paraId="779DFACE" w14:textId="77777777" w:rsidR="00B46B11" w:rsidRPr="00B46B11" w:rsidRDefault="00B46B11" w:rsidP="00B46B11">
      <w:pPr>
        <w:pStyle w:val="Normal1"/>
        <w:spacing w:line="480" w:lineRule="auto"/>
        <w:ind w:firstLine="720"/>
        <w:jc w:val="both"/>
        <w:rPr>
          <w:rFonts w:ascii="Book Antiqua" w:eastAsia="Book Antiqua" w:hAnsi="Book Antiqua" w:cs="Book Antiqua"/>
        </w:rPr>
      </w:pPr>
      <w:r w:rsidRPr="00B46B11">
        <w:rPr>
          <w:rFonts w:ascii="Book Antiqua" w:eastAsia="Book Antiqua" w:hAnsi="Book Antiqua" w:cs="Book Antiqua"/>
        </w:rPr>
        <w:t>Artículo 2.-Establecimiento de Política Pública.</w:t>
      </w:r>
    </w:p>
    <w:p w14:paraId="4141BE0B" w14:textId="6B0E5D0E" w:rsidR="006D4822" w:rsidRDefault="00B46B11" w:rsidP="00B46B11">
      <w:pPr>
        <w:pStyle w:val="Normal1"/>
        <w:spacing w:line="480" w:lineRule="auto"/>
        <w:ind w:firstLine="720"/>
        <w:jc w:val="both"/>
        <w:rPr>
          <w:rFonts w:ascii="Book Antiqua" w:eastAsia="Book Antiqua" w:hAnsi="Book Antiqua" w:cs="Book Antiqua"/>
        </w:rPr>
      </w:pPr>
      <w:r w:rsidRPr="00B46B11">
        <w:rPr>
          <w:rFonts w:ascii="Book Antiqua" w:eastAsia="Book Antiqua" w:hAnsi="Book Antiqua" w:cs="Book Antiqua"/>
        </w:rPr>
        <w:t xml:space="preserve">Se establece como política pública del </w:t>
      </w:r>
      <w:r w:rsidR="00C51656">
        <w:rPr>
          <w:rFonts w:ascii="Book Antiqua" w:eastAsia="Book Antiqua" w:hAnsi="Book Antiqua" w:cs="Book Antiqua"/>
        </w:rPr>
        <w:t>Estado libre Asociado d</w:t>
      </w:r>
      <w:r w:rsidRPr="00B46B11">
        <w:rPr>
          <w:rFonts w:ascii="Book Antiqua" w:eastAsia="Book Antiqua" w:hAnsi="Book Antiqua" w:cs="Book Antiqua"/>
        </w:rPr>
        <w:t>e Puerto Rico que ningún profesional dedicado a proveer servicios de salud mental</w:t>
      </w:r>
      <w:r w:rsidRPr="00B46B11">
        <w:rPr>
          <w:rFonts w:ascii="Book Antiqua" w:eastAsia="Book Antiqua" w:hAnsi="Book Antiqua" w:cs="Book Antiqua"/>
          <w:b/>
        </w:rPr>
        <w:t xml:space="preserve"> </w:t>
      </w:r>
      <w:r w:rsidRPr="00B46B11">
        <w:rPr>
          <w:rFonts w:ascii="Book Antiqua" w:eastAsia="Book Antiqua" w:hAnsi="Book Antiqua" w:cs="Book Antiqua"/>
        </w:rPr>
        <w:t>podrá someter a un</w:t>
      </w:r>
      <w:r w:rsidR="00C679C7">
        <w:rPr>
          <w:rFonts w:ascii="Book Antiqua" w:eastAsia="Book Antiqua" w:hAnsi="Book Antiqua" w:cs="Book Antiqua"/>
        </w:rPr>
        <w:t>a</w:t>
      </w:r>
      <w:r w:rsidRPr="00B46B11">
        <w:rPr>
          <w:rFonts w:ascii="Book Antiqua" w:eastAsia="Book Antiqua" w:hAnsi="Book Antiqua" w:cs="Book Antiqua"/>
        </w:rPr>
        <w:t xml:space="preserve"> </w:t>
      </w:r>
      <w:r w:rsidR="00C679C7">
        <w:rPr>
          <w:rFonts w:ascii="Book Antiqua" w:eastAsia="Book Antiqua" w:hAnsi="Book Antiqua" w:cs="Book Antiqua"/>
        </w:rPr>
        <w:t xml:space="preserve">persona </w:t>
      </w:r>
      <w:r w:rsidRPr="00B46B11">
        <w:rPr>
          <w:rFonts w:ascii="Book Antiqua" w:eastAsia="Book Antiqua" w:hAnsi="Book Antiqua" w:cs="Book Antiqua"/>
        </w:rPr>
        <w:t>a terapias reparativas</w:t>
      </w:r>
      <w:r w:rsidR="00A17FE3">
        <w:rPr>
          <w:rFonts w:ascii="Book Antiqua" w:eastAsia="Book Antiqua" w:hAnsi="Book Antiqua" w:cs="Book Antiqua"/>
        </w:rPr>
        <w:t xml:space="preserve"> o de conversión</w:t>
      </w:r>
      <w:r w:rsidRPr="00B46B11">
        <w:rPr>
          <w:rFonts w:ascii="Book Antiqua" w:eastAsia="Book Antiqua" w:hAnsi="Book Antiqua" w:cs="Book Antiqua"/>
        </w:rPr>
        <w:t xml:space="preserve"> </w:t>
      </w:r>
      <w:r w:rsidRPr="00706C14">
        <w:rPr>
          <w:rFonts w:ascii="Book Antiqua" w:eastAsia="Book Antiqua" w:hAnsi="Book Antiqua" w:cs="Book Antiqua"/>
        </w:rPr>
        <w:t>que sean contrari</w:t>
      </w:r>
      <w:r w:rsidR="004242B8" w:rsidRPr="00706C14">
        <w:rPr>
          <w:rFonts w:ascii="Book Antiqua" w:eastAsia="Book Antiqua" w:hAnsi="Book Antiqua" w:cs="Book Antiqua"/>
        </w:rPr>
        <w:t>a</w:t>
      </w:r>
      <w:r w:rsidRPr="00706C14">
        <w:rPr>
          <w:rFonts w:ascii="Book Antiqua" w:eastAsia="Book Antiqua" w:hAnsi="Book Antiqua" w:cs="Book Antiqua"/>
        </w:rPr>
        <w:t>s a la voluntad del paciente o que supongan un atentado contra la dignidad humana</w:t>
      </w:r>
      <w:r w:rsidRPr="00B46B11">
        <w:rPr>
          <w:rFonts w:ascii="Book Antiqua" w:eastAsia="Book Antiqua" w:hAnsi="Book Antiqua" w:cs="Book Antiqua"/>
        </w:rPr>
        <w:t>.</w:t>
      </w:r>
      <w:r w:rsidR="0072244E">
        <w:rPr>
          <w:rFonts w:ascii="Book Antiqua" w:eastAsia="Book Antiqua" w:hAnsi="Book Antiqua" w:cs="Book Antiqua"/>
        </w:rPr>
        <w:t xml:space="preserve"> </w:t>
      </w:r>
    </w:p>
    <w:p w14:paraId="62F17B0E" w14:textId="41F35AA4" w:rsidR="0045028D" w:rsidRPr="00EC79B7" w:rsidRDefault="00A17FE3" w:rsidP="00B46B11">
      <w:pPr>
        <w:pStyle w:val="Normal1"/>
        <w:spacing w:line="480" w:lineRule="auto"/>
        <w:ind w:firstLine="720"/>
        <w:jc w:val="both"/>
        <w:rPr>
          <w:rFonts w:ascii="Book Antiqua" w:eastAsia="Book Antiqua" w:hAnsi="Book Antiqua" w:cs="Book Antiqua"/>
        </w:rPr>
      </w:pPr>
      <w:r>
        <w:rPr>
          <w:rFonts w:ascii="Book Antiqua" w:eastAsia="Book Antiqua" w:hAnsi="Book Antiqua" w:cs="Book Antiqua"/>
        </w:rPr>
        <w:lastRenderedPageBreak/>
        <w:t xml:space="preserve">También será parte de la política </w:t>
      </w:r>
      <w:r w:rsidR="006D4822">
        <w:rPr>
          <w:rFonts w:ascii="Book Antiqua" w:eastAsia="Book Antiqua" w:hAnsi="Book Antiqua" w:cs="Book Antiqua"/>
        </w:rPr>
        <w:t xml:space="preserve">pública la obligación del </w:t>
      </w:r>
      <w:r w:rsidR="00E7240F">
        <w:rPr>
          <w:rFonts w:ascii="Book Antiqua" w:eastAsia="Book Antiqua" w:hAnsi="Book Antiqua" w:cs="Book Antiqua"/>
        </w:rPr>
        <w:t xml:space="preserve">gobierno </w:t>
      </w:r>
      <w:r w:rsidR="006D4822">
        <w:rPr>
          <w:rFonts w:ascii="Book Antiqua" w:eastAsia="Book Antiqua" w:hAnsi="Book Antiqua" w:cs="Book Antiqua"/>
        </w:rPr>
        <w:t xml:space="preserve">de </w:t>
      </w:r>
      <w:r w:rsidR="004D4D68">
        <w:rPr>
          <w:rFonts w:ascii="Book Antiqua" w:eastAsia="Book Antiqua" w:hAnsi="Book Antiqua" w:cs="Book Antiqua"/>
        </w:rPr>
        <w:t>conformar sus</w:t>
      </w:r>
      <w:r w:rsidR="00887D6B" w:rsidRPr="00EC79B7">
        <w:rPr>
          <w:rFonts w:ascii="Book Antiqua" w:eastAsia="Book Antiqua" w:hAnsi="Book Antiqua" w:cs="Book Antiqua"/>
        </w:rPr>
        <w:t xml:space="preserve"> </w:t>
      </w:r>
      <w:r w:rsidR="00EC79B7" w:rsidRPr="00EC79B7">
        <w:rPr>
          <w:rFonts w:ascii="Book Antiqua" w:eastAsia="Book Antiqua" w:hAnsi="Book Antiqua" w:cs="Book Antiqua"/>
        </w:rPr>
        <w:t>intervenciones</w:t>
      </w:r>
      <w:r w:rsidR="00887D6B" w:rsidRPr="00EC79B7">
        <w:rPr>
          <w:rFonts w:ascii="Book Antiqua" w:eastAsia="Book Antiqua" w:hAnsi="Book Antiqua" w:cs="Book Antiqua"/>
        </w:rPr>
        <w:t xml:space="preserve"> </w:t>
      </w:r>
      <w:r>
        <w:rPr>
          <w:rFonts w:ascii="Book Antiqua" w:eastAsia="Book Antiqua" w:hAnsi="Book Antiqua" w:cs="Book Antiqua"/>
        </w:rPr>
        <w:t>con</w:t>
      </w:r>
      <w:r w:rsidR="0045028D" w:rsidRPr="00EC79B7">
        <w:rPr>
          <w:rFonts w:ascii="Book Antiqua" w:eastAsia="Book Antiqua" w:hAnsi="Book Antiqua" w:cs="Book Antiqua"/>
        </w:rPr>
        <w:t xml:space="preserve"> los </w:t>
      </w:r>
      <w:r w:rsidR="00EC79B7" w:rsidRPr="00EC79B7">
        <w:rPr>
          <w:rFonts w:ascii="Book Antiqua" w:eastAsia="Book Antiqua" w:hAnsi="Book Antiqua" w:cs="Book Antiqua"/>
        </w:rPr>
        <w:t>profesionales</w:t>
      </w:r>
      <w:r w:rsidR="0045028D" w:rsidRPr="00EC79B7">
        <w:rPr>
          <w:rFonts w:ascii="Book Antiqua" w:eastAsia="Book Antiqua" w:hAnsi="Book Antiqua" w:cs="Book Antiqua"/>
        </w:rPr>
        <w:t xml:space="preserve"> de la salud mental </w:t>
      </w:r>
      <w:r>
        <w:rPr>
          <w:rFonts w:ascii="Book Antiqua" w:eastAsia="Book Antiqua" w:hAnsi="Book Antiqua" w:cs="Book Antiqua"/>
        </w:rPr>
        <w:t xml:space="preserve">según </w:t>
      </w:r>
      <w:r w:rsidR="0045028D" w:rsidRPr="00EC79B7">
        <w:rPr>
          <w:rFonts w:ascii="Book Antiqua" w:eastAsia="Book Antiqua" w:hAnsi="Book Antiqua" w:cs="Book Antiqua"/>
        </w:rPr>
        <w:t xml:space="preserve">los parámetros constitucionales </w:t>
      </w:r>
      <w:r w:rsidR="007479AF">
        <w:rPr>
          <w:rFonts w:ascii="Book Antiqua" w:eastAsia="Book Antiqua" w:hAnsi="Book Antiqua" w:cs="Book Antiqua"/>
        </w:rPr>
        <w:t>aplicables del “</w:t>
      </w:r>
      <w:proofErr w:type="spellStart"/>
      <w:r w:rsidR="006B2A67" w:rsidRPr="00EC79B7">
        <w:rPr>
          <w:rFonts w:ascii="Book Antiqua" w:eastAsia="Book Antiqua" w:hAnsi="Book Antiqua" w:cs="Book Antiqua"/>
        </w:rPr>
        <w:t>professional</w:t>
      </w:r>
      <w:proofErr w:type="spellEnd"/>
      <w:r w:rsidR="006B2A67" w:rsidRPr="00EC79B7">
        <w:rPr>
          <w:rFonts w:ascii="Book Antiqua" w:eastAsia="Book Antiqua" w:hAnsi="Book Antiqua" w:cs="Book Antiqua"/>
        </w:rPr>
        <w:t xml:space="preserve"> </w:t>
      </w:r>
      <w:proofErr w:type="spellStart"/>
      <w:r w:rsidR="006B2A67" w:rsidRPr="00EC79B7">
        <w:rPr>
          <w:rFonts w:ascii="Book Antiqua" w:eastAsia="Book Antiqua" w:hAnsi="Book Antiqua" w:cs="Book Antiqua"/>
        </w:rPr>
        <w:t>speech</w:t>
      </w:r>
      <w:proofErr w:type="spellEnd"/>
      <w:r w:rsidR="007479AF">
        <w:rPr>
          <w:rFonts w:ascii="Book Antiqua" w:eastAsia="Book Antiqua" w:hAnsi="Book Antiqua" w:cs="Book Antiqua"/>
        </w:rPr>
        <w:t>”</w:t>
      </w:r>
      <w:r w:rsidR="00706C14">
        <w:rPr>
          <w:rFonts w:ascii="Book Antiqua" w:eastAsia="Book Antiqua" w:hAnsi="Book Antiqua" w:cs="Book Antiqua"/>
        </w:rPr>
        <w:t>.</w:t>
      </w:r>
    </w:p>
    <w:p w14:paraId="0DB11575" w14:textId="2EA958E0" w:rsidR="00B46B11" w:rsidRPr="00B46B11" w:rsidRDefault="007548A2" w:rsidP="00B46B11">
      <w:pPr>
        <w:pStyle w:val="Normal1"/>
        <w:spacing w:line="480" w:lineRule="auto"/>
        <w:ind w:firstLine="720"/>
        <w:jc w:val="both"/>
        <w:rPr>
          <w:rFonts w:ascii="Book Antiqua" w:eastAsia="Book Antiqua" w:hAnsi="Book Antiqua" w:cs="Book Antiqua"/>
        </w:rPr>
      </w:pPr>
      <w:r>
        <w:rPr>
          <w:rFonts w:ascii="Book Antiqua" w:eastAsia="Book Antiqua" w:hAnsi="Book Antiqua" w:cs="Book Antiqua"/>
        </w:rPr>
        <w:t>Artículo 3.</w:t>
      </w:r>
      <w:r w:rsidR="00D34A03">
        <w:rPr>
          <w:rFonts w:ascii="Book Antiqua" w:eastAsia="Book Antiqua" w:hAnsi="Book Antiqua" w:cs="Book Antiqua"/>
        </w:rPr>
        <w:t>-</w:t>
      </w:r>
      <w:r w:rsidR="00B46B11" w:rsidRPr="00B46B11">
        <w:rPr>
          <w:rFonts w:ascii="Book Antiqua" w:eastAsia="Book Antiqua" w:hAnsi="Book Antiqua" w:cs="Book Antiqua"/>
        </w:rPr>
        <w:t>Definiciones.</w:t>
      </w:r>
    </w:p>
    <w:p w14:paraId="5D90E54C" w14:textId="77777777" w:rsidR="00B46B11" w:rsidRPr="00B46B11" w:rsidRDefault="00B46B11" w:rsidP="00B46B11">
      <w:pPr>
        <w:pStyle w:val="Normal1"/>
        <w:spacing w:line="480" w:lineRule="auto"/>
        <w:ind w:firstLine="720"/>
        <w:jc w:val="both"/>
        <w:rPr>
          <w:rFonts w:ascii="Book Antiqua" w:eastAsia="Book Antiqua" w:hAnsi="Book Antiqua" w:cs="Book Antiqua"/>
        </w:rPr>
      </w:pPr>
      <w:r w:rsidRPr="00B46B11">
        <w:rPr>
          <w:rFonts w:ascii="Book Antiqua" w:eastAsia="Book Antiqua" w:hAnsi="Book Antiqua" w:cs="Book Antiqua"/>
        </w:rPr>
        <w:t>Las siguientes palabras o términos utilizados en la presente Ley tendrán el significado que a continuación se establece:</w:t>
      </w:r>
    </w:p>
    <w:p w14:paraId="1AB98381" w14:textId="0A52BC9A" w:rsidR="00B46B11" w:rsidRPr="00B46B11" w:rsidRDefault="00B46B11" w:rsidP="00B46B11">
      <w:pPr>
        <w:pStyle w:val="Normal1"/>
        <w:tabs>
          <w:tab w:val="left" w:pos="1440"/>
        </w:tabs>
        <w:spacing w:line="480" w:lineRule="auto"/>
        <w:ind w:left="1530" w:hanging="810"/>
        <w:jc w:val="both"/>
        <w:rPr>
          <w:rFonts w:ascii="Book Antiqua" w:eastAsia="Book Antiqua" w:hAnsi="Book Antiqua" w:cs="Book Antiqua"/>
        </w:rPr>
      </w:pPr>
      <w:r w:rsidRPr="00B46B11">
        <w:rPr>
          <w:rFonts w:ascii="Book Antiqua" w:eastAsia="Book Antiqua" w:hAnsi="Book Antiqua" w:cs="Book Antiqua"/>
        </w:rPr>
        <w:t xml:space="preserve"> </w:t>
      </w:r>
      <w:r w:rsidRPr="00B46B11">
        <w:rPr>
          <w:rFonts w:ascii="Book Antiqua" w:eastAsia="Book Antiqua" w:hAnsi="Book Antiqua" w:cs="Book Antiqua"/>
        </w:rPr>
        <w:tab/>
        <w:t xml:space="preserve">a) Terapias </w:t>
      </w:r>
      <w:r w:rsidR="00DF5A2A">
        <w:rPr>
          <w:rFonts w:ascii="Book Antiqua" w:eastAsia="Book Antiqua" w:hAnsi="Book Antiqua" w:cs="Book Antiqua"/>
        </w:rPr>
        <w:t>de conversión</w:t>
      </w:r>
      <w:r w:rsidR="00C95571">
        <w:rPr>
          <w:rFonts w:ascii="Book Antiqua" w:eastAsia="Book Antiqua" w:hAnsi="Book Antiqua" w:cs="Book Antiqua"/>
        </w:rPr>
        <w:t xml:space="preserve"> o </w:t>
      </w:r>
      <w:r w:rsidR="00C679C7">
        <w:rPr>
          <w:rFonts w:ascii="Book Antiqua" w:eastAsia="Book Antiqua" w:hAnsi="Book Antiqua" w:cs="Book Antiqua"/>
        </w:rPr>
        <w:t>reparación -</w:t>
      </w:r>
      <w:r w:rsidRPr="00B46B11">
        <w:rPr>
          <w:rFonts w:ascii="Book Antiqua" w:eastAsia="Book Antiqua" w:hAnsi="Book Antiqua" w:cs="Book Antiqua"/>
        </w:rPr>
        <w:t xml:space="preserve"> </w:t>
      </w:r>
      <w:r w:rsidR="0089263D" w:rsidRPr="00B46B11">
        <w:rPr>
          <w:rFonts w:ascii="Book Antiqua" w:eastAsia="Book Antiqua" w:hAnsi="Book Antiqua" w:cs="Book Antiqua"/>
        </w:rPr>
        <w:t xml:space="preserve">Terapias </w:t>
      </w:r>
      <w:r w:rsidR="0089263D">
        <w:rPr>
          <w:rFonts w:ascii="Book Antiqua" w:eastAsia="Book Antiqua" w:hAnsi="Book Antiqua" w:cs="Book Antiqua"/>
        </w:rPr>
        <w:t>de conversión o reparación -</w:t>
      </w:r>
      <w:r w:rsidR="0089263D" w:rsidRPr="00B46B11">
        <w:rPr>
          <w:rFonts w:ascii="Book Antiqua" w:eastAsia="Book Antiqua" w:hAnsi="Book Antiqua" w:cs="Book Antiqua"/>
        </w:rPr>
        <w:t xml:space="preserve"> significa un tratamiento </w:t>
      </w:r>
      <w:r w:rsidR="0089263D">
        <w:rPr>
          <w:rFonts w:ascii="Book Antiqua" w:eastAsia="Book Antiqua" w:hAnsi="Book Antiqua" w:cs="Book Antiqua"/>
        </w:rPr>
        <w:t xml:space="preserve">o practica </w:t>
      </w:r>
      <w:r w:rsidR="0089263D" w:rsidRPr="00B46B11">
        <w:rPr>
          <w:rFonts w:ascii="Book Antiqua" w:eastAsia="Book Antiqua" w:hAnsi="Book Antiqua" w:cs="Book Antiqua"/>
        </w:rPr>
        <w:t>psicológic</w:t>
      </w:r>
      <w:r w:rsidR="0089263D">
        <w:rPr>
          <w:rFonts w:ascii="Book Antiqua" w:eastAsia="Book Antiqua" w:hAnsi="Book Antiqua" w:cs="Book Antiqua"/>
        </w:rPr>
        <w:t>a</w:t>
      </w:r>
      <w:r w:rsidR="0089263D" w:rsidRPr="00B46B11">
        <w:rPr>
          <w:rFonts w:ascii="Book Antiqua" w:eastAsia="Book Antiqua" w:hAnsi="Book Antiqua" w:cs="Book Antiqua"/>
        </w:rPr>
        <w:t xml:space="preserve"> o psiquiátric</w:t>
      </w:r>
      <w:r w:rsidR="0089263D">
        <w:rPr>
          <w:rFonts w:ascii="Book Antiqua" w:eastAsia="Book Antiqua" w:hAnsi="Book Antiqua" w:cs="Book Antiqua"/>
        </w:rPr>
        <w:t>a</w:t>
      </w:r>
      <w:r w:rsidR="0089263D" w:rsidRPr="00B46B11">
        <w:rPr>
          <w:rFonts w:ascii="Book Antiqua" w:eastAsia="Book Antiqua" w:hAnsi="Book Antiqua" w:cs="Book Antiqua"/>
        </w:rPr>
        <w:t xml:space="preserve"> realizad</w:t>
      </w:r>
      <w:r w:rsidR="0089263D">
        <w:rPr>
          <w:rFonts w:ascii="Book Antiqua" w:eastAsia="Book Antiqua" w:hAnsi="Book Antiqua" w:cs="Book Antiqua"/>
        </w:rPr>
        <w:t>a</w:t>
      </w:r>
      <w:r w:rsidR="0089263D" w:rsidRPr="00B46B11">
        <w:rPr>
          <w:rFonts w:ascii="Book Antiqua" w:eastAsia="Book Antiqua" w:hAnsi="Book Antiqua" w:cs="Book Antiqua"/>
        </w:rPr>
        <w:t xml:space="preserve"> por un </w:t>
      </w:r>
      <w:r w:rsidR="0089263D">
        <w:rPr>
          <w:rFonts w:ascii="Book Antiqua" w:eastAsia="Book Antiqua" w:hAnsi="Book Antiqua" w:cs="Book Antiqua"/>
        </w:rPr>
        <w:t>p</w:t>
      </w:r>
      <w:r w:rsidR="0089263D" w:rsidRPr="00B46B11">
        <w:rPr>
          <w:rFonts w:ascii="Book Antiqua" w:eastAsia="Book Antiqua" w:hAnsi="Book Antiqua" w:cs="Book Antiqua"/>
        </w:rPr>
        <w:t xml:space="preserve">rofesional </w:t>
      </w:r>
      <w:r w:rsidR="0089263D">
        <w:rPr>
          <w:rFonts w:ascii="Book Antiqua" w:eastAsia="Book Antiqua" w:hAnsi="Book Antiqua" w:cs="Book Antiqua"/>
        </w:rPr>
        <w:t xml:space="preserve">o entidad licenciado o certificado </w:t>
      </w:r>
      <w:r w:rsidR="0089263D" w:rsidRPr="00B46B11">
        <w:rPr>
          <w:rFonts w:ascii="Book Antiqua" w:eastAsia="Book Antiqua" w:hAnsi="Book Antiqua" w:cs="Book Antiqua"/>
        </w:rPr>
        <w:t>dedicado a proveer servicios de salud mental que vaya en contra de la voluntad del paciente o que suponga un atentado contra la dignidad humana,</w:t>
      </w:r>
      <w:r w:rsidR="0089263D">
        <w:rPr>
          <w:rFonts w:ascii="Book Antiqua" w:eastAsia="Book Antiqua" w:hAnsi="Book Antiqua" w:cs="Book Antiqua"/>
        </w:rPr>
        <w:t xml:space="preserve"> </w:t>
      </w:r>
      <w:r w:rsidRPr="00B46B11">
        <w:rPr>
          <w:rFonts w:ascii="Book Antiqua" w:eastAsia="Book Antiqua" w:hAnsi="Book Antiqua" w:cs="Book Antiqua"/>
        </w:rPr>
        <w:t>es decir que:</w:t>
      </w:r>
    </w:p>
    <w:p w14:paraId="59F6BF1B" w14:textId="60A3A9A7" w:rsidR="00B46B11" w:rsidRPr="00B46B11" w:rsidRDefault="00B46B11" w:rsidP="00B46B11">
      <w:pPr>
        <w:pStyle w:val="Normal1"/>
        <w:tabs>
          <w:tab w:val="left" w:pos="1440"/>
        </w:tabs>
        <w:spacing w:line="480" w:lineRule="auto"/>
        <w:ind w:left="2160" w:hanging="810"/>
        <w:jc w:val="both"/>
        <w:rPr>
          <w:rFonts w:ascii="Book Antiqua" w:eastAsia="Book Antiqua" w:hAnsi="Book Antiqua" w:cs="Book Antiqua"/>
        </w:rPr>
      </w:pPr>
      <w:r w:rsidRPr="00B46B11">
        <w:rPr>
          <w:rFonts w:ascii="Book Antiqua" w:eastAsia="Book Antiqua" w:hAnsi="Book Antiqua" w:cs="Book Antiqua"/>
        </w:rPr>
        <w:tab/>
      </w:r>
      <w:r w:rsidRPr="00B46B11">
        <w:rPr>
          <w:rFonts w:ascii="Book Antiqua" w:eastAsia="Book Antiqua" w:hAnsi="Book Antiqua" w:cs="Book Antiqua"/>
        </w:rPr>
        <w:tab/>
        <w:t>(i) afirme que la terapia resultará en una reversión de la orientación sexual o identidad de género del cliente;</w:t>
      </w:r>
      <w:r w:rsidRPr="00B46B11">
        <w:rPr>
          <w:rFonts w:ascii="Book Antiqua" w:eastAsia="Book Antiqua" w:hAnsi="Book Antiqua" w:cs="Book Antiqua"/>
        </w:rPr>
        <w:br/>
        <w:t>(ii) afirm</w:t>
      </w:r>
      <w:r w:rsidR="004242B8">
        <w:rPr>
          <w:rFonts w:ascii="Book Antiqua" w:eastAsia="Book Antiqua" w:hAnsi="Book Antiqua" w:cs="Book Antiqua"/>
        </w:rPr>
        <w:t>e</w:t>
      </w:r>
      <w:r w:rsidRPr="00B46B11">
        <w:rPr>
          <w:rFonts w:ascii="Book Antiqua" w:eastAsia="Book Antiqua" w:hAnsi="Book Antiqua" w:cs="Book Antiqua"/>
        </w:rPr>
        <w:t xml:space="preserve"> que es necesario un cambio en la orientación sexual o identidad de género del paciente o cliente;</w:t>
      </w:r>
    </w:p>
    <w:p w14:paraId="6A0E6771" w14:textId="5CAF8CEE" w:rsidR="00B46B11" w:rsidRPr="00B46B11" w:rsidRDefault="003307C5" w:rsidP="00B46B11">
      <w:pPr>
        <w:pStyle w:val="Normal1"/>
        <w:tabs>
          <w:tab w:val="left" w:pos="1440"/>
        </w:tabs>
        <w:spacing w:line="480" w:lineRule="auto"/>
        <w:ind w:left="2160" w:hanging="810"/>
        <w:jc w:val="both"/>
        <w:rPr>
          <w:rFonts w:ascii="Book Antiqua" w:eastAsia="Book Antiqua" w:hAnsi="Book Antiqua" w:cs="Book Antiqua"/>
        </w:rPr>
      </w:pPr>
      <w:r>
        <w:rPr>
          <w:rFonts w:ascii="Book Antiqua" w:eastAsia="Book Antiqua" w:hAnsi="Book Antiqua" w:cs="Book Antiqua"/>
        </w:rPr>
        <w:tab/>
      </w:r>
      <w:r>
        <w:rPr>
          <w:rFonts w:ascii="Book Antiqua" w:eastAsia="Book Antiqua" w:hAnsi="Book Antiqua" w:cs="Book Antiqua"/>
        </w:rPr>
        <w:tab/>
        <w:t xml:space="preserve">(iii) someta a un </w:t>
      </w:r>
      <w:r w:rsidR="00B46B11" w:rsidRPr="00B46B11">
        <w:rPr>
          <w:rFonts w:ascii="Book Antiqua" w:eastAsia="Book Antiqua" w:hAnsi="Book Antiqua" w:cs="Book Antiqua"/>
        </w:rPr>
        <w:t>cliente a un malestar físico a través de un tratamiento aversivo que causa náuseas, vómitos u otras sensaciones físicas desagradables; o</w:t>
      </w:r>
      <w:r w:rsidR="00D34A03">
        <w:rPr>
          <w:rFonts w:ascii="Book Antiqua" w:eastAsia="Book Antiqua" w:hAnsi="Book Antiqua" w:cs="Book Antiqua"/>
        </w:rPr>
        <w:t xml:space="preserve">   </w:t>
      </w:r>
    </w:p>
    <w:p w14:paraId="45A344D3" w14:textId="5CC22923" w:rsidR="00B46B11" w:rsidRPr="00B46B11" w:rsidRDefault="00B46B11" w:rsidP="00B46B11">
      <w:pPr>
        <w:pStyle w:val="Normal1"/>
        <w:tabs>
          <w:tab w:val="left" w:pos="1440"/>
        </w:tabs>
        <w:spacing w:line="480" w:lineRule="auto"/>
        <w:ind w:left="2160" w:hanging="810"/>
        <w:jc w:val="both"/>
        <w:rPr>
          <w:rFonts w:ascii="Book Antiqua" w:eastAsia="Book Antiqua" w:hAnsi="Book Antiqua" w:cs="Book Antiqua"/>
        </w:rPr>
      </w:pPr>
      <w:r w:rsidRPr="00B46B11">
        <w:rPr>
          <w:rFonts w:ascii="Book Antiqua" w:eastAsia="Book Antiqua" w:hAnsi="Book Antiqua" w:cs="Book Antiqua"/>
        </w:rPr>
        <w:tab/>
      </w:r>
      <w:r w:rsidRPr="00B46B11">
        <w:rPr>
          <w:rFonts w:ascii="Book Antiqua" w:eastAsia="Book Antiqua" w:hAnsi="Book Antiqua" w:cs="Book Antiqua"/>
        </w:rPr>
        <w:tab/>
        <w:t xml:space="preserve">(iv) </w:t>
      </w:r>
      <w:r w:rsidR="004242B8">
        <w:rPr>
          <w:rFonts w:ascii="Book Antiqua" w:eastAsia="Book Antiqua" w:hAnsi="Book Antiqua" w:cs="Book Antiqua"/>
        </w:rPr>
        <w:t>p</w:t>
      </w:r>
      <w:r w:rsidRPr="00B46B11">
        <w:rPr>
          <w:rFonts w:ascii="Book Antiqua" w:eastAsia="Book Antiqua" w:hAnsi="Book Antiqua" w:cs="Book Antiqua"/>
        </w:rPr>
        <w:t xml:space="preserve">roporciona una descarga eléctrica u otra terapia eléctrica, incluida la terapia </w:t>
      </w:r>
      <w:proofErr w:type="spellStart"/>
      <w:r w:rsidRPr="00B46B11">
        <w:rPr>
          <w:rFonts w:ascii="Book Antiqua" w:eastAsia="Book Antiqua" w:hAnsi="Book Antiqua" w:cs="Book Antiqua"/>
        </w:rPr>
        <w:t>electroconvulsiva</w:t>
      </w:r>
      <w:proofErr w:type="spellEnd"/>
      <w:r w:rsidR="00B86696">
        <w:rPr>
          <w:rFonts w:ascii="Book Antiqua" w:eastAsia="Book Antiqua" w:hAnsi="Book Antiqua" w:cs="Book Antiqua"/>
        </w:rPr>
        <w:t>,</w:t>
      </w:r>
      <w:r w:rsidRPr="00B46B11">
        <w:rPr>
          <w:rFonts w:ascii="Book Antiqua" w:eastAsia="Book Antiqua" w:hAnsi="Book Antiqua" w:cs="Book Antiqua"/>
        </w:rPr>
        <w:t xml:space="preserve"> la estimulación magnética </w:t>
      </w:r>
      <w:proofErr w:type="spellStart"/>
      <w:r w:rsidRPr="00B46B11">
        <w:rPr>
          <w:rFonts w:ascii="Book Antiqua" w:eastAsia="Book Antiqua" w:hAnsi="Book Antiqua" w:cs="Book Antiqua"/>
        </w:rPr>
        <w:t>transcraneal</w:t>
      </w:r>
      <w:proofErr w:type="spellEnd"/>
      <w:r w:rsidR="003307C5">
        <w:rPr>
          <w:rFonts w:ascii="Book Antiqua" w:eastAsia="Book Antiqua" w:hAnsi="Book Antiqua" w:cs="Book Antiqua"/>
        </w:rPr>
        <w:t xml:space="preserve"> </w:t>
      </w:r>
      <w:r w:rsidR="00B86696">
        <w:rPr>
          <w:rFonts w:ascii="Book Antiqua" w:eastAsia="Book Antiqua" w:hAnsi="Book Antiqua" w:cs="Book Antiqua"/>
        </w:rPr>
        <w:t xml:space="preserve">o que </w:t>
      </w:r>
      <w:r w:rsidR="003307C5">
        <w:rPr>
          <w:rFonts w:ascii="Book Antiqua" w:eastAsia="Book Antiqua" w:hAnsi="Book Antiqua" w:cs="Book Antiqua"/>
        </w:rPr>
        <w:t xml:space="preserve">afecte el </w:t>
      </w:r>
      <w:r w:rsidR="00B86696">
        <w:rPr>
          <w:rFonts w:ascii="Book Antiqua" w:eastAsia="Book Antiqua" w:hAnsi="Book Antiqua" w:cs="Book Antiqua"/>
        </w:rPr>
        <w:t>cuerpo humano.</w:t>
      </w:r>
    </w:p>
    <w:p w14:paraId="23942646" w14:textId="1EA669A0" w:rsidR="00B46B11" w:rsidRPr="00B46B11" w:rsidRDefault="00B46B11" w:rsidP="00B46B11">
      <w:pPr>
        <w:pStyle w:val="Normal1"/>
        <w:tabs>
          <w:tab w:val="left" w:pos="1440"/>
        </w:tabs>
        <w:spacing w:line="480" w:lineRule="auto"/>
        <w:ind w:left="1530" w:hanging="810"/>
        <w:jc w:val="both"/>
        <w:rPr>
          <w:rFonts w:ascii="Book Antiqua" w:eastAsia="Book Antiqua" w:hAnsi="Book Antiqua" w:cs="Book Antiqua"/>
        </w:rPr>
      </w:pPr>
      <w:r w:rsidRPr="00B46B11">
        <w:rPr>
          <w:rFonts w:ascii="Book Antiqua" w:eastAsia="Book Antiqua" w:hAnsi="Book Antiqua" w:cs="Book Antiqua"/>
        </w:rPr>
        <w:lastRenderedPageBreak/>
        <w:tab/>
        <w:t xml:space="preserve">(b) Terapia </w:t>
      </w:r>
      <w:r w:rsidR="00DF5A2A">
        <w:rPr>
          <w:rFonts w:ascii="Book Antiqua" w:eastAsia="Book Antiqua" w:hAnsi="Book Antiqua" w:cs="Book Antiqua"/>
        </w:rPr>
        <w:t xml:space="preserve">de conversión </w:t>
      </w:r>
      <w:r w:rsidR="00C95571">
        <w:rPr>
          <w:rFonts w:ascii="Book Antiqua" w:eastAsia="Book Antiqua" w:hAnsi="Book Antiqua" w:cs="Book Antiqua"/>
        </w:rPr>
        <w:t xml:space="preserve">o reparación </w:t>
      </w:r>
      <w:r w:rsidRPr="00B46B11">
        <w:rPr>
          <w:rFonts w:ascii="Book Antiqua" w:eastAsia="Book Antiqua" w:hAnsi="Book Antiqua" w:cs="Book Antiqua"/>
        </w:rPr>
        <w:t>no significa un tratamiento que:</w:t>
      </w:r>
    </w:p>
    <w:p w14:paraId="058D1A2F" w14:textId="77777777" w:rsidR="00B46B11" w:rsidRPr="00B46B11" w:rsidRDefault="00B46B11" w:rsidP="00B46B11">
      <w:pPr>
        <w:pStyle w:val="Normal1"/>
        <w:tabs>
          <w:tab w:val="left" w:pos="1440"/>
        </w:tabs>
        <w:spacing w:line="480" w:lineRule="auto"/>
        <w:ind w:left="2160" w:hanging="810"/>
        <w:jc w:val="both"/>
        <w:rPr>
          <w:rFonts w:ascii="Book Antiqua" w:eastAsia="Book Antiqua" w:hAnsi="Book Antiqua" w:cs="Book Antiqua"/>
        </w:rPr>
      </w:pPr>
      <w:r w:rsidRPr="00B46B11">
        <w:rPr>
          <w:rFonts w:ascii="Book Antiqua" w:eastAsia="Book Antiqua" w:hAnsi="Book Antiqua" w:cs="Book Antiqua"/>
        </w:rPr>
        <w:tab/>
      </w:r>
      <w:r w:rsidRPr="00B46B11">
        <w:rPr>
          <w:rFonts w:ascii="Book Antiqua" w:eastAsia="Book Antiqua" w:hAnsi="Book Antiqua" w:cs="Book Antiqua"/>
        </w:rPr>
        <w:tab/>
        <w:t>(i) sea neutral con respecto a la orientación sexual y la identidad de género;</w:t>
      </w:r>
    </w:p>
    <w:p w14:paraId="11322CE2" w14:textId="77777777" w:rsidR="00B46B11" w:rsidRPr="00B46B11" w:rsidRDefault="00B46B11" w:rsidP="00B46B11">
      <w:pPr>
        <w:pStyle w:val="Normal1"/>
        <w:tabs>
          <w:tab w:val="left" w:pos="1440"/>
        </w:tabs>
        <w:spacing w:line="480" w:lineRule="auto"/>
        <w:ind w:left="1530" w:hanging="810"/>
        <w:jc w:val="both"/>
        <w:rPr>
          <w:rFonts w:ascii="Book Antiqua" w:eastAsia="Book Antiqua" w:hAnsi="Book Antiqua" w:cs="Book Antiqua"/>
        </w:rPr>
      </w:pPr>
      <w:r w:rsidRPr="00B46B11">
        <w:rPr>
          <w:rFonts w:ascii="Book Antiqua" w:eastAsia="Book Antiqua" w:hAnsi="Book Antiqua" w:cs="Book Antiqua"/>
        </w:rPr>
        <w:tab/>
      </w:r>
      <w:r w:rsidRPr="00B46B11">
        <w:rPr>
          <w:rFonts w:ascii="Book Antiqua" w:eastAsia="Book Antiqua" w:hAnsi="Book Antiqua" w:cs="Book Antiqua"/>
        </w:rPr>
        <w:tab/>
      </w:r>
      <w:r w:rsidRPr="00B46B11">
        <w:rPr>
          <w:rFonts w:ascii="Book Antiqua" w:eastAsia="Book Antiqua" w:hAnsi="Book Antiqua" w:cs="Book Antiqua"/>
        </w:rPr>
        <w:tab/>
        <w:t>(ii) brinda asistencia a un paciente o cliente en transición de género;</w:t>
      </w:r>
    </w:p>
    <w:p w14:paraId="4CF0893B" w14:textId="77777777" w:rsidR="00B46B11" w:rsidRPr="00B46B11" w:rsidRDefault="00B46B11" w:rsidP="00B46B11">
      <w:pPr>
        <w:pStyle w:val="Normal1"/>
        <w:tabs>
          <w:tab w:val="left" w:pos="1440"/>
        </w:tabs>
        <w:spacing w:line="480" w:lineRule="auto"/>
        <w:ind w:left="2160" w:hanging="810"/>
        <w:jc w:val="both"/>
        <w:rPr>
          <w:rFonts w:ascii="Book Antiqua" w:eastAsia="Book Antiqua" w:hAnsi="Book Antiqua" w:cs="Book Antiqua"/>
        </w:rPr>
      </w:pPr>
      <w:r w:rsidRPr="00B46B11">
        <w:rPr>
          <w:rFonts w:ascii="Book Antiqua" w:eastAsia="Book Antiqua" w:hAnsi="Book Antiqua" w:cs="Book Antiqua"/>
        </w:rPr>
        <w:tab/>
      </w:r>
      <w:r w:rsidRPr="00B46B11">
        <w:rPr>
          <w:rFonts w:ascii="Book Antiqua" w:eastAsia="Book Antiqua" w:hAnsi="Book Antiqua" w:cs="Book Antiqua"/>
        </w:rPr>
        <w:tab/>
        <w:t>(iii) explora los presupuestos y objetivos del paciente o cliente para permitirle decidir cómo quiere identificarse a sí mismo y vivir su orientación sexual o identidad de género;</w:t>
      </w:r>
    </w:p>
    <w:p w14:paraId="42CD7FF0" w14:textId="77777777" w:rsidR="00B46B11" w:rsidRPr="00B46B11" w:rsidRDefault="00B46B11" w:rsidP="00B46B11">
      <w:pPr>
        <w:pStyle w:val="Normal1"/>
        <w:tabs>
          <w:tab w:val="left" w:pos="1440"/>
        </w:tabs>
        <w:spacing w:line="480" w:lineRule="auto"/>
        <w:ind w:left="2160" w:hanging="810"/>
        <w:jc w:val="both"/>
        <w:rPr>
          <w:rFonts w:ascii="Book Antiqua" w:eastAsia="Book Antiqua" w:hAnsi="Book Antiqua" w:cs="Book Antiqua"/>
        </w:rPr>
      </w:pPr>
      <w:r w:rsidRPr="00B46B11">
        <w:rPr>
          <w:rFonts w:ascii="Book Antiqua" w:eastAsia="Book Antiqua" w:hAnsi="Book Antiqua" w:cs="Book Antiqua"/>
        </w:rPr>
        <w:tab/>
      </w:r>
      <w:r w:rsidRPr="00B46B11">
        <w:rPr>
          <w:rFonts w:ascii="Book Antiqua" w:eastAsia="Book Antiqua" w:hAnsi="Book Antiqua" w:cs="Book Antiqua"/>
        </w:rPr>
        <w:tab/>
        <w:t xml:space="preserve">(iv) proporciona aceptación, apoyo y comprensión de la orientación sexual y la identidad de género de un paciente o cliente, sin un objetivo de tratamiento </w:t>
      </w:r>
      <w:r w:rsidRPr="00B46B11">
        <w:rPr>
          <w:rFonts w:ascii="Book Antiqua" w:eastAsia="Book Antiqua" w:hAnsi="Book Antiqua" w:cs="Book Antiqua"/>
          <w:i/>
        </w:rPr>
        <w:t>a priori</w:t>
      </w:r>
      <w:r w:rsidRPr="00B46B11">
        <w:rPr>
          <w:rFonts w:ascii="Book Antiqua" w:eastAsia="Book Antiqua" w:hAnsi="Book Antiqua" w:cs="Book Antiqua"/>
        </w:rPr>
        <w:t>;</w:t>
      </w:r>
    </w:p>
    <w:p w14:paraId="60B1FC6B" w14:textId="51DAC564" w:rsidR="00B46B11" w:rsidRPr="00B46B11" w:rsidRDefault="00B46B11" w:rsidP="00B46B11">
      <w:pPr>
        <w:pStyle w:val="Normal1"/>
        <w:tabs>
          <w:tab w:val="left" w:pos="1440"/>
        </w:tabs>
        <w:spacing w:line="480" w:lineRule="auto"/>
        <w:ind w:left="2160" w:hanging="810"/>
        <w:jc w:val="both"/>
        <w:rPr>
          <w:rFonts w:ascii="Book Antiqua" w:eastAsia="Book Antiqua" w:hAnsi="Book Antiqua" w:cs="Book Antiqua"/>
        </w:rPr>
      </w:pPr>
      <w:r w:rsidRPr="00B46B11">
        <w:rPr>
          <w:rFonts w:ascii="Book Antiqua" w:eastAsia="Book Antiqua" w:hAnsi="Book Antiqua" w:cs="Book Antiqua"/>
        </w:rPr>
        <w:tab/>
      </w:r>
      <w:r w:rsidRPr="00B46B11">
        <w:rPr>
          <w:rFonts w:ascii="Book Antiqua" w:eastAsia="Book Antiqua" w:hAnsi="Book Antiqua" w:cs="Book Antiqua"/>
        </w:rPr>
        <w:tab/>
        <w:t>(v) facilita la capacidad de un cliente para hacer frente y desarrollar apoyo social, y explorar o desarrollar su identidad propia;</w:t>
      </w:r>
    </w:p>
    <w:p w14:paraId="272D73BB" w14:textId="77777777" w:rsidR="00B46B11" w:rsidRPr="00B46B11" w:rsidRDefault="00B46B11" w:rsidP="00B46B11">
      <w:pPr>
        <w:pStyle w:val="Normal1"/>
        <w:tabs>
          <w:tab w:val="left" w:pos="1440"/>
        </w:tabs>
        <w:spacing w:line="480" w:lineRule="auto"/>
        <w:ind w:left="2160" w:hanging="810"/>
        <w:jc w:val="both"/>
        <w:rPr>
          <w:rFonts w:ascii="Book Antiqua" w:eastAsia="Book Antiqua" w:hAnsi="Book Antiqua" w:cs="Book Antiqua"/>
        </w:rPr>
      </w:pPr>
      <w:r w:rsidRPr="00B46B11">
        <w:rPr>
          <w:rFonts w:ascii="Book Antiqua" w:eastAsia="Book Antiqua" w:hAnsi="Book Antiqua" w:cs="Book Antiqua"/>
        </w:rPr>
        <w:tab/>
      </w:r>
      <w:r w:rsidRPr="00B46B11">
        <w:rPr>
          <w:rFonts w:ascii="Book Antiqua" w:eastAsia="Book Antiqua" w:hAnsi="Book Antiqua" w:cs="Book Antiqua"/>
        </w:rPr>
        <w:tab/>
        <w:t xml:space="preserve">(vi) aborda actividades sexuales ilegales, inseguras, prematrimoniales o extramatrimoniales de manera neutral con respecto a cualquier orientación sexual; </w:t>
      </w:r>
    </w:p>
    <w:p w14:paraId="15BDA521" w14:textId="69210216" w:rsidR="00B46B11" w:rsidRPr="00B46B11" w:rsidRDefault="00B46B11" w:rsidP="00B46B11">
      <w:pPr>
        <w:pStyle w:val="Normal1"/>
        <w:tabs>
          <w:tab w:val="left" w:pos="1440"/>
        </w:tabs>
        <w:spacing w:line="480" w:lineRule="auto"/>
        <w:ind w:left="2160" w:hanging="810"/>
        <w:jc w:val="both"/>
        <w:rPr>
          <w:rFonts w:ascii="Book Antiqua" w:eastAsia="Book Antiqua" w:hAnsi="Book Antiqua" w:cs="Book Antiqua"/>
        </w:rPr>
      </w:pPr>
      <w:r w:rsidRPr="00B46B11">
        <w:rPr>
          <w:rFonts w:ascii="Book Antiqua" w:eastAsia="Book Antiqua" w:hAnsi="Book Antiqua" w:cs="Book Antiqua"/>
        </w:rPr>
        <w:tab/>
      </w:r>
      <w:r w:rsidRPr="00B46B11">
        <w:rPr>
          <w:rFonts w:ascii="Book Antiqua" w:eastAsia="Book Antiqua" w:hAnsi="Book Antiqua" w:cs="Book Antiqua"/>
        </w:rPr>
        <w:tab/>
        <w:t>(vii) discute con un cliente las creencias o prácticas morales o religiosas del paciente o cliente de manera respetuosa y objetiva si el paciente así lo autoriza; o</w:t>
      </w:r>
    </w:p>
    <w:p w14:paraId="27748E73" w14:textId="77777777" w:rsidR="00B46B11" w:rsidRPr="00B46B11" w:rsidRDefault="00B46B11" w:rsidP="00B46B11">
      <w:pPr>
        <w:pStyle w:val="Normal1"/>
        <w:tabs>
          <w:tab w:val="left" w:pos="1440"/>
        </w:tabs>
        <w:spacing w:line="480" w:lineRule="auto"/>
        <w:ind w:left="2160" w:hanging="810"/>
        <w:jc w:val="both"/>
        <w:rPr>
          <w:rFonts w:ascii="Book Antiqua" w:eastAsia="Book Antiqua" w:hAnsi="Book Antiqua" w:cs="Book Antiqua"/>
        </w:rPr>
      </w:pPr>
      <w:r w:rsidRPr="00B46B11">
        <w:rPr>
          <w:rFonts w:ascii="Book Antiqua" w:eastAsia="Book Antiqua" w:hAnsi="Book Antiqua" w:cs="Book Antiqua"/>
        </w:rPr>
        <w:tab/>
      </w:r>
      <w:r w:rsidRPr="00B46B11">
        <w:rPr>
          <w:rFonts w:ascii="Book Antiqua" w:eastAsia="Book Antiqua" w:hAnsi="Book Antiqua" w:cs="Book Antiqua"/>
        </w:rPr>
        <w:tab/>
        <w:t>(viii) ofrece aceptación, apoyo y comprensión de las creencias o prácticas morales o religiosas de un paciente o cliente para vivir su orientación sexual e identidad de género.</w:t>
      </w:r>
    </w:p>
    <w:p w14:paraId="3D8992BE" w14:textId="5D73F7C8" w:rsidR="00B46B11" w:rsidRDefault="00B46B11" w:rsidP="00B46B11">
      <w:pPr>
        <w:pStyle w:val="Normal1"/>
        <w:tabs>
          <w:tab w:val="left" w:pos="1440"/>
        </w:tabs>
        <w:spacing w:line="480" w:lineRule="auto"/>
        <w:ind w:left="1530" w:hanging="810"/>
        <w:jc w:val="both"/>
        <w:rPr>
          <w:rFonts w:ascii="Book Antiqua" w:eastAsia="Book Antiqua" w:hAnsi="Book Antiqua" w:cs="Book Antiqua"/>
        </w:rPr>
      </w:pPr>
      <w:r w:rsidRPr="00B46B11">
        <w:rPr>
          <w:rFonts w:ascii="Book Antiqua" w:eastAsia="Book Antiqua" w:hAnsi="Book Antiqua" w:cs="Book Antiqua"/>
        </w:rPr>
        <w:lastRenderedPageBreak/>
        <w:tab/>
        <w:t>(c) Profesional dedicado a proveer servicios de salud mental</w:t>
      </w:r>
      <w:r w:rsidRPr="00B46B11">
        <w:rPr>
          <w:rFonts w:ascii="Book Antiqua" w:eastAsia="Book Antiqua" w:hAnsi="Book Antiqua" w:cs="Book Antiqua"/>
          <w:b/>
        </w:rPr>
        <w:t xml:space="preserve"> </w:t>
      </w:r>
      <w:r w:rsidRPr="00B46B11">
        <w:rPr>
          <w:rFonts w:ascii="Book Antiqua" w:eastAsia="Book Antiqua" w:hAnsi="Book Antiqua" w:cs="Book Antiqua"/>
        </w:rPr>
        <w:t>– es aquel profesional licenciado que provee servicios de Salud Mental al amparo de la Ley 408 – 2000, según enmendada, conocida como “Ley de Salud Mental de Puerto Rico”.</w:t>
      </w:r>
    </w:p>
    <w:p w14:paraId="65463506" w14:textId="724B9ECB" w:rsidR="00196D1F" w:rsidRPr="00196D1F" w:rsidRDefault="00196D1F" w:rsidP="00196D1F">
      <w:pPr>
        <w:pStyle w:val="Normal1"/>
        <w:tabs>
          <w:tab w:val="left" w:pos="1440"/>
        </w:tabs>
        <w:spacing w:line="480" w:lineRule="auto"/>
        <w:ind w:left="1530" w:hanging="810"/>
        <w:jc w:val="both"/>
        <w:rPr>
          <w:rFonts w:ascii="Book Antiqua" w:eastAsia="Book Antiqua" w:hAnsi="Book Antiqua" w:cs="Book Antiqua"/>
          <w:lang w:val="es-PR"/>
        </w:rPr>
      </w:pPr>
      <w:r>
        <w:rPr>
          <w:rFonts w:ascii="Book Antiqua" w:eastAsia="Book Antiqua" w:hAnsi="Book Antiqua" w:cs="Book Antiqua"/>
        </w:rPr>
        <w:tab/>
        <w:t xml:space="preserve">(d) </w:t>
      </w:r>
      <w:r w:rsidRPr="00196D1F">
        <w:rPr>
          <w:rFonts w:ascii="Book Antiqua" w:eastAsia="Book Antiqua" w:hAnsi="Book Antiqua" w:cs="Book Antiqua"/>
          <w:lang w:val="es-PR"/>
        </w:rPr>
        <w:t>En cualquier tratamiento o terapia legal, realizada por un profesional de la salud mental, se</w:t>
      </w:r>
      <w:r w:rsidR="00F96E6B">
        <w:rPr>
          <w:rFonts w:ascii="Book Antiqua" w:eastAsia="Book Antiqua" w:hAnsi="Book Antiqua" w:cs="Book Antiqua"/>
          <w:lang w:val="es-PR"/>
        </w:rPr>
        <w:t>rá necesario el permiso de los padres respetando su</w:t>
      </w:r>
      <w:r w:rsidRPr="00196D1F">
        <w:rPr>
          <w:rFonts w:ascii="Book Antiqua" w:eastAsia="Book Antiqua" w:hAnsi="Book Antiqua" w:cs="Book Antiqua"/>
          <w:lang w:val="es-PR"/>
        </w:rPr>
        <w:t xml:space="preserve"> dere</w:t>
      </w:r>
      <w:r w:rsidR="00F96E6B">
        <w:rPr>
          <w:rFonts w:ascii="Book Antiqua" w:eastAsia="Book Antiqua" w:hAnsi="Book Antiqua" w:cs="Book Antiqua"/>
          <w:lang w:val="es-PR"/>
        </w:rPr>
        <w:t>cho fundamental al ejercicio de la patria potestad sobre sus hijos.</w:t>
      </w:r>
      <w:r w:rsidRPr="00196D1F">
        <w:rPr>
          <w:rFonts w:ascii="Book Antiqua" w:eastAsia="Book Antiqua" w:hAnsi="Book Antiqua" w:cs="Book Antiqua"/>
          <w:lang w:val="es-PR"/>
        </w:rPr>
        <w:t xml:space="preserve"> </w:t>
      </w:r>
    </w:p>
    <w:p w14:paraId="61CF4901" w14:textId="403557B0" w:rsidR="00B46B11" w:rsidRPr="00B46B11" w:rsidRDefault="00B46B11" w:rsidP="00B46B11">
      <w:pPr>
        <w:pStyle w:val="Normal1"/>
        <w:spacing w:line="480" w:lineRule="auto"/>
        <w:ind w:firstLine="720"/>
        <w:jc w:val="both"/>
        <w:rPr>
          <w:rFonts w:ascii="Book Antiqua" w:eastAsia="Book Antiqua" w:hAnsi="Book Antiqua" w:cs="Book Antiqua"/>
        </w:rPr>
      </w:pPr>
      <w:r w:rsidRPr="00B46B11">
        <w:rPr>
          <w:rFonts w:ascii="Book Antiqua" w:eastAsia="Book Antiqua" w:hAnsi="Book Antiqua" w:cs="Book Antiqua"/>
        </w:rPr>
        <w:t xml:space="preserve">Artículo 4.- Se prohíbe que un profesional dedicado a proveer servicios de salud mental brinde terapia </w:t>
      </w:r>
      <w:r w:rsidR="00DF5A2A">
        <w:rPr>
          <w:rFonts w:ascii="Book Antiqua" w:eastAsia="Book Antiqua" w:hAnsi="Book Antiqua" w:cs="Book Antiqua"/>
        </w:rPr>
        <w:t xml:space="preserve">de conversión </w:t>
      </w:r>
      <w:r w:rsidR="00C95571">
        <w:rPr>
          <w:rFonts w:ascii="Book Antiqua" w:eastAsia="Book Antiqua" w:hAnsi="Book Antiqua" w:cs="Book Antiqua"/>
        </w:rPr>
        <w:t xml:space="preserve">o reparación </w:t>
      </w:r>
      <w:r w:rsidR="00DF5A2A" w:rsidRPr="00B46B11">
        <w:rPr>
          <w:rFonts w:ascii="Book Antiqua" w:eastAsia="Book Antiqua" w:hAnsi="Book Antiqua" w:cs="Book Antiqua"/>
        </w:rPr>
        <w:t>a</w:t>
      </w:r>
      <w:r w:rsidRPr="00B46B11">
        <w:rPr>
          <w:rFonts w:ascii="Book Antiqua" w:eastAsia="Book Antiqua" w:hAnsi="Book Antiqua" w:cs="Book Antiqua"/>
        </w:rPr>
        <w:t xml:space="preserve"> </w:t>
      </w:r>
      <w:r w:rsidR="00C679C7">
        <w:rPr>
          <w:rFonts w:ascii="Book Antiqua" w:eastAsia="Book Antiqua" w:hAnsi="Book Antiqua" w:cs="Book Antiqua"/>
        </w:rPr>
        <w:t>cualquier persona</w:t>
      </w:r>
      <w:r w:rsidRPr="00B46B11">
        <w:rPr>
          <w:rFonts w:ascii="Book Antiqua" w:eastAsia="Book Antiqua" w:hAnsi="Book Antiqua" w:cs="Book Antiqua"/>
        </w:rPr>
        <w:t>.</w:t>
      </w:r>
    </w:p>
    <w:p w14:paraId="68309E3A" w14:textId="7F76C7E9" w:rsidR="00B46B11" w:rsidRDefault="00B46B11" w:rsidP="00B46B11">
      <w:pPr>
        <w:pStyle w:val="Normal1"/>
        <w:spacing w:line="480" w:lineRule="auto"/>
        <w:ind w:firstLine="720"/>
        <w:jc w:val="both"/>
        <w:rPr>
          <w:rFonts w:ascii="Book Antiqua" w:eastAsia="Book Antiqua" w:hAnsi="Book Antiqua" w:cs="Book Antiqua"/>
        </w:rPr>
      </w:pPr>
      <w:r w:rsidRPr="00B46B11">
        <w:rPr>
          <w:rFonts w:ascii="Book Antiqua" w:eastAsia="Book Antiqua" w:hAnsi="Book Antiqua" w:cs="Book Antiqua"/>
        </w:rPr>
        <w:t xml:space="preserve">Artículo 5.- Cualquier profesional dedicado a proveer servicios de salud mental que practique o someta a </w:t>
      </w:r>
      <w:r w:rsidR="00C679C7">
        <w:rPr>
          <w:rFonts w:ascii="Book Antiqua" w:eastAsia="Book Antiqua" w:hAnsi="Book Antiqua" w:cs="Book Antiqua"/>
        </w:rPr>
        <w:t xml:space="preserve">una persona </w:t>
      </w:r>
      <w:r w:rsidRPr="00B46B11">
        <w:rPr>
          <w:rFonts w:ascii="Book Antiqua" w:eastAsia="Book Antiqua" w:hAnsi="Book Antiqua" w:cs="Book Antiqua"/>
        </w:rPr>
        <w:t xml:space="preserve">a terapia </w:t>
      </w:r>
      <w:r w:rsidR="00DF5A2A">
        <w:rPr>
          <w:rFonts w:ascii="Book Antiqua" w:eastAsia="Book Antiqua" w:hAnsi="Book Antiqua" w:cs="Book Antiqua"/>
        </w:rPr>
        <w:t xml:space="preserve">de conversión </w:t>
      </w:r>
      <w:r w:rsidR="00C95571">
        <w:rPr>
          <w:rFonts w:ascii="Book Antiqua" w:eastAsia="Book Antiqua" w:hAnsi="Book Antiqua" w:cs="Book Antiqua"/>
        </w:rPr>
        <w:t xml:space="preserve">o reparación </w:t>
      </w:r>
      <w:r w:rsidRPr="00B46B11">
        <w:rPr>
          <w:rFonts w:ascii="Book Antiqua" w:eastAsia="Book Antiqua" w:hAnsi="Book Antiqua" w:cs="Book Antiqua"/>
        </w:rPr>
        <w:t xml:space="preserve">incurrirá en conducta poco profesional y estará </w:t>
      </w:r>
      <w:r w:rsidR="003307C5">
        <w:rPr>
          <w:rFonts w:ascii="Book Antiqua" w:eastAsia="Book Antiqua" w:hAnsi="Book Antiqua" w:cs="Book Antiqua"/>
        </w:rPr>
        <w:t>sujeto a la suspensión inmediata de su licencia profesional.</w:t>
      </w:r>
    </w:p>
    <w:p w14:paraId="4093BE40" w14:textId="6AEC984B" w:rsidR="0089263D" w:rsidRPr="00611944" w:rsidRDefault="00611944" w:rsidP="0089263D">
      <w:pPr>
        <w:pStyle w:val="Title"/>
        <w:spacing w:line="480" w:lineRule="auto"/>
        <w:ind w:firstLine="720"/>
        <w:jc w:val="both"/>
        <w:rPr>
          <w:rFonts w:ascii="Book Antiqua" w:eastAsia="Book Antiqua" w:hAnsi="Book Antiqua" w:cs="Book Antiqua"/>
          <w:sz w:val="24"/>
          <w:lang w:val="es-PR"/>
        </w:rPr>
      </w:pPr>
      <w:r w:rsidRPr="00947700">
        <w:rPr>
          <w:rFonts w:ascii="Book Antiqua" w:eastAsia="Book Antiqua" w:hAnsi="Book Antiqua" w:cs="Book Antiqua"/>
          <w:sz w:val="24"/>
          <w:lang w:val="es-PR"/>
        </w:rPr>
        <w:t>Artículo 6-</w:t>
      </w:r>
      <w:r w:rsidR="0089263D" w:rsidRPr="0089263D">
        <w:rPr>
          <w:rFonts w:ascii="Book Antiqua" w:hAnsi="Book Antiqua"/>
          <w:lang w:val="es-PR"/>
        </w:rPr>
        <w:t xml:space="preserve"> </w:t>
      </w:r>
      <w:r w:rsidR="0089263D">
        <w:rPr>
          <w:rFonts w:ascii="Book Antiqua" w:hAnsi="Book Antiqua"/>
          <w:sz w:val="24"/>
          <w:lang w:val="es-PR"/>
        </w:rPr>
        <w:t>Tod</w:t>
      </w:r>
      <w:r w:rsidR="00C17084">
        <w:rPr>
          <w:rFonts w:ascii="Book Antiqua" w:hAnsi="Book Antiqua"/>
          <w:sz w:val="24"/>
          <w:lang w:val="es-PR"/>
        </w:rPr>
        <w:t>o</w:t>
      </w:r>
      <w:r w:rsidR="0089263D">
        <w:rPr>
          <w:rFonts w:ascii="Book Antiqua" w:hAnsi="Book Antiqua"/>
          <w:sz w:val="24"/>
          <w:lang w:val="es-PR"/>
        </w:rPr>
        <w:t xml:space="preserve"> profesional de la salud mental, según definido en esta </w:t>
      </w:r>
      <w:proofErr w:type="gramStart"/>
      <w:r w:rsidR="0089263D">
        <w:rPr>
          <w:rFonts w:ascii="Book Antiqua" w:hAnsi="Book Antiqua"/>
          <w:sz w:val="24"/>
          <w:lang w:val="es-PR"/>
        </w:rPr>
        <w:t xml:space="preserve">ley,  </w:t>
      </w:r>
      <w:r w:rsidR="0089263D" w:rsidRPr="00947700">
        <w:rPr>
          <w:rFonts w:ascii="Book Antiqua" w:hAnsi="Book Antiqua"/>
          <w:sz w:val="24"/>
          <w:lang w:val="es-PR"/>
        </w:rPr>
        <w:t>que</w:t>
      </w:r>
      <w:proofErr w:type="gramEnd"/>
      <w:r w:rsidR="0089263D" w:rsidRPr="00947700">
        <w:rPr>
          <w:rFonts w:ascii="Book Antiqua" w:hAnsi="Book Antiqua"/>
          <w:sz w:val="24"/>
          <w:lang w:val="es-PR"/>
        </w:rPr>
        <w:t xml:space="preserve">, a propósito, con conocimiento o temerariamente, brinde terapias de conversión según definidas en el Artículo 3, inciso (a), incurrirá en delito menos grave, y será sancionada con pena de reclusión por un término fijo de un (1) año y una multa de hasta cinco mil (5,000) dólares. </w:t>
      </w:r>
    </w:p>
    <w:p w14:paraId="2C33025F" w14:textId="757F4716" w:rsidR="00B46B11" w:rsidRDefault="000266A3" w:rsidP="00B46B11">
      <w:pPr>
        <w:pStyle w:val="Normal1"/>
        <w:spacing w:line="480" w:lineRule="auto"/>
        <w:ind w:firstLine="720"/>
        <w:jc w:val="both"/>
        <w:rPr>
          <w:rFonts w:ascii="Book Antiqua" w:eastAsia="Roboto" w:hAnsi="Book Antiqua" w:cs="Roboto"/>
        </w:rPr>
      </w:pPr>
      <w:r>
        <w:rPr>
          <w:rFonts w:ascii="Book Antiqua" w:eastAsia="Book Antiqua" w:hAnsi="Book Antiqua" w:cs="Book Antiqua"/>
        </w:rPr>
        <w:t>Artículo 7</w:t>
      </w:r>
      <w:r w:rsidR="00B46B11" w:rsidRPr="00B46B11">
        <w:rPr>
          <w:rFonts w:ascii="Book Antiqua" w:eastAsia="Book Antiqua" w:hAnsi="Book Antiqua" w:cs="Book Antiqua"/>
        </w:rPr>
        <w:t>.-</w:t>
      </w:r>
      <w:r w:rsidR="00B46B11" w:rsidRPr="00B46B11">
        <w:rPr>
          <w:rFonts w:ascii="Book Antiqua" w:eastAsia="Roboto" w:hAnsi="Book Antiqua" w:cs="Roboto"/>
        </w:rPr>
        <w:t xml:space="preserve"> </w:t>
      </w:r>
      <w:r w:rsidR="00C31143">
        <w:rPr>
          <w:rFonts w:ascii="Book Antiqua" w:eastAsia="Roboto" w:hAnsi="Book Antiqua" w:cs="Roboto"/>
        </w:rPr>
        <w:t xml:space="preserve">Interpretación de esta ley </w:t>
      </w:r>
    </w:p>
    <w:p w14:paraId="377ACE01" w14:textId="708863B9" w:rsidR="00C31143" w:rsidRPr="00FC283F" w:rsidRDefault="00C31143" w:rsidP="00F82C78">
      <w:pPr>
        <w:spacing w:line="480" w:lineRule="auto"/>
        <w:ind w:firstLine="720"/>
        <w:jc w:val="both"/>
        <w:rPr>
          <w:rFonts w:ascii="Book Antiqua" w:hAnsi="Book Antiqua"/>
          <w:lang w:val="es-PR"/>
        </w:rPr>
      </w:pPr>
      <w:r w:rsidRPr="00FC283F">
        <w:rPr>
          <w:rFonts w:ascii="Book Antiqua" w:hAnsi="Book Antiqua"/>
          <w:lang w:val="es-PR"/>
        </w:rPr>
        <w:t>Nada de lo dispuesto en esta Ley se interpretará como que coarta o limita las facultades y deberes de los padres, de las madres; así como tampoco prohíbe o coarta a la</w:t>
      </w:r>
      <w:r w:rsidR="00F96E6B">
        <w:rPr>
          <w:rFonts w:ascii="Book Antiqua" w:hAnsi="Book Antiqua"/>
          <w:lang w:val="es-PR"/>
        </w:rPr>
        <w:t>s</w:t>
      </w:r>
      <w:r w:rsidRPr="00FC283F">
        <w:rPr>
          <w:rFonts w:ascii="Book Antiqua" w:hAnsi="Book Antiqua"/>
          <w:lang w:val="es-PR"/>
        </w:rPr>
        <w:t xml:space="preserve"> iglesias e instituciones eclesiales, consejeros/as espirituales o </w:t>
      </w:r>
      <w:r w:rsidR="00F82C78">
        <w:rPr>
          <w:rFonts w:ascii="Book Antiqua" w:hAnsi="Book Antiqua"/>
          <w:lang w:val="es-PR"/>
        </w:rPr>
        <w:t xml:space="preserve">líderes </w:t>
      </w:r>
      <w:r w:rsidRPr="00FC283F">
        <w:rPr>
          <w:rFonts w:ascii="Book Antiqua" w:hAnsi="Book Antiqua"/>
          <w:lang w:val="es-PR"/>
        </w:rPr>
        <w:t xml:space="preserve">religiosos, </w:t>
      </w:r>
      <w:r w:rsidRPr="00FC283F">
        <w:rPr>
          <w:rFonts w:ascii="Book Antiqua" w:hAnsi="Book Antiqua"/>
          <w:lang w:val="es-PR"/>
        </w:rPr>
        <w:lastRenderedPageBreak/>
        <w:t>pastores y sacerdotes, que en el ejercicio de su libertad religiosa, estén actuando en su capacidad pastoral o religiosa</w:t>
      </w:r>
      <w:r w:rsidR="003307C5">
        <w:rPr>
          <w:rFonts w:ascii="Book Antiqua" w:hAnsi="Book Antiqua"/>
          <w:lang w:val="es-PR"/>
        </w:rPr>
        <w:t>, siempre y cuando se garantice el mejor bienestar y la dignidad de un menor de edad o de cualquier persona</w:t>
      </w:r>
      <w:r w:rsidRPr="00FC283F">
        <w:rPr>
          <w:rFonts w:ascii="Book Antiqua" w:hAnsi="Book Antiqua"/>
          <w:lang w:val="es-PR"/>
        </w:rPr>
        <w:t>; por último</w:t>
      </w:r>
      <w:r w:rsidR="00F82C78">
        <w:rPr>
          <w:rFonts w:ascii="Book Antiqua" w:hAnsi="Book Antiqua"/>
          <w:lang w:val="es-PR"/>
        </w:rPr>
        <w:t>,</w:t>
      </w:r>
      <w:r w:rsidRPr="00FC283F">
        <w:rPr>
          <w:rFonts w:ascii="Book Antiqua" w:hAnsi="Book Antiqua"/>
          <w:lang w:val="es-PR"/>
        </w:rPr>
        <w:t xml:space="preserve"> tampoco esta ley</w:t>
      </w:r>
      <w:r w:rsidR="00F82C78">
        <w:rPr>
          <w:rFonts w:ascii="Book Antiqua" w:hAnsi="Book Antiqua"/>
          <w:lang w:val="es-PR"/>
        </w:rPr>
        <w:t>,</w:t>
      </w:r>
      <w:r w:rsidRPr="00FC283F">
        <w:rPr>
          <w:rFonts w:ascii="Book Antiqua" w:hAnsi="Book Antiqua"/>
          <w:lang w:val="es-PR"/>
        </w:rPr>
        <w:t xml:space="preserve"> limita o coarta a los profesionales de la salud mental, consejeros y consejeras a discutir, recomendar y realizar </w:t>
      </w:r>
      <w:r w:rsidRPr="00F634A4">
        <w:rPr>
          <w:rFonts w:ascii="Book Antiqua" w:hAnsi="Book Antiqua"/>
          <w:lang w:val="es-PR"/>
        </w:rPr>
        <w:t>tratamientos legítimos</w:t>
      </w:r>
      <w:r w:rsidR="000A41D7" w:rsidRPr="00F634A4">
        <w:rPr>
          <w:rFonts w:ascii="Book Antiqua" w:hAnsi="Book Antiqua"/>
          <w:lang w:val="es-PR"/>
        </w:rPr>
        <w:t xml:space="preserve"> y </w:t>
      </w:r>
      <w:r w:rsidRPr="00F634A4">
        <w:rPr>
          <w:rFonts w:ascii="Book Antiqua" w:hAnsi="Book Antiqua"/>
          <w:lang w:val="es-PR"/>
        </w:rPr>
        <w:t>legales</w:t>
      </w:r>
      <w:r w:rsidR="000A41D7">
        <w:rPr>
          <w:rFonts w:ascii="Book Antiqua" w:hAnsi="Book Antiqua"/>
          <w:lang w:val="es-PR"/>
        </w:rPr>
        <w:t xml:space="preserve"> o </w:t>
      </w:r>
      <w:r w:rsidRPr="00FC283F">
        <w:rPr>
          <w:rFonts w:ascii="Book Antiqua" w:hAnsi="Book Antiqua"/>
          <w:lang w:val="es-PR"/>
        </w:rPr>
        <w:t>a expresar sus opiniones sobre cualquier tema</w:t>
      </w:r>
      <w:r w:rsidR="00706C14">
        <w:rPr>
          <w:rFonts w:ascii="Book Antiqua" w:hAnsi="Book Antiqua"/>
          <w:lang w:val="es-PR"/>
        </w:rPr>
        <w:t>.</w:t>
      </w:r>
    </w:p>
    <w:p w14:paraId="7BE1F764" w14:textId="09D7E51C" w:rsidR="00B46B11" w:rsidRPr="00B46B11" w:rsidRDefault="00B46B11" w:rsidP="00B46B11">
      <w:pPr>
        <w:pStyle w:val="Normal1"/>
        <w:spacing w:line="480" w:lineRule="auto"/>
        <w:ind w:firstLine="720"/>
        <w:jc w:val="both"/>
        <w:rPr>
          <w:rFonts w:ascii="Book Antiqua" w:eastAsia="Book Antiqua" w:hAnsi="Book Antiqua" w:cs="Book Antiqua"/>
        </w:rPr>
      </w:pPr>
      <w:r w:rsidRPr="00B46B11">
        <w:rPr>
          <w:rFonts w:ascii="Book Antiqua" w:eastAsia="Book Antiqua" w:hAnsi="Book Antiqua" w:cs="Book Antiqua"/>
        </w:rPr>
        <w:t xml:space="preserve">Artículo </w:t>
      </w:r>
      <w:r w:rsidR="000266A3">
        <w:rPr>
          <w:rFonts w:ascii="Book Antiqua" w:eastAsia="Book Antiqua" w:hAnsi="Book Antiqua" w:cs="Book Antiqua"/>
        </w:rPr>
        <w:t>8</w:t>
      </w:r>
      <w:r w:rsidRPr="00B46B11">
        <w:rPr>
          <w:rFonts w:ascii="Book Antiqua" w:eastAsia="Book Antiqua" w:hAnsi="Book Antiqua" w:cs="Book Antiqua"/>
        </w:rPr>
        <w:t>.-Las disposiciones de esta Ley prevalecerán sobre cualquier otra disposición de ley que no estuviere en armonía con lo aquí establecido.</w:t>
      </w:r>
    </w:p>
    <w:p w14:paraId="26DCC0E6" w14:textId="1FB055F0" w:rsidR="00B46B11" w:rsidRPr="00B46B11" w:rsidRDefault="000266A3" w:rsidP="00B46B11">
      <w:pPr>
        <w:pStyle w:val="Normal1"/>
        <w:spacing w:line="480" w:lineRule="auto"/>
        <w:ind w:firstLine="720"/>
        <w:jc w:val="both"/>
        <w:rPr>
          <w:rFonts w:ascii="Book Antiqua" w:eastAsia="Book Antiqua" w:hAnsi="Book Antiqua" w:cs="Book Antiqua"/>
        </w:rPr>
      </w:pPr>
      <w:r>
        <w:rPr>
          <w:rFonts w:ascii="Book Antiqua" w:eastAsia="Book Antiqua" w:hAnsi="Book Antiqua" w:cs="Book Antiqua"/>
        </w:rPr>
        <w:t>Artículo 9</w:t>
      </w:r>
      <w:r w:rsidR="00B46B11" w:rsidRPr="00B46B11">
        <w:rPr>
          <w:rFonts w:ascii="Book Antiqua" w:eastAsia="Book Antiqua" w:hAnsi="Book Antiqua" w:cs="Book Antiqua"/>
        </w:rPr>
        <w:t>.-Cláusula de Separabilidad.</w:t>
      </w:r>
    </w:p>
    <w:p w14:paraId="7DE0FDE9" w14:textId="77777777" w:rsidR="00B46B11" w:rsidRPr="00B46B11" w:rsidRDefault="00B46B11" w:rsidP="00B46B11">
      <w:pPr>
        <w:pStyle w:val="Normal1"/>
        <w:spacing w:line="480" w:lineRule="auto"/>
        <w:ind w:firstLine="720"/>
        <w:jc w:val="both"/>
        <w:rPr>
          <w:rFonts w:ascii="Book Antiqua" w:eastAsia="Book Antiqua" w:hAnsi="Book Antiqua" w:cs="Book Antiqua"/>
        </w:rPr>
      </w:pPr>
      <w:r w:rsidRPr="00B46B11">
        <w:rPr>
          <w:rFonts w:ascii="Book Antiqua" w:eastAsia="Book Antiqua" w:hAnsi="Book Antiqua" w:cs="Book Antiqua"/>
        </w:rPr>
        <w:t xml:space="preserve">Si cualquier cláusula, párrafo, subpárrafo, oración, palabra, letra, artículo, disposición, sección, subsección, título, capítulo, subcapítulo, acápite o parte de esta Ley fuera anulada o declarada inconstitucional, la resolución, dictamen o sentencia a tal efecto dictada no afectará, perjudicará, ni invalidará el remanente de esta Ley. El efecto de dicha sentencia quedará limitado a la cláusula, párrafo, subpárrafo, oración, palabra, letra, artículo, disposición, sección, subsección, título, capítulo, subcapítulo, acápite o parte de la misma que así hubiese sido anulada o declarada inconstitucional. Si la aplicación a una persona o a una circunstancia de cualquier cláusula, párrafo, subpárrafo, oración, palabra, letra, artículo, disposición, sección, subsección, título, capítulo, subcapítulo, acápite o parte de esta Ley fuera invalidada o declarada inconstitucional, la resolución, dictamen o sentencia a tal efecto dictada no afectará ni invalidará la aplicación del remanente de esta Ley a aquellas personas o circunstancias en que se pueda aplicar válidamente. Es la voluntad expresa e inequívoca de esta Asamblea Legislativa que los </w:t>
      </w:r>
      <w:r w:rsidRPr="00B46B11">
        <w:rPr>
          <w:rFonts w:ascii="Book Antiqua" w:eastAsia="Book Antiqua" w:hAnsi="Book Antiqua" w:cs="Book Antiqua"/>
        </w:rPr>
        <w:lastRenderedPageBreak/>
        <w:t xml:space="preserve">tribunales hagan cumplir las disposiciones y la aplicación de esta Ley en la mayor medida posible, aunque se deje sin efecto, anule, invalide, perjudique o declare inconstitucional alguna de sus partes, </w:t>
      </w:r>
      <w:proofErr w:type="gramStart"/>
      <w:r w:rsidRPr="00B46B11">
        <w:rPr>
          <w:rFonts w:ascii="Book Antiqua" w:eastAsia="Book Antiqua" w:hAnsi="Book Antiqua" w:cs="Book Antiqua"/>
        </w:rPr>
        <w:t>o</w:t>
      </w:r>
      <w:proofErr w:type="gramEnd"/>
      <w:r w:rsidRPr="00B46B11">
        <w:rPr>
          <w:rFonts w:ascii="Book Antiqua" w:eastAsia="Book Antiqua" w:hAnsi="Book Antiqua" w:cs="Book Antiqua"/>
        </w:rPr>
        <w:t xml:space="preserve"> aunque se deje sin efecto, invalide o declare inconstitucional su aplicación a alguna persona o circunstancia. Esta Asamblea Legislativa hubiera aprobado esta Ley sin importar la determinación de separabilidad que el Tribunal pueda hacer. </w:t>
      </w:r>
    </w:p>
    <w:p w14:paraId="3B79C2FD" w14:textId="03EB82BF" w:rsidR="00586A46" w:rsidRPr="00B46B11" w:rsidRDefault="000266A3" w:rsidP="00B46B11">
      <w:pPr>
        <w:pStyle w:val="Normal1"/>
        <w:spacing w:line="480" w:lineRule="auto"/>
        <w:ind w:firstLine="720"/>
        <w:jc w:val="both"/>
        <w:rPr>
          <w:rFonts w:ascii="Book Antiqua" w:hAnsi="Book Antiqua"/>
        </w:rPr>
      </w:pPr>
      <w:r>
        <w:rPr>
          <w:rFonts w:ascii="Book Antiqua" w:eastAsia="Book Antiqua" w:hAnsi="Book Antiqua" w:cs="Book Antiqua"/>
        </w:rPr>
        <w:t>Artículo 10</w:t>
      </w:r>
      <w:r w:rsidR="00B46B11" w:rsidRPr="00B46B11">
        <w:rPr>
          <w:rFonts w:ascii="Book Antiqua" w:eastAsia="Book Antiqua" w:hAnsi="Book Antiqua" w:cs="Book Antiqua"/>
        </w:rPr>
        <w:t xml:space="preserve">.-Esta Ley comenzará a regir inmediatamente después de su aprobación. </w:t>
      </w:r>
    </w:p>
    <w:sectPr w:rsidR="00586A46" w:rsidRPr="00B46B11" w:rsidSect="0033048D">
      <w:type w:val="continuous"/>
      <w:pgSz w:w="12240" w:h="15840"/>
      <w:pgMar w:top="1440" w:right="1440" w:bottom="1440" w:left="1440" w:header="720" w:footer="720" w:gutter="0"/>
      <w:lnNumType w:countBy="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9E9F0" w14:textId="77777777" w:rsidR="00A83D2C" w:rsidRDefault="00A83D2C" w:rsidP="00B46B11">
      <w:r>
        <w:separator/>
      </w:r>
    </w:p>
  </w:endnote>
  <w:endnote w:type="continuationSeparator" w:id="0">
    <w:p w14:paraId="4B681030" w14:textId="77777777" w:rsidR="00A83D2C" w:rsidRDefault="00A83D2C" w:rsidP="00B46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504020202020204"/>
    <w:charset w:val="00"/>
    <w:family w:val="swiss"/>
    <w:pitch w:val="variable"/>
    <w:sig w:usb0="E0002AFF" w:usb1="C0007843" w:usb2="00000009" w:usb3="00000000" w:csb0="000001FF" w:csb1="00000000"/>
  </w:font>
  <w:font w:name="Robot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4D0C1" w14:textId="77777777" w:rsidR="00A83D2C" w:rsidRDefault="00A83D2C" w:rsidP="00B46B11">
      <w:r>
        <w:separator/>
      </w:r>
    </w:p>
  </w:footnote>
  <w:footnote w:type="continuationSeparator" w:id="0">
    <w:p w14:paraId="3CD4C71B" w14:textId="77777777" w:rsidR="00A83D2C" w:rsidRDefault="00A83D2C" w:rsidP="00B46B11">
      <w:r>
        <w:continuationSeparator/>
      </w:r>
    </w:p>
  </w:footnote>
  <w:footnote w:id="1">
    <w:p w14:paraId="7EC7E60B" w14:textId="77777777" w:rsidR="00B46B11" w:rsidRPr="008D46C7" w:rsidRDefault="00B46B11" w:rsidP="00B46B11">
      <w:pPr>
        <w:jc w:val="both"/>
        <w:rPr>
          <w:sz w:val="20"/>
          <w:lang w:val="en-US"/>
        </w:rPr>
      </w:pPr>
      <w:r w:rsidRPr="00EB331C">
        <w:rPr>
          <w:rStyle w:val="FootnoteReference"/>
          <w:sz w:val="20"/>
        </w:rPr>
        <w:footnoteRef/>
      </w:r>
      <w:r w:rsidRPr="008D46C7">
        <w:rPr>
          <w:sz w:val="20"/>
          <w:lang w:val="en-US"/>
        </w:rPr>
        <w:t xml:space="preserve"> APA, </w:t>
      </w:r>
      <w:r w:rsidRPr="008D46C7">
        <w:rPr>
          <w:bCs/>
          <w:i/>
          <w:sz w:val="20"/>
          <w:lang w:val="en-US"/>
        </w:rPr>
        <w:t>Position Statement on Conversion Therapy and LGBTQ Patients</w:t>
      </w:r>
      <w:r w:rsidRPr="008D46C7">
        <w:rPr>
          <w:bCs/>
          <w:sz w:val="20"/>
          <w:lang w:val="en-US"/>
        </w:rPr>
        <w:t>, December 2018: “</w:t>
      </w:r>
      <w:r w:rsidRPr="008D46C7">
        <w:rPr>
          <w:rFonts w:eastAsia="Calibri"/>
          <w:sz w:val="20"/>
          <w:lang w:val="en-US"/>
        </w:rPr>
        <w:t>The validity, efficacy, and ethics of clinical attempts to change an individual's sexual orientation have been challenged. The literature also consists of anecdotal reports of people who claim that attempts to change were harmful to them, and others who claimed to have changed and then later recanted those claims”</w:t>
      </w:r>
      <w:r>
        <w:rPr>
          <w:rFonts w:eastAsia="Calibri"/>
          <w:sz w:val="20"/>
          <w:lang w:val="en-US"/>
        </w:rPr>
        <w:t>.</w:t>
      </w:r>
    </w:p>
  </w:footnote>
  <w:footnote w:id="2">
    <w:p w14:paraId="55D12AAE" w14:textId="6D1BB8CA" w:rsidR="00B46B11" w:rsidRPr="00A369DA" w:rsidRDefault="00B46B11" w:rsidP="00B46B11">
      <w:pPr>
        <w:pStyle w:val="FootnoteText"/>
        <w:jc w:val="both"/>
      </w:pPr>
      <w:r w:rsidRPr="00A369DA">
        <w:rPr>
          <w:rStyle w:val="FootnoteReference"/>
        </w:rPr>
        <w:footnoteRef/>
      </w:r>
      <w:r w:rsidRPr="00A369DA">
        <w:t xml:space="preserve"> Cf. </w:t>
      </w:r>
      <w:r w:rsidR="00C679C7">
        <w:t>APA</w:t>
      </w:r>
      <w:r w:rsidRPr="00A369DA">
        <w:t xml:space="preserve">; American Psychological Association, Task Force on Appropriate Therapeutic Responses to Sexual Orientation. (2009). </w:t>
      </w:r>
      <w:r w:rsidRPr="00A369DA">
        <w:rPr>
          <w:i/>
          <w:iCs/>
        </w:rPr>
        <w:t>Report of the American Psychological Association Task Force on Appropriate Therapeutic Responses to Sexual Orientation</w:t>
      </w:r>
      <w:r w:rsidRPr="00A369DA">
        <w:t xml:space="preserve">. Retrieved from </w:t>
      </w:r>
      <w:hyperlink r:id="rId1" w:history="1">
        <w:r w:rsidRPr="00A369DA">
          <w:rPr>
            <w:rStyle w:val="Hyperlink"/>
            <w:color w:val="auto"/>
          </w:rPr>
          <w:t>http://www.apa.org/pi/lgbc/publications/therapeutic-resp.html</w:t>
        </w:r>
      </w:hyperlink>
      <w:r w:rsidRPr="00A369DA">
        <w:t xml:space="preserve">; American Counseling Association,  Ethical issues related to conversion or reparative therapy, </w:t>
      </w:r>
      <w:hyperlink r:id="rId2" w:history="1">
        <w:r w:rsidRPr="00A369DA">
          <w:rPr>
            <w:rStyle w:val="Hyperlink"/>
            <w:color w:val="auto"/>
          </w:rPr>
          <w:t>https://www.counseling.org/news/updates/by-year/2013/2013/01/16/ethical-issues-related-to-conversion-or-reparative-therapy</w:t>
        </w:r>
      </w:hyperlink>
      <w:r w:rsidRPr="00A369DA">
        <w:t xml:space="preserve">. Cf. Michael Schroeder </w:t>
      </w:r>
      <w:proofErr w:type="spellStart"/>
      <w:r w:rsidRPr="00A369DA">
        <w:t>PsyD</w:t>
      </w:r>
      <w:proofErr w:type="spellEnd"/>
      <w:r w:rsidRPr="00A369DA">
        <w:t xml:space="preserve"> &amp; Ariel </w:t>
      </w:r>
      <w:proofErr w:type="spellStart"/>
      <w:r w:rsidRPr="00A369DA">
        <w:t>Shidlo</w:t>
      </w:r>
      <w:proofErr w:type="spellEnd"/>
      <w:r w:rsidRPr="00A369DA">
        <w:t xml:space="preserve"> PhD (2002) Ethical Issues in Sexual Orientation Conversion Therapies: An Empirical Study of Consumers, Journal of Gay &amp;amp; Lesbian Psychotherapy, 5:3-4, 131-166, DOI: 10.1300/J236v05n03_09</w:t>
      </w:r>
    </w:p>
  </w:footnote>
  <w:footnote w:id="3">
    <w:p w14:paraId="545F4A9F" w14:textId="6E0EB138" w:rsidR="00B46B11" w:rsidRPr="00F07C73" w:rsidRDefault="00B46B11" w:rsidP="00676864">
      <w:pPr>
        <w:spacing w:line="259" w:lineRule="auto"/>
        <w:jc w:val="both"/>
        <w:rPr>
          <w:lang w:val="en-US"/>
        </w:rPr>
      </w:pPr>
      <w:r w:rsidRPr="00A369DA">
        <w:rPr>
          <w:rStyle w:val="FootnoteReference"/>
          <w:sz w:val="20"/>
          <w:szCs w:val="20"/>
        </w:rPr>
        <w:footnoteRef/>
      </w:r>
      <w:r w:rsidR="00A369DA" w:rsidRPr="00A369DA">
        <w:rPr>
          <w:sz w:val="20"/>
          <w:szCs w:val="20"/>
          <w:lang w:val="en-US"/>
        </w:rPr>
        <w:t xml:space="preserve">Cf. </w:t>
      </w:r>
      <w:r w:rsidR="00A369DA" w:rsidRPr="005A1CDB">
        <w:rPr>
          <w:sz w:val="20"/>
          <w:szCs w:val="20"/>
          <w:lang w:val="en-US"/>
        </w:rPr>
        <w:t>Resolution on Appropriate Affirmative Responses to Sexual Orientation Distress and Change Efforts (2009)</w:t>
      </w:r>
      <w:r w:rsidR="00A369DA" w:rsidRPr="00A369DA">
        <w:rPr>
          <w:sz w:val="20"/>
          <w:szCs w:val="20"/>
          <w:lang w:val="en-US"/>
        </w:rPr>
        <w:t xml:space="preserve"> </w:t>
      </w:r>
      <w:hyperlink r:id="rId3" w:history="1">
        <w:r w:rsidR="00A369DA" w:rsidRPr="00A369DA">
          <w:rPr>
            <w:rStyle w:val="Hyperlink"/>
            <w:sz w:val="20"/>
            <w:szCs w:val="20"/>
            <w:lang w:val="en-US"/>
          </w:rPr>
          <w:t>https://www.apa.org/about/policy/sexual-orientation</w:t>
        </w:r>
      </w:hyperlink>
      <w:r w:rsidR="00A369DA" w:rsidRPr="005A1CDB">
        <w:rPr>
          <w:lang w:val="en-US"/>
        </w:rPr>
        <w:t xml:space="preserve"> </w:t>
      </w:r>
    </w:p>
  </w:footnote>
  <w:footnote w:id="4">
    <w:p w14:paraId="6E0EFB54" w14:textId="22D498C1" w:rsidR="00676864" w:rsidRPr="00676864" w:rsidRDefault="00676864" w:rsidP="00676864">
      <w:pPr>
        <w:pStyle w:val="FootnoteText"/>
        <w:jc w:val="both"/>
        <w:rPr>
          <w:bCs/>
        </w:rPr>
      </w:pPr>
      <w:r>
        <w:rPr>
          <w:rStyle w:val="FootnoteReference"/>
        </w:rPr>
        <w:footnoteRef/>
      </w:r>
      <w:r>
        <w:t xml:space="preserve"> </w:t>
      </w:r>
      <w:bookmarkStart w:id="2" w:name="_Hlk68503862"/>
      <w:r w:rsidRPr="00676864">
        <w:rPr>
          <w:bCs/>
          <w:i/>
          <w:iCs/>
        </w:rPr>
        <w:t>Report of the Independent Expert on protection against violence and discrimination based on sexual orientation and gender identity, Practices</w:t>
      </w:r>
      <w:r w:rsidRPr="00676864">
        <w:rPr>
          <w:b/>
          <w:bCs/>
          <w:i/>
          <w:iCs/>
        </w:rPr>
        <w:t xml:space="preserve"> </w:t>
      </w:r>
      <w:r w:rsidRPr="00676864">
        <w:rPr>
          <w:bCs/>
          <w:i/>
          <w:iCs/>
        </w:rPr>
        <w:t>of so-called “conversion therapy</w:t>
      </w:r>
      <w:r w:rsidRPr="00676864">
        <w:rPr>
          <w:bCs/>
        </w:rPr>
        <w:t>.”</w:t>
      </w:r>
      <w:r w:rsidRPr="00676864">
        <w:rPr>
          <w:rFonts w:asciiTheme="minorHAnsi" w:eastAsiaTheme="minorHAnsi" w:hAnsiTheme="minorHAnsi" w:cstheme="minorBidi"/>
          <w:sz w:val="22"/>
          <w:szCs w:val="22"/>
        </w:rPr>
        <w:t xml:space="preserve"> </w:t>
      </w:r>
      <w:hyperlink r:id="rId4" w:history="1">
        <w:r w:rsidRPr="00676864">
          <w:rPr>
            <w:rStyle w:val="Hyperlink"/>
            <w:bCs/>
          </w:rPr>
          <w:t>https://undocs.org/A/HRC/44/53</w:t>
        </w:r>
      </w:hyperlink>
      <w:r w:rsidRPr="00676864">
        <w:rPr>
          <w:bCs/>
        </w:rPr>
        <w:t xml:space="preserve"> </w:t>
      </w:r>
      <w:proofErr w:type="spellStart"/>
      <w:r w:rsidRPr="00676864">
        <w:rPr>
          <w:bCs/>
        </w:rPr>
        <w:t>pág</w:t>
      </w:r>
      <w:proofErr w:type="spellEnd"/>
      <w:r w:rsidRPr="00676864">
        <w:rPr>
          <w:bCs/>
        </w:rPr>
        <w:t>. 11 # 4</w:t>
      </w:r>
      <w:bookmarkEnd w:id="2"/>
      <w:r w:rsidRPr="00676864">
        <w:rPr>
          <w:bCs/>
        </w:rPr>
        <w:t xml:space="preserve">: </w:t>
      </w:r>
      <w:r>
        <w:rPr>
          <w:bCs/>
        </w:rPr>
        <w:t>“</w:t>
      </w:r>
      <w:r w:rsidRPr="00676864">
        <w:rPr>
          <w:bCs/>
        </w:rPr>
        <w:t xml:space="preserve">Medical practices function on “the postulation that [sexual orientation and gender identity] is the by-product of an inherent biological dysfunction … which can be treated exogenously”, relying archaically on lobotomies or the removal of sexual organs. Current medical practices mostly rely on pharmaceutical approaches, such as medication or hormone or steroid therapy, which is reportedly the case in the Islamic Republic of Iran, where hormone therapy is prescribed to lesbians to allegedly “cure” their so-called </w:t>
      </w:r>
      <w:r w:rsidRPr="00676864">
        <w:rPr>
          <w:bCs/>
          <w:i/>
          <w:iCs/>
        </w:rPr>
        <w:t>gay affliction</w:t>
      </w:r>
      <w:r>
        <w:rPr>
          <w:bCs/>
        </w:rPr>
        <w:t>”</w:t>
      </w:r>
    </w:p>
    <w:p w14:paraId="434A53CE" w14:textId="4FCCB3BC" w:rsidR="00676864" w:rsidRPr="00676864" w:rsidRDefault="00676864" w:rsidP="00676864">
      <w:pPr>
        <w:pStyle w:val="FootnoteText"/>
        <w:rPr>
          <w:bCs/>
        </w:rPr>
      </w:pPr>
    </w:p>
    <w:p w14:paraId="092B7A0F" w14:textId="157DD7A9" w:rsidR="00676864" w:rsidRPr="00676864" w:rsidRDefault="00676864" w:rsidP="00676864">
      <w:pPr>
        <w:pStyle w:val="FootnoteText"/>
      </w:pPr>
    </w:p>
  </w:footnote>
  <w:footnote w:id="5">
    <w:p w14:paraId="000A5CB4" w14:textId="77777777" w:rsidR="003B40AC" w:rsidRDefault="0072031C" w:rsidP="003B40AC">
      <w:pPr>
        <w:pStyle w:val="FootnoteText"/>
        <w:jc w:val="both"/>
        <w:rPr>
          <w:rFonts w:ascii="Book Antiqua" w:eastAsiaTheme="minorHAnsi" w:hAnsi="Book Antiqua" w:cstheme="minorBidi"/>
        </w:rPr>
      </w:pPr>
      <w:r>
        <w:rPr>
          <w:rStyle w:val="FootnoteReference"/>
        </w:rPr>
        <w:footnoteRef/>
      </w:r>
      <w:r>
        <w:t xml:space="preserve"> </w:t>
      </w:r>
      <w:bookmarkStart w:id="3" w:name="_Hlk68503923"/>
      <w:r w:rsidR="000A41D7" w:rsidRPr="000A41D7">
        <w:rPr>
          <w:bCs/>
          <w:i/>
          <w:iCs/>
        </w:rPr>
        <w:t>Report of the Independent Expert on protection against violence and discrimination based on sexual orientation and gender identity, Practices</w:t>
      </w:r>
      <w:r w:rsidR="000A41D7" w:rsidRPr="000A41D7">
        <w:rPr>
          <w:b/>
          <w:bCs/>
          <w:i/>
          <w:iCs/>
        </w:rPr>
        <w:t xml:space="preserve"> </w:t>
      </w:r>
      <w:r w:rsidR="000A41D7" w:rsidRPr="000A41D7">
        <w:rPr>
          <w:bCs/>
          <w:i/>
          <w:iCs/>
        </w:rPr>
        <w:t>of so-called “conversion therapy</w:t>
      </w:r>
      <w:r w:rsidR="000A41D7" w:rsidRPr="000A41D7">
        <w:rPr>
          <w:bCs/>
        </w:rPr>
        <w:t>.”</w:t>
      </w:r>
      <w:r w:rsidR="000A41D7" w:rsidRPr="000A41D7">
        <w:t xml:space="preserve"> </w:t>
      </w:r>
      <w:hyperlink r:id="rId5" w:history="1">
        <w:r w:rsidR="000A41D7" w:rsidRPr="000A41D7">
          <w:rPr>
            <w:rStyle w:val="Hyperlink"/>
            <w:bCs/>
          </w:rPr>
          <w:t>https://undocs.org/A/HRC/44/53</w:t>
        </w:r>
      </w:hyperlink>
      <w:r w:rsidR="000A41D7" w:rsidRPr="000A41D7">
        <w:rPr>
          <w:bCs/>
        </w:rPr>
        <w:t xml:space="preserve"> </w:t>
      </w:r>
      <w:proofErr w:type="spellStart"/>
      <w:r w:rsidR="000A41D7" w:rsidRPr="000A41D7">
        <w:rPr>
          <w:bCs/>
        </w:rPr>
        <w:t>pág</w:t>
      </w:r>
      <w:proofErr w:type="spellEnd"/>
      <w:r w:rsidR="000A41D7" w:rsidRPr="000A41D7">
        <w:rPr>
          <w:bCs/>
        </w:rPr>
        <w:t>. 16 # 69.</w:t>
      </w:r>
      <w:bookmarkEnd w:id="3"/>
      <w:r w:rsidR="003B40AC" w:rsidRPr="003B40AC">
        <w:rPr>
          <w:rFonts w:ascii="Book Antiqua" w:eastAsiaTheme="minorHAnsi" w:hAnsi="Book Antiqua" w:cstheme="minorBidi"/>
        </w:rPr>
        <w:t xml:space="preserve"> </w:t>
      </w:r>
    </w:p>
    <w:p w14:paraId="7BDAE6E3" w14:textId="7147C11C" w:rsidR="003B40AC" w:rsidRPr="003B40AC" w:rsidRDefault="003B40AC" w:rsidP="003B40AC">
      <w:pPr>
        <w:pStyle w:val="FootnoteText"/>
        <w:jc w:val="both"/>
        <w:rPr>
          <w:bCs/>
        </w:rPr>
      </w:pPr>
      <w:r>
        <w:rPr>
          <w:rFonts w:ascii="Book Antiqua" w:eastAsiaTheme="minorHAnsi" w:hAnsi="Book Antiqua" w:cstheme="minorBidi"/>
        </w:rPr>
        <w:t>“</w:t>
      </w:r>
      <w:r w:rsidRPr="003B40AC">
        <w:rPr>
          <w:bCs/>
        </w:rPr>
        <w:t xml:space="preserve">The </w:t>
      </w:r>
      <w:r w:rsidRPr="003B40AC">
        <w:rPr>
          <w:bCs/>
          <w:i/>
          <w:iCs/>
        </w:rPr>
        <w:t>Independent Expert</w:t>
      </w:r>
      <w:r w:rsidRPr="003B40AC">
        <w:rPr>
          <w:bCs/>
        </w:rPr>
        <w:t xml:space="preserve"> is mindful and respectful of existential dilemmas expressed by individuals experiencing conflict between deeply felt emotion and desire and their personal convictions as to what is a desirable norm in relation to sexual orientation and gender identity, and that they may wish to align their </w:t>
      </w:r>
      <w:proofErr w:type="spellStart"/>
      <w:r w:rsidRPr="003B40AC">
        <w:rPr>
          <w:bCs/>
        </w:rPr>
        <w:t>behaviour</w:t>
      </w:r>
      <w:proofErr w:type="spellEnd"/>
      <w:r w:rsidRPr="003B40AC">
        <w:rPr>
          <w:bCs/>
        </w:rPr>
        <w:t xml:space="preserve"> and expression to latter. Self-determination creates the space for individuals to decide on the manner in which they wish to identify; as </w:t>
      </w:r>
      <w:r w:rsidRPr="003B40AC">
        <w:rPr>
          <w:bCs/>
          <w:i/>
          <w:iCs/>
        </w:rPr>
        <w:t>the Independent Expert</w:t>
      </w:r>
      <w:r w:rsidRPr="003B40AC">
        <w:rPr>
          <w:bCs/>
        </w:rPr>
        <w:t xml:space="preserve"> has constantly stated, the principles of freedom and autonomy directly contradict the idea that a person is born to play a certain role in society</w:t>
      </w:r>
      <w:r>
        <w:rPr>
          <w:bCs/>
        </w:rPr>
        <w:t>”</w:t>
      </w:r>
      <w:r w:rsidRPr="003B40AC">
        <w:rPr>
          <w:bCs/>
        </w:rPr>
        <w:t>.</w:t>
      </w:r>
    </w:p>
    <w:p w14:paraId="309B2B63" w14:textId="17D88EC6" w:rsidR="0072031C" w:rsidRDefault="0072031C">
      <w:pPr>
        <w:pStyle w:val="FootnoteText"/>
      </w:pPr>
    </w:p>
  </w:footnote>
  <w:footnote w:id="6">
    <w:p w14:paraId="156F2CAC" w14:textId="77777777" w:rsidR="003C5C72" w:rsidRDefault="0072031C" w:rsidP="003C5C72">
      <w:pPr>
        <w:pStyle w:val="FootnoteText"/>
        <w:jc w:val="both"/>
        <w:rPr>
          <w:rFonts w:ascii="Book Antiqua" w:eastAsiaTheme="minorHAnsi" w:hAnsi="Book Antiqua" w:cstheme="minorBidi"/>
          <w:sz w:val="22"/>
          <w:szCs w:val="22"/>
        </w:rPr>
      </w:pPr>
      <w:r>
        <w:rPr>
          <w:rStyle w:val="FootnoteReference"/>
        </w:rPr>
        <w:footnoteRef/>
      </w:r>
      <w:r>
        <w:t xml:space="preserve"> </w:t>
      </w:r>
      <w:r w:rsidR="000A41D7" w:rsidRPr="000A41D7">
        <w:rPr>
          <w:bCs/>
          <w:i/>
          <w:iCs/>
        </w:rPr>
        <w:t>Report of the Independent Expert on protection against violence and discrimination based on sexual orientation and gender identity, Practices</w:t>
      </w:r>
      <w:r w:rsidR="000A41D7" w:rsidRPr="000A41D7">
        <w:rPr>
          <w:b/>
          <w:bCs/>
          <w:i/>
          <w:iCs/>
        </w:rPr>
        <w:t xml:space="preserve"> </w:t>
      </w:r>
      <w:r w:rsidR="000A41D7" w:rsidRPr="000A41D7">
        <w:rPr>
          <w:bCs/>
          <w:i/>
          <w:iCs/>
        </w:rPr>
        <w:t>of so-called “conversion therapy</w:t>
      </w:r>
      <w:r w:rsidR="000A41D7" w:rsidRPr="000A41D7">
        <w:rPr>
          <w:bCs/>
        </w:rPr>
        <w:t>.”</w:t>
      </w:r>
      <w:r w:rsidR="000A41D7" w:rsidRPr="000A41D7">
        <w:t xml:space="preserve"> </w:t>
      </w:r>
      <w:hyperlink r:id="rId6" w:history="1">
        <w:r w:rsidR="000A41D7" w:rsidRPr="00F07C73">
          <w:rPr>
            <w:rStyle w:val="Hyperlink"/>
            <w:bCs/>
          </w:rPr>
          <w:t>https://undocs.org/A/HRC/44/53</w:t>
        </w:r>
      </w:hyperlink>
      <w:r w:rsidR="000A41D7" w:rsidRPr="00F07C73">
        <w:rPr>
          <w:bCs/>
        </w:rPr>
        <w:t xml:space="preserve"> </w:t>
      </w:r>
      <w:proofErr w:type="spellStart"/>
      <w:r w:rsidR="000A41D7" w:rsidRPr="00F07C73">
        <w:rPr>
          <w:bCs/>
        </w:rPr>
        <w:t>pág</w:t>
      </w:r>
      <w:proofErr w:type="spellEnd"/>
      <w:r w:rsidR="000A41D7" w:rsidRPr="00F07C73">
        <w:rPr>
          <w:bCs/>
        </w:rPr>
        <w:t>. 16 # 70.</w:t>
      </w:r>
      <w:r w:rsidR="003C5C72" w:rsidRPr="003C5C72">
        <w:rPr>
          <w:rFonts w:ascii="Book Antiqua" w:eastAsiaTheme="minorHAnsi" w:hAnsi="Book Antiqua" w:cstheme="minorBidi"/>
          <w:sz w:val="22"/>
          <w:szCs w:val="22"/>
        </w:rPr>
        <w:t xml:space="preserve"> </w:t>
      </w:r>
    </w:p>
    <w:p w14:paraId="35E90458" w14:textId="2E6537C4" w:rsidR="0072031C" w:rsidRPr="003C5C72" w:rsidRDefault="003C5C72" w:rsidP="003C5C72">
      <w:pPr>
        <w:pStyle w:val="FootnoteText"/>
        <w:jc w:val="both"/>
      </w:pPr>
      <w:r>
        <w:rPr>
          <w:bCs/>
        </w:rPr>
        <w:t>“</w:t>
      </w:r>
      <w:r w:rsidRPr="003C5C72">
        <w:rPr>
          <w:bCs/>
        </w:rPr>
        <w:t>In processes of self-determination and addressing the existential dilemmas that may be connected to those processes, individuals may choose to avail themselves of mechanisms of support and counselling, some of which may be based on psychological, medical or religious approaches related to the exploration, free development and/or affirmation of one’s identity. As established in the present report, however, based on the overwhelming evidence available, none of those approaches can claim “conversion” as an outcome, just as none can claim that diverse sexual orientation or gender identity is an illness or disorder requiring therapy</w:t>
      </w:r>
      <w:r>
        <w:rPr>
          <w:bCs/>
        </w:rPr>
        <w:t>”</w:t>
      </w:r>
    </w:p>
  </w:footnote>
  <w:footnote w:id="7">
    <w:p w14:paraId="67321E52" w14:textId="77777777" w:rsidR="0016779F" w:rsidRPr="0016779F" w:rsidRDefault="003C5C72" w:rsidP="0016779F">
      <w:pPr>
        <w:jc w:val="both"/>
        <w:rPr>
          <w:sz w:val="20"/>
          <w:szCs w:val="20"/>
          <w:lang w:val="en-US"/>
        </w:rPr>
      </w:pPr>
      <w:r w:rsidRPr="0016779F">
        <w:rPr>
          <w:rStyle w:val="FootnoteReference"/>
          <w:sz w:val="20"/>
          <w:szCs w:val="20"/>
        </w:rPr>
        <w:footnoteRef/>
      </w:r>
      <w:r w:rsidR="0016779F" w:rsidRPr="0016779F">
        <w:rPr>
          <w:sz w:val="20"/>
          <w:szCs w:val="20"/>
          <w:lang w:val="en-US"/>
        </w:rPr>
        <w:t>American Psychological Association, Task Force on Appropriate Therapeutic Responses to Sexual Orientation. (2009). Report of the American Psychological Association Task Force on Appropriate Therapeutic Responses to Sexual Orientation. Retrieved from http://www. apa.org/pi/</w:t>
      </w:r>
      <w:proofErr w:type="spellStart"/>
      <w:r w:rsidR="0016779F" w:rsidRPr="0016779F">
        <w:rPr>
          <w:sz w:val="20"/>
          <w:szCs w:val="20"/>
          <w:lang w:val="en-US"/>
        </w:rPr>
        <w:t>lgbc</w:t>
      </w:r>
      <w:proofErr w:type="spellEnd"/>
      <w:r w:rsidR="0016779F" w:rsidRPr="0016779F">
        <w:rPr>
          <w:sz w:val="20"/>
          <w:szCs w:val="20"/>
          <w:lang w:val="en-US"/>
        </w:rPr>
        <w:t xml:space="preserve">/publications/therapeutic-resp.html </w:t>
      </w:r>
    </w:p>
    <w:p w14:paraId="47180E1E" w14:textId="357438B3" w:rsidR="003C5C72" w:rsidRPr="0016779F" w:rsidRDefault="0016779F" w:rsidP="003C5C72">
      <w:pPr>
        <w:pStyle w:val="FootnoteText"/>
        <w:jc w:val="both"/>
      </w:pPr>
      <w:proofErr w:type="spellStart"/>
      <w:r>
        <w:t>Pag</w:t>
      </w:r>
      <w:proofErr w:type="spellEnd"/>
      <w:r>
        <w:t xml:space="preserve">. </w:t>
      </w:r>
      <w:r w:rsidRPr="0016779F">
        <w:t>5 In</w:t>
      </w:r>
      <w:r w:rsidR="003C5C72" w:rsidRPr="0016779F">
        <w:t xml:space="preserve"> terms of formulating the goals of treatment, we propose that, on the basis of research on sexual orientation and sexual orientation identity, what appears to shift and evolve in some individuals’ lives is sexual orientation identity, not sexual orientation. Given that there is diversity in how individuals define and express their sexual orientation identity, an affirmative approach is supportive of clients’ identity development without an a priori treatment goal concerning how clients identify or live out their sexual orientation or spiritual beliefs.</w:t>
      </w:r>
    </w:p>
    <w:p w14:paraId="02A0D013" w14:textId="00E27735" w:rsidR="003C5C72" w:rsidRDefault="003C5C72">
      <w:pPr>
        <w:pStyle w:val="FootnoteText"/>
      </w:pPr>
    </w:p>
  </w:footnote>
  <w:footnote w:id="8">
    <w:p w14:paraId="66BEA7CD" w14:textId="75F93C27" w:rsidR="00B46B11" w:rsidRPr="00B46B11" w:rsidRDefault="00B46B11" w:rsidP="00B46B11">
      <w:pPr>
        <w:jc w:val="both"/>
        <w:rPr>
          <w:sz w:val="20"/>
          <w:lang w:val="en-US"/>
        </w:rPr>
      </w:pPr>
      <w:r w:rsidRPr="00B46B11">
        <w:rPr>
          <w:rStyle w:val="FootnoteReference"/>
          <w:sz w:val="20"/>
        </w:rPr>
        <w:footnoteRef/>
      </w:r>
      <w:r w:rsidRPr="00B46B11">
        <w:rPr>
          <w:sz w:val="20"/>
          <w:lang w:val="en-US"/>
        </w:rPr>
        <w:t xml:space="preserve"> Anton, B. S. (2010). </w:t>
      </w:r>
      <w:r w:rsidR="00AB2419">
        <w:rPr>
          <w:sz w:val="20"/>
          <w:lang w:val="en-US"/>
        </w:rPr>
        <w:t>“</w:t>
      </w:r>
      <w:r w:rsidRPr="00AB2419">
        <w:rPr>
          <w:sz w:val="20"/>
          <w:lang w:val="en-US"/>
        </w:rPr>
        <w:t>Proceedings of the American Psychological Association for the legislative year 2009: Minutes of the annual meeting of the Council of Representatives and minutes of the meetings of the Board of Directors, Appropriate Affirmative Responses to Sexual Orientation Distress and Change Efforts</w:t>
      </w:r>
      <w:r w:rsidR="00AB2419">
        <w:rPr>
          <w:sz w:val="20"/>
          <w:lang w:val="en-US"/>
        </w:rPr>
        <w:t>”</w:t>
      </w:r>
      <w:r w:rsidRPr="00AB2419">
        <w:rPr>
          <w:sz w:val="20"/>
          <w:lang w:val="en-US"/>
        </w:rPr>
        <w:t>,</w:t>
      </w:r>
      <w:r w:rsidRPr="00B46B11">
        <w:rPr>
          <w:sz w:val="20"/>
          <w:lang w:val="en-US"/>
        </w:rPr>
        <w:t xml:space="preserve"> </w:t>
      </w:r>
      <w:r w:rsidRPr="00B46B11">
        <w:rPr>
          <w:i/>
          <w:iCs/>
          <w:sz w:val="20"/>
          <w:lang w:val="en-US"/>
        </w:rPr>
        <w:t>American Psychologist, 65</w:t>
      </w:r>
      <w:r w:rsidRPr="00B46B11">
        <w:rPr>
          <w:sz w:val="20"/>
          <w:lang w:val="en-US"/>
        </w:rPr>
        <w:t>, 385–475. doi:10.1037/a0019553 WHEREAS the APA takes a leadership role in opposing prejudice and discrimination (APA, 2008b, 2008c), including prejudice based on or derived from religion or spirituality, and encourages commensurate consideration of religion and spirituality as diversity variables (APA, 2008b); and WHEREAS psychologists respect human diversity including age, gender, gender identity, race, ethnicity, culture, national origin, religion, sexual orientation, disability, language, and socioeconomic status (APA, 2002) and psychologists strive to prevent bias from their own spiritual, religious, or nonreligious beliefs from taking precedence over professional practice and standards or scientific findings in their work as psychologists (APA, 2008b); and WHEREAS psychologists are encouraged to recognize that it is outside the role and expertise of psychologists, as psychologists, to adjudicate religious or spiritual tenets, while also recognizing that psychologists can appropriately speak to the psychological implications of religious/spiritual beliefs or practices when relevant psychological findings about those implications exist (APA, 2008b); and WHEREAS those operating from religious/spiritual traditions are encouraged to recognize that it is outside their role and expertise to adjudicate empirical scientific issues in psychology, while also recognizing they can appropriately speak to theological implications of psychological science (APA, 2008b); and WHEREAS the APA encourages collaborative activities in pursuit of shared prosocial goals between psychologists and religious communities when such collaboration can be done in a mutually respectful manner that is consistent with psychologists ‘professional and scientific roles (APA, 2008b).</w:t>
      </w:r>
    </w:p>
  </w:footnote>
  <w:footnote w:id="9">
    <w:p w14:paraId="3B384ED8" w14:textId="77777777" w:rsidR="00B46B11" w:rsidRPr="00B46B11" w:rsidRDefault="00B46B11" w:rsidP="00B46B11">
      <w:pPr>
        <w:pStyle w:val="FootnoteText"/>
        <w:jc w:val="both"/>
      </w:pPr>
      <w:r w:rsidRPr="00B46B11">
        <w:rPr>
          <w:rStyle w:val="FootnoteReference"/>
        </w:rPr>
        <w:footnoteRef/>
      </w:r>
      <w:r w:rsidRPr="00B46B11">
        <w:t xml:space="preserve"> Cf. Amber L. </w:t>
      </w:r>
      <w:proofErr w:type="spellStart"/>
      <w:r w:rsidRPr="00B46B11">
        <w:t>Popea</w:t>
      </w:r>
      <w:proofErr w:type="spellEnd"/>
      <w:r w:rsidRPr="00B46B11">
        <w:t xml:space="preserve">; A. Keith </w:t>
      </w:r>
      <w:proofErr w:type="spellStart"/>
      <w:r w:rsidRPr="00B46B11">
        <w:t>Mobleya</w:t>
      </w:r>
      <w:proofErr w:type="spellEnd"/>
      <w:r w:rsidRPr="00B46B11">
        <w:t xml:space="preserve">; Jane E. </w:t>
      </w:r>
      <w:proofErr w:type="spellStart"/>
      <w:r w:rsidRPr="00B46B11">
        <w:t>Myersa</w:t>
      </w:r>
      <w:proofErr w:type="spellEnd"/>
      <w:r w:rsidRPr="00B46B11">
        <w:t xml:space="preserve">, Integrating Identities for Same-Sex Attracted Clients: Using Developmental Counseling and Therapy to Address Sexual Orientation Conflicts Article in Journal of LGBT Issues in Counseling · March 2010; Stanton L. Jones, </w:t>
      </w:r>
      <w:proofErr w:type="spellStart"/>
      <w:proofErr w:type="gramStart"/>
      <w:r w:rsidRPr="00B46B11">
        <w:t>Ph.D.,Mark</w:t>
      </w:r>
      <w:proofErr w:type="spellEnd"/>
      <w:proofErr w:type="gramEnd"/>
      <w:r w:rsidRPr="00B46B11">
        <w:t xml:space="preserve"> A. </w:t>
      </w:r>
      <w:proofErr w:type="spellStart"/>
      <w:r w:rsidRPr="00B46B11">
        <w:t>Yarhouse</w:t>
      </w:r>
      <w:proofErr w:type="spellEnd"/>
      <w:r w:rsidRPr="00B46B11">
        <w:t xml:space="preserve">, </w:t>
      </w:r>
      <w:proofErr w:type="spellStart"/>
      <w:r w:rsidRPr="00B46B11">
        <w:t>Psy.D</w:t>
      </w:r>
      <w:proofErr w:type="spellEnd"/>
      <w:r w:rsidRPr="00B46B11">
        <w:t>., Ex Gays? An Extended Longitudinal Study of Attempted Religiously Mediated Change in Sexual Orientation, Sexual Orientation and Faith Tradition Symposium; APA Convention, 2009.</w:t>
      </w:r>
    </w:p>
  </w:footnote>
  <w:footnote w:id="10">
    <w:p w14:paraId="7A359978" w14:textId="149421FC" w:rsidR="00B46B11" w:rsidRPr="008D46C7" w:rsidRDefault="00B46B11" w:rsidP="00B46B11">
      <w:pPr>
        <w:jc w:val="both"/>
        <w:rPr>
          <w:sz w:val="20"/>
          <w:lang w:val="en-US"/>
        </w:rPr>
      </w:pPr>
      <w:r w:rsidRPr="00114EBF">
        <w:rPr>
          <w:rStyle w:val="FootnoteReference"/>
          <w:sz w:val="20"/>
        </w:rPr>
        <w:footnoteRef/>
      </w:r>
      <w:r w:rsidRPr="00114EBF">
        <w:rPr>
          <w:sz w:val="20"/>
          <w:lang w:val="en-US"/>
        </w:rPr>
        <w:t xml:space="preserve">American Psychological Association, Task Force on Appropriate Therapeutic Responses to Sexual Orientation. (2009). </w:t>
      </w:r>
      <w:r w:rsidRPr="00114EBF">
        <w:rPr>
          <w:i/>
          <w:iCs/>
          <w:sz w:val="20"/>
          <w:lang w:val="en-US"/>
        </w:rPr>
        <w:t xml:space="preserve">Report of </w:t>
      </w:r>
      <w:proofErr w:type="spellStart"/>
      <w:r w:rsidRPr="00114EBF">
        <w:rPr>
          <w:i/>
          <w:iCs/>
          <w:sz w:val="20"/>
          <w:lang w:val="en-US"/>
        </w:rPr>
        <w:t>theAmerican</w:t>
      </w:r>
      <w:proofErr w:type="spellEnd"/>
      <w:r w:rsidRPr="00114EBF">
        <w:rPr>
          <w:i/>
          <w:iCs/>
          <w:sz w:val="20"/>
          <w:lang w:val="en-US"/>
        </w:rPr>
        <w:t xml:space="preserve"> Psychological Association Task Force on Appropriate Therapeutic Responses to Sexual Orientation</w:t>
      </w:r>
      <w:r w:rsidRPr="00114EBF">
        <w:rPr>
          <w:sz w:val="20"/>
          <w:lang w:val="en-US"/>
        </w:rPr>
        <w:t xml:space="preserve">. Retrieved from </w:t>
      </w:r>
      <w:hyperlink r:id="rId7" w:history="1">
        <w:r w:rsidRPr="00114EBF">
          <w:rPr>
            <w:rStyle w:val="Hyperlink"/>
            <w:sz w:val="20"/>
            <w:lang w:val="en-US"/>
          </w:rPr>
          <w:t>http://www</w:t>
        </w:r>
      </w:hyperlink>
      <w:r w:rsidRPr="00114EBF">
        <w:rPr>
          <w:sz w:val="20"/>
          <w:lang w:val="en-US"/>
        </w:rPr>
        <w:t>. apa.org/pi/</w:t>
      </w:r>
      <w:proofErr w:type="spellStart"/>
      <w:r w:rsidRPr="00114EBF">
        <w:rPr>
          <w:sz w:val="20"/>
          <w:lang w:val="en-US"/>
        </w:rPr>
        <w:t>lgbc</w:t>
      </w:r>
      <w:proofErr w:type="spellEnd"/>
      <w:r w:rsidRPr="00114EBF">
        <w:rPr>
          <w:sz w:val="20"/>
          <w:lang w:val="en-US"/>
        </w:rPr>
        <w:t xml:space="preserve">/publications/therapeutic-resp.html   </w:t>
      </w:r>
      <w:proofErr w:type="spellStart"/>
      <w:r w:rsidRPr="00114EBF">
        <w:rPr>
          <w:sz w:val="20"/>
          <w:lang w:val="en-US"/>
        </w:rPr>
        <w:t>Pag</w:t>
      </w:r>
      <w:proofErr w:type="spellEnd"/>
      <w:r w:rsidRPr="00114EBF">
        <w:rPr>
          <w:sz w:val="20"/>
          <w:lang w:val="en-US"/>
        </w:rPr>
        <w:t>. 87</w:t>
      </w:r>
      <w:r w:rsidR="0016779F">
        <w:rPr>
          <w:sz w:val="20"/>
          <w:lang w:val="en-US"/>
        </w:rPr>
        <w:t xml:space="preserve"> “</w:t>
      </w:r>
      <w:r w:rsidR="0016779F" w:rsidRPr="0016779F">
        <w:rPr>
          <w:sz w:val="20"/>
          <w:lang w:val="en-US"/>
        </w:rPr>
        <w:t xml:space="preserve">Many religious sexual minorities experience significant psychological distress and conflict due to the divergence between their sexual orientation and religious beliefs. To support clients who have these concerns, </w:t>
      </w:r>
      <w:r w:rsidR="003358E8" w:rsidRPr="003358E8">
        <w:rPr>
          <w:sz w:val="20"/>
          <w:lang w:val="en-US"/>
        </w:rPr>
        <w:t xml:space="preserve">licensed mental health providers (LMHP) </w:t>
      </w:r>
      <w:r w:rsidR="0016779F" w:rsidRPr="0016779F">
        <w:rPr>
          <w:sz w:val="20"/>
          <w:lang w:val="en-US"/>
        </w:rPr>
        <w:t xml:space="preserve">can provide psychological acceptance, support, and recognition of the importance of faith to individuals and communities while recognizing the science of sexual orientation. LMHP working with religious individuals and families can incorporate research from the psychology of religion into the client-centered multicultural framework summarized previously. The goal of treatment is for the client to explore possible life paths that address the reality of his or her sexual orientation while considering the possibilities for a religiously and spiritually meaningful and rewarding life. Such psychotherapy can enhance clients’ search for meaning, significance, and a relationship with the sacred in their lives (e.g., </w:t>
      </w:r>
      <w:proofErr w:type="spellStart"/>
      <w:r w:rsidR="0016779F" w:rsidRPr="0016779F">
        <w:rPr>
          <w:sz w:val="20"/>
          <w:lang w:val="en-US"/>
        </w:rPr>
        <w:t>Pargament</w:t>
      </w:r>
      <w:proofErr w:type="spellEnd"/>
      <w:r w:rsidR="0016779F" w:rsidRPr="0016779F">
        <w:rPr>
          <w:sz w:val="20"/>
          <w:lang w:val="en-US"/>
        </w:rPr>
        <w:t xml:space="preserve"> &amp; Maloney, 2005). Such an approach would focus on increasing positive religious coping, understanding religious motivations, integrating religious and sexual orientation identities, and reframing sexual orientation identities to reduce or eliminate self-stigma</w:t>
      </w:r>
      <w:r w:rsidR="0016779F">
        <w:rPr>
          <w:sz w:val="20"/>
          <w:lang w:val="en-US"/>
        </w:rPr>
        <w:t>”</w:t>
      </w:r>
    </w:p>
  </w:footnote>
  <w:footnote w:id="11">
    <w:p w14:paraId="77A5E2A0" w14:textId="7458427B" w:rsidR="0016779F" w:rsidRDefault="00446662" w:rsidP="00446662">
      <w:pPr>
        <w:jc w:val="both"/>
        <w:rPr>
          <w:sz w:val="20"/>
          <w:szCs w:val="20"/>
          <w:lang w:val="en-US"/>
        </w:rPr>
      </w:pPr>
      <w:r>
        <w:rPr>
          <w:rStyle w:val="FootnoteReference"/>
        </w:rPr>
        <w:footnoteRef/>
      </w:r>
      <w:r w:rsidRPr="00446662">
        <w:rPr>
          <w:lang w:val="en-US"/>
        </w:rPr>
        <w:t xml:space="preserve"> </w:t>
      </w:r>
      <w:r w:rsidRPr="003A7C86">
        <w:rPr>
          <w:sz w:val="20"/>
          <w:szCs w:val="20"/>
          <w:lang w:val="en-US"/>
        </w:rPr>
        <w:t>Dra</w:t>
      </w:r>
      <w:r w:rsidRPr="003A7C86">
        <w:rPr>
          <w:sz w:val="20"/>
          <w:szCs w:val="20"/>
          <w:shd w:val="clear" w:color="auto" w:fill="FFFFFF"/>
          <w:lang w:val="en-US"/>
        </w:rPr>
        <w:t xml:space="preserve"> </w:t>
      </w:r>
      <w:r w:rsidRPr="003A7C86">
        <w:rPr>
          <w:sz w:val="20"/>
          <w:szCs w:val="20"/>
          <w:lang w:val="en-US"/>
        </w:rPr>
        <w:t> </w:t>
      </w:r>
      <w:hyperlink r:id="rId8" w:history="1">
        <w:r w:rsidRPr="003A7C86">
          <w:rPr>
            <w:rStyle w:val="Hyperlink"/>
            <w:color w:val="auto"/>
            <w:sz w:val="20"/>
            <w:szCs w:val="20"/>
            <w:lang w:val="en-US"/>
          </w:rPr>
          <w:t xml:space="preserve">Angelica Terepka, </w:t>
        </w:r>
      </w:hyperlink>
      <w:r>
        <w:rPr>
          <w:rStyle w:val="Hyperlink"/>
          <w:sz w:val="20"/>
          <w:szCs w:val="20"/>
          <w:lang w:val="en-US"/>
        </w:rPr>
        <w:t>“</w:t>
      </w:r>
      <w:r w:rsidRPr="003A7C86">
        <w:rPr>
          <w:sz w:val="20"/>
          <w:szCs w:val="20"/>
          <w:lang w:val="en"/>
        </w:rPr>
        <w:t>Sexual identity and religious ideals: Therapeutic considerations when working with contending areas of diversity</w:t>
      </w:r>
      <w:r>
        <w:rPr>
          <w:sz w:val="20"/>
          <w:szCs w:val="20"/>
          <w:lang w:val="en"/>
        </w:rPr>
        <w:t>”</w:t>
      </w:r>
      <w:r w:rsidRPr="003A7C86">
        <w:rPr>
          <w:sz w:val="20"/>
          <w:szCs w:val="20"/>
          <w:lang w:val="en"/>
        </w:rPr>
        <w:t xml:space="preserve"> </w:t>
      </w:r>
      <w:hyperlink r:id="rId9" w:history="1">
        <w:r w:rsidR="00D6277B" w:rsidRPr="008F4C4B">
          <w:rPr>
            <w:rStyle w:val="Hyperlink"/>
            <w:sz w:val="20"/>
            <w:szCs w:val="20"/>
            <w:lang w:val="en-US"/>
          </w:rPr>
          <w:t>https://www.apadivisions.org/division-44/publications/newsletters/division/2014/10/diversity</w:t>
        </w:r>
      </w:hyperlink>
      <w:r w:rsidR="0016779F">
        <w:rPr>
          <w:sz w:val="20"/>
          <w:szCs w:val="20"/>
          <w:lang w:val="en-US"/>
        </w:rPr>
        <w:t xml:space="preserve"> </w:t>
      </w:r>
      <w:r w:rsidR="00D6277B">
        <w:rPr>
          <w:sz w:val="20"/>
          <w:szCs w:val="20"/>
          <w:lang w:val="en-US"/>
        </w:rPr>
        <w:t xml:space="preserve"> </w:t>
      </w:r>
      <w:r w:rsidR="0016779F">
        <w:rPr>
          <w:sz w:val="20"/>
          <w:szCs w:val="20"/>
          <w:lang w:val="en-US"/>
        </w:rPr>
        <w:t>“</w:t>
      </w:r>
      <w:r w:rsidR="0016779F" w:rsidRPr="0016779F">
        <w:rPr>
          <w:sz w:val="20"/>
          <w:szCs w:val="20"/>
          <w:lang w:val="en-US"/>
        </w:rPr>
        <w:t>Overall, psychologists must remember that “the greater the conflict between sexual and religious identities, the more difficult their integration and the greater the perceived loss in choosing one over the other” (</w:t>
      </w:r>
      <w:proofErr w:type="spellStart"/>
      <w:r w:rsidR="0016779F" w:rsidRPr="0016779F">
        <w:rPr>
          <w:sz w:val="20"/>
          <w:szCs w:val="20"/>
          <w:lang w:val="en-US"/>
        </w:rPr>
        <w:t>Bartoli</w:t>
      </w:r>
      <w:proofErr w:type="spellEnd"/>
      <w:r w:rsidR="0016779F" w:rsidRPr="0016779F">
        <w:rPr>
          <w:sz w:val="20"/>
          <w:szCs w:val="20"/>
          <w:lang w:val="en-US"/>
        </w:rPr>
        <w:t xml:space="preserve"> &amp; </w:t>
      </w:r>
      <w:proofErr w:type="spellStart"/>
      <w:r w:rsidR="0016779F" w:rsidRPr="0016779F">
        <w:rPr>
          <w:sz w:val="20"/>
          <w:szCs w:val="20"/>
          <w:lang w:val="en-US"/>
        </w:rPr>
        <w:t>Gillem</w:t>
      </w:r>
      <w:proofErr w:type="spellEnd"/>
      <w:r w:rsidR="0016779F" w:rsidRPr="0016779F">
        <w:rPr>
          <w:sz w:val="20"/>
          <w:szCs w:val="20"/>
          <w:lang w:val="en-US"/>
        </w:rPr>
        <w:t>, 2008, p.204). From a professional stance, adhering to one set of ethical recommendations and affirming religious values over sexual orientation or vice versa does not constitute a solution to this problem, and instead exacerbates the conflict between religious beliefs and LGBT orientations. Instead, the profession should aim to integrate these two realms of diversity, and in doing so, move toward the greater goal: not changing either religious beliefs or sexual orientation but rather, seeking integration for the betterment of our clients and society</w:t>
      </w:r>
      <w:r w:rsidR="0016779F">
        <w:rPr>
          <w:sz w:val="20"/>
          <w:szCs w:val="20"/>
          <w:lang w:val="en-US"/>
        </w:rPr>
        <w:t xml:space="preserve">”; </w:t>
      </w:r>
    </w:p>
    <w:p w14:paraId="292A963F" w14:textId="2E0EC1B4" w:rsidR="00446662" w:rsidRPr="00446662" w:rsidRDefault="0016779F" w:rsidP="00446662">
      <w:pPr>
        <w:jc w:val="both"/>
        <w:rPr>
          <w:lang w:val="en-US"/>
        </w:rPr>
      </w:pPr>
      <w:r>
        <w:rPr>
          <w:sz w:val="20"/>
          <w:szCs w:val="20"/>
          <w:lang w:val="en-US"/>
        </w:rPr>
        <w:t xml:space="preserve">Cf. </w:t>
      </w:r>
      <w:r w:rsidR="00D6277B" w:rsidRPr="00D45A23">
        <w:rPr>
          <w:rFonts w:ascii="Book Antiqua" w:eastAsia="Calibri" w:hAnsi="Book Antiqua"/>
          <w:sz w:val="20"/>
          <w:szCs w:val="20"/>
          <w:lang w:val="en-US"/>
        </w:rPr>
        <w:t xml:space="preserve">Amber L. </w:t>
      </w:r>
      <w:r w:rsidR="00D6277B" w:rsidRPr="00D6277B">
        <w:rPr>
          <w:rFonts w:ascii="Book Antiqua" w:eastAsia="Calibri" w:hAnsi="Book Antiqua"/>
          <w:sz w:val="20"/>
          <w:szCs w:val="20"/>
          <w:lang w:val="en-US"/>
        </w:rPr>
        <w:t>Pope,</w:t>
      </w:r>
      <w:r w:rsidR="00D6277B" w:rsidRPr="00D45A23">
        <w:rPr>
          <w:rFonts w:ascii="Book Antiqua" w:eastAsia="Calibri" w:hAnsi="Book Antiqua"/>
          <w:sz w:val="20"/>
          <w:szCs w:val="20"/>
          <w:lang w:val="en-US"/>
        </w:rPr>
        <w:t xml:space="preserve"> A. Keith Mobley &amp; Jane E. Myers (2010) </w:t>
      </w:r>
      <w:r>
        <w:rPr>
          <w:rFonts w:ascii="Book Antiqua" w:eastAsia="Calibri" w:hAnsi="Book Antiqua"/>
          <w:sz w:val="20"/>
          <w:szCs w:val="20"/>
          <w:lang w:val="en-US"/>
        </w:rPr>
        <w:t>“</w:t>
      </w:r>
      <w:r w:rsidR="00D6277B" w:rsidRPr="00D45A23">
        <w:rPr>
          <w:rFonts w:ascii="Book Antiqua" w:eastAsia="Calibri" w:hAnsi="Book Antiqua"/>
          <w:sz w:val="20"/>
          <w:szCs w:val="20"/>
          <w:lang w:val="en-US"/>
        </w:rPr>
        <w:t>Integrating</w:t>
      </w:r>
      <w:r w:rsidR="00D6277B" w:rsidRPr="00D6277B">
        <w:rPr>
          <w:rFonts w:ascii="Book Antiqua" w:eastAsia="Calibri" w:hAnsi="Book Antiqua"/>
          <w:sz w:val="20"/>
          <w:szCs w:val="20"/>
          <w:lang w:val="en-US"/>
        </w:rPr>
        <w:t xml:space="preserve"> </w:t>
      </w:r>
      <w:r w:rsidR="00D6277B" w:rsidRPr="00D45A23">
        <w:rPr>
          <w:rFonts w:ascii="Book Antiqua" w:eastAsia="Calibri" w:hAnsi="Book Antiqua"/>
          <w:sz w:val="20"/>
          <w:szCs w:val="20"/>
          <w:lang w:val="en-US"/>
        </w:rPr>
        <w:t>Identities for Same-Sex Attracted Clients: Using Developmental Counseling and Therapy to</w:t>
      </w:r>
      <w:r w:rsidR="00D6277B" w:rsidRPr="00D6277B">
        <w:rPr>
          <w:rFonts w:ascii="Book Antiqua" w:eastAsia="Calibri" w:hAnsi="Book Antiqua"/>
          <w:sz w:val="20"/>
          <w:szCs w:val="20"/>
          <w:lang w:val="en-US"/>
        </w:rPr>
        <w:t xml:space="preserve"> </w:t>
      </w:r>
      <w:r w:rsidR="00D6277B" w:rsidRPr="00D45A23">
        <w:rPr>
          <w:rFonts w:ascii="Book Antiqua" w:eastAsia="Calibri" w:hAnsi="Book Antiqua"/>
          <w:sz w:val="20"/>
          <w:szCs w:val="20"/>
          <w:lang w:val="en-US"/>
        </w:rPr>
        <w:t>Address Sexual Orientation Conflicts</w:t>
      </w:r>
      <w:r>
        <w:rPr>
          <w:rFonts w:ascii="Book Antiqua" w:eastAsia="Calibri" w:hAnsi="Book Antiqua"/>
          <w:sz w:val="20"/>
          <w:szCs w:val="20"/>
          <w:lang w:val="en-US"/>
        </w:rPr>
        <w:t>”</w:t>
      </w:r>
      <w:r w:rsidR="00D6277B" w:rsidRPr="00D45A23">
        <w:rPr>
          <w:rFonts w:ascii="Book Antiqua" w:eastAsia="Calibri" w:hAnsi="Book Antiqua"/>
          <w:sz w:val="20"/>
          <w:szCs w:val="20"/>
          <w:lang w:val="en-US"/>
        </w:rPr>
        <w:t>, Journal of LGBT Issues in Counseling, 4:1, 32-47, DOI:</w:t>
      </w:r>
      <w:r w:rsidR="00D6277B" w:rsidRPr="00D6277B">
        <w:rPr>
          <w:rFonts w:ascii="Book Antiqua" w:eastAsia="Calibri" w:hAnsi="Book Antiqua"/>
          <w:sz w:val="20"/>
          <w:szCs w:val="20"/>
          <w:lang w:val="en-US"/>
        </w:rPr>
        <w:t xml:space="preserve"> 10.1080/15538600903552749</w:t>
      </w:r>
      <w:r w:rsidR="00446662">
        <w:rPr>
          <w:sz w:val="20"/>
          <w:szCs w:val="20"/>
          <w:lang w:val="en-US"/>
        </w:rPr>
        <w:t>.</w:t>
      </w:r>
      <w:r>
        <w:rPr>
          <w:sz w:val="20"/>
          <w:szCs w:val="20"/>
          <w:lang w:val="en-US"/>
        </w:rPr>
        <w:t xml:space="preserve"> </w:t>
      </w:r>
    </w:p>
  </w:footnote>
  <w:footnote w:id="12">
    <w:p w14:paraId="7F1DF994" w14:textId="388DC39B" w:rsidR="00683BAF" w:rsidRPr="00D05EC8" w:rsidRDefault="00683BAF" w:rsidP="00B030EF">
      <w:pPr>
        <w:pStyle w:val="FootnoteText"/>
        <w:jc w:val="both"/>
        <w:rPr>
          <w:b/>
          <w:bCs/>
        </w:rPr>
      </w:pPr>
      <w:r>
        <w:rPr>
          <w:rStyle w:val="FootnoteReference"/>
        </w:rPr>
        <w:footnoteRef/>
      </w:r>
      <w:r w:rsidRPr="009D0A46">
        <w:t xml:space="preserve"> </w:t>
      </w:r>
      <w:r w:rsidR="009D0A46" w:rsidRPr="009D0A46">
        <w:t xml:space="preserve">El </w:t>
      </w:r>
      <w:proofErr w:type="spellStart"/>
      <w:r w:rsidR="009D0A46" w:rsidRPr="009D0A46">
        <w:t>mismo</w:t>
      </w:r>
      <w:proofErr w:type="spellEnd"/>
      <w:r w:rsidR="009D0A46" w:rsidRPr="009D0A46">
        <w:t xml:space="preserve"> Tribunal </w:t>
      </w:r>
      <w:proofErr w:type="spellStart"/>
      <w:r w:rsidR="009D0A46" w:rsidRPr="009D0A46">
        <w:t>Supremo</w:t>
      </w:r>
      <w:proofErr w:type="spellEnd"/>
      <w:r w:rsidR="009D0A46" w:rsidRPr="009D0A46">
        <w:t xml:space="preserve">, </w:t>
      </w:r>
      <w:proofErr w:type="spellStart"/>
      <w:r w:rsidR="009D0A46" w:rsidRPr="009D0A46">
        <w:t>en</w:t>
      </w:r>
      <w:proofErr w:type="spellEnd"/>
      <w:r w:rsidR="009D0A46" w:rsidRPr="009D0A46">
        <w:t xml:space="preserve"> el </w:t>
      </w:r>
      <w:proofErr w:type="spellStart"/>
      <w:r w:rsidR="009D0A46" w:rsidRPr="009D0A46">
        <w:t>caso</w:t>
      </w:r>
      <w:proofErr w:type="spellEnd"/>
      <w:r w:rsidR="009D0A46" w:rsidRPr="009D0A46">
        <w:t xml:space="preserve"> antes </w:t>
      </w:r>
      <w:proofErr w:type="spellStart"/>
      <w:r w:rsidR="009D0A46" w:rsidRPr="009D0A46">
        <w:t>mencionado</w:t>
      </w:r>
      <w:proofErr w:type="spellEnd"/>
      <w:r w:rsidR="009D0A46" w:rsidRPr="009D0A46">
        <w:t xml:space="preserve">, </w:t>
      </w:r>
      <w:proofErr w:type="spellStart"/>
      <w:r w:rsidR="009D0A46" w:rsidRPr="009D0A46">
        <w:t>entiende</w:t>
      </w:r>
      <w:proofErr w:type="spellEnd"/>
      <w:r w:rsidR="009D0A46" w:rsidRPr="009D0A46">
        <w:t xml:space="preserve"> </w:t>
      </w:r>
      <w:proofErr w:type="spellStart"/>
      <w:r w:rsidR="009D0A46" w:rsidRPr="009D0A46">
        <w:t>como</w:t>
      </w:r>
      <w:proofErr w:type="spellEnd"/>
      <w:r w:rsidR="009D0A46" w:rsidRPr="009D0A46">
        <w:t xml:space="preserve"> “professional </w:t>
      </w:r>
      <w:proofErr w:type="spellStart"/>
      <w:r w:rsidR="009D0A46" w:rsidRPr="009D0A46">
        <w:t>specch</w:t>
      </w:r>
      <w:proofErr w:type="spellEnd"/>
      <w:r w:rsidR="009D0A46" w:rsidRPr="009D0A46">
        <w:t xml:space="preserve">” lo </w:t>
      </w:r>
      <w:proofErr w:type="spellStart"/>
      <w:r w:rsidR="009D0A46" w:rsidRPr="009D0A46">
        <w:t>siguiente</w:t>
      </w:r>
      <w:proofErr w:type="spellEnd"/>
      <w:r w:rsidR="009D0A46" w:rsidRPr="009D0A46">
        <w:t>:</w:t>
      </w:r>
      <w:r w:rsidR="005A26F9">
        <w:t xml:space="preserve"> “</w:t>
      </w:r>
      <w:r w:rsidR="009D0A46" w:rsidRPr="009D0A46">
        <w:rPr>
          <w:lang w:val="en"/>
        </w:rPr>
        <w:t>These courts define "professionals" as individuals who provide personalized services to clients and who are subject to "a generally applicable licensing and regulatory regime</w:t>
      </w:r>
      <w:r w:rsidR="009D0A46">
        <w:rPr>
          <w:lang w:val="en"/>
        </w:rPr>
        <w:t xml:space="preserve"> …</w:t>
      </w:r>
      <w:r w:rsidR="009D0A46" w:rsidRPr="009D0A46">
        <w:rPr>
          <w:lang w:val="en"/>
        </w:rPr>
        <w:t xml:space="preserve">"Professional speech" is then defined as any speech by these individuals that is based on "[their] expert knowledge and judgment," </w:t>
      </w:r>
      <w:r w:rsidR="009D0A46" w:rsidRPr="009D0A46">
        <w:rPr>
          <w:i/>
          <w:iCs/>
          <w:lang w:val="en"/>
        </w:rPr>
        <w:t>King, supra,</w:t>
      </w:r>
      <w:r w:rsidR="009D0A46" w:rsidRPr="009D0A46">
        <w:rPr>
          <w:lang w:val="en"/>
        </w:rPr>
        <w:t xml:space="preserve"> at 232, or that is "within the confines of [the] professional relationship,"</w:t>
      </w:r>
      <w:r w:rsidR="009D0A46">
        <w:rPr>
          <w:lang w:val="en"/>
        </w:rPr>
        <w:t xml:space="preserve"> </w:t>
      </w:r>
      <w:bookmarkStart w:id="6" w:name="_Hlk67146588"/>
      <w:r w:rsidR="009D0A46" w:rsidRPr="00A96DBD">
        <w:rPr>
          <w:b/>
          <w:bCs/>
          <w:i/>
          <w:iCs/>
          <w:lang w:val="en"/>
        </w:rPr>
        <w:t>National supra</w:t>
      </w:r>
      <w:r w:rsidR="009D0A46" w:rsidRPr="00A96DBD">
        <w:rPr>
          <w:b/>
          <w:bCs/>
          <w:lang w:val="en"/>
        </w:rPr>
        <w:t xml:space="preserve">. </w:t>
      </w:r>
      <w:r w:rsidR="009D0A46" w:rsidRPr="00D05EC8">
        <w:rPr>
          <w:b/>
          <w:bCs/>
        </w:rPr>
        <w:t xml:space="preserve">138 </w:t>
      </w:r>
      <w:proofErr w:type="spellStart"/>
      <w:r w:rsidR="009D0A46" w:rsidRPr="00D05EC8">
        <w:rPr>
          <w:b/>
          <w:bCs/>
        </w:rPr>
        <w:t>S.Ct</w:t>
      </w:r>
      <w:proofErr w:type="spellEnd"/>
      <w:r w:rsidR="009D0A46" w:rsidRPr="00D05EC8">
        <w:rPr>
          <w:b/>
          <w:bCs/>
        </w:rPr>
        <w:t>. 2371</w:t>
      </w:r>
    </w:p>
    <w:bookmarkEnd w:id="6"/>
  </w:footnote>
  <w:footnote w:id="13">
    <w:p w14:paraId="4AD03748" w14:textId="0E86FD81" w:rsidR="00A96DBD" w:rsidRPr="00A96DBD" w:rsidRDefault="00A96DBD" w:rsidP="00A96DBD">
      <w:pPr>
        <w:pStyle w:val="FootnoteText"/>
        <w:jc w:val="both"/>
        <w:rPr>
          <w:lang w:val="en"/>
        </w:rPr>
      </w:pPr>
      <w:r>
        <w:rPr>
          <w:rStyle w:val="FootnoteReference"/>
        </w:rPr>
        <w:footnoteRef/>
      </w:r>
      <w:r w:rsidRPr="00A96DBD">
        <w:rPr>
          <w:b/>
          <w:bCs/>
          <w:i/>
          <w:iCs/>
          <w:lang w:val="en"/>
        </w:rPr>
        <w:t>National supra</w:t>
      </w:r>
      <w:r w:rsidRPr="00A96DBD">
        <w:rPr>
          <w:b/>
          <w:bCs/>
          <w:lang w:val="en"/>
        </w:rPr>
        <w:t xml:space="preserve">. </w:t>
      </w:r>
      <w:r w:rsidRPr="00A96DBD">
        <w:rPr>
          <w:b/>
          <w:bCs/>
        </w:rPr>
        <w:t xml:space="preserve">138 </w:t>
      </w:r>
      <w:proofErr w:type="spellStart"/>
      <w:r w:rsidRPr="00A96DBD">
        <w:rPr>
          <w:b/>
          <w:bCs/>
        </w:rPr>
        <w:t>S.Ct</w:t>
      </w:r>
      <w:proofErr w:type="spellEnd"/>
      <w:r w:rsidRPr="00A96DBD">
        <w:rPr>
          <w:b/>
          <w:bCs/>
        </w:rPr>
        <w:t>. 2371</w:t>
      </w:r>
      <w:r>
        <w:rPr>
          <w:b/>
          <w:bCs/>
        </w:rPr>
        <w:t>-2374:</w:t>
      </w:r>
      <w:r w:rsidRPr="00A96DBD">
        <w:t xml:space="preserve"> </w:t>
      </w:r>
      <w:r>
        <w:t>“</w:t>
      </w:r>
      <w:r w:rsidRPr="00A96DBD">
        <w:rPr>
          <w:lang w:val="en"/>
        </w:rPr>
        <w:t>But this Court has not recognized "professional speech" as a separate category of speech. Speech is not unprotected merely because it is uttered by "</w:t>
      </w:r>
      <w:r w:rsidRPr="00A96DBD">
        <w:rPr>
          <w:b/>
          <w:lang w:val="en"/>
        </w:rPr>
        <w:t>professionals.</w:t>
      </w:r>
      <w:r w:rsidRPr="00A96DBD">
        <w:rPr>
          <w:lang w:val="en"/>
        </w:rPr>
        <w:t xml:space="preserve">" This Court has "been reluctant to mark off new categories of speech for diminished constitutional protection." </w:t>
      </w:r>
      <w:r w:rsidRPr="00A96DBD">
        <w:rPr>
          <w:i/>
          <w:iCs/>
          <w:lang w:val="en"/>
        </w:rPr>
        <w:t>Denver Area Ed. Telecommunications Consortium, Inc. v. FCC,</w:t>
      </w:r>
      <w:r w:rsidRPr="00A96DBD">
        <w:rPr>
          <w:lang w:val="en"/>
        </w:rPr>
        <w:t xml:space="preserve"> </w:t>
      </w:r>
      <w:hyperlink r:id="rId10" w:history="1">
        <w:r w:rsidRPr="00A96DBD">
          <w:rPr>
            <w:rStyle w:val="Hyperlink"/>
            <w:lang w:val="en"/>
          </w:rPr>
          <w:t>518 U.S. 727</w:t>
        </w:r>
      </w:hyperlink>
      <w:r w:rsidRPr="00A96DBD">
        <w:rPr>
          <w:lang w:val="en"/>
        </w:rPr>
        <w:t xml:space="preserve">, 804, 116 </w:t>
      </w:r>
      <w:proofErr w:type="spellStart"/>
      <w:r w:rsidRPr="00A96DBD">
        <w:rPr>
          <w:lang w:val="en"/>
        </w:rPr>
        <w:t>S.Ct</w:t>
      </w:r>
      <w:proofErr w:type="spellEnd"/>
      <w:r w:rsidRPr="00A96DBD">
        <w:rPr>
          <w:lang w:val="en"/>
        </w:rPr>
        <w:t>. 2374, 135 L.Ed.2d 888 (1996) (KENNEDY, J., concurring in part, concurring in judgment in part, and dissenting in part). And it has been especially reluctant to "</w:t>
      </w:r>
      <w:proofErr w:type="spellStart"/>
      <w:r w:rsidRPr="00A96DBD">
        <w:rPr>
          <w:lang w:val="en"/>
        </w:rPr>
        <w:t>exemp</w:t>
      </w:r>
      <w:proofErr w:type="spellEnd"/>
      <w:r w:rsidRPr="00A96DBD">
        <w:rPr>
          <w:lang w:val="en"/>
        </w:rPr>
        <w:t xml:space="preserve">[t] a category of speech from the normal prohibition on content-based restrictions." </w:t>
      </w:r>
      <w:r w:rsidRPr="00A96DBD">
        <w:rPr>
          <w:i/>
          <w:iCs/>
          <w:lang w:val="en"/>
        </w:rPr>
        <w:t>United States v. Alvarez,</w:t>
      </w:r>
      <w:r w:rsidRPr="00A96DBD">
        <w:rPr>
          <w:lang w:val="en"/>
        </w:rPr>
        <w:t xml:space="preserve"> 567 U.S. 709, 722, </w:t>
      </w:r>
      <w:hyperlink r:id="rId11" w:history="1">
        <w:r w:rsidRPr="00A96DBD">
          <w:rPr>
            <w:rStyle w:val="Hyperlink"/>
            <w:lang w:val="en"/>
          </w:rPr>
          <w:t xml:space="preserve">132 </w:t>
        </w:r>
        <w:proofErr w:type="spellStart"/>
        <w:r w:rsidRPr="00A96DBD">
          <w:rPr>
            <w:rStyle w:val="Hyperlink"/>
            <w:lang w:val="en"/>
          </w:rPr>
          <w:t>S.Ct</w:t>
        </w:r>
        <w:proofErr w:type="spellEnd"/>
        <w:r w:rsidRPr="00A96DBD">
          <w:rPr>
            <w:rStyle w:val="Hyperlink"/>
            <w:lang w:val="en"/>
          </w:rPr>
          <w:t>. 2537</w:t>
        </w:r>
      </w:hyperlink>
      <w:r w:rsidRPr="00A96DBD">
        <w:rPr>
          <w:lang w:val="en"/>
        </w:rPr>
        <w:t xml:space="preserve">, 183 L.Ed.2d 574 (2012) (plurality opinion). This Court's precedents do not permit governments to impose content-based restrictions on speech without "`persuasive evidence . . . of a long (if heretofore unrecognized) tradition'" to that effect. </w:t>
      </w:r>
      <w:r w:rsidRPr="00A96DBD">
        <w:rPr>
          <w:i/>
          <w:iCs/>
          <w:lang w:val="en"/>
        </w:rPr>
        <w:t>Ibid.</w:t>
      </w:r>
      <w:r w:rsidRPr="00A96DBD">
        <w:rPr>
          <w:lang w:val="en"/>
        </w:rPr>
        <w:t xml:space="preserve"> (quoting </w:t>
      </w:r>
      <w:r w:rsidRPr="00A96DBD">
        <w:rPr>
          <w:i/>
          <w:iCs/>
          <w:lang w:val="en"/>
        </w:rPr>
        <w:t>Brown v. Entertainment Merchants Assn.,</w:t>
      </w:r>
      <w:r w:rsidRPr="00A96DBD">
        <w:rPr>
          <w:lang w:val="en"/>
        </w:rPr>
        <w:t xml:space="preserve"> </w:t>
      </w:r>
      <w:hyperlink r:id="rId12" w:history="1">
        <w:r w:rsidRPr="00A96DBD">
          <w:rPr>
            <w:rStyle w:val="Hyperlink"/>
            <w:lang w:val="en"/>
          </w:rPr>
          <w:t>564 U.S. 786</w:t>
        </w:r>
      </w:hyperlink>
      <w:r w:rsidRPr="00A96DBD">
        <w:rPr>
          <w:lang w:val="en"/>
        </w:rPr>
        <w:t xml:space="preserve">, 792, </w:t>
      </w:r>
      <w:hyperlink r:id="rId13" w:history="1">
        <w:r w:rsidRPr="00A96DBD">
          <w:rPr>
            <w:rStyle w:val="Hyperlink"/>
            <w:lang w:val="en"/>
          </w:rPr>
          <w:t xml:space="preserve">131 </w:t>
        </w:r>
        <w:proofErr w:type="spellStart"/>
        <w:r w:rsidRPr="00A96DBD">
          <w:rPr>
            <w:rStyle w:val="Hyperlink"/>
            <w:lang w:val="en"/>
          </w:rPr>
          <w:t>S.Ct</w:t>
        </w:r>
        <w:proofErr w:type="spellEnd"/>
        <w:r w:rsidRPr="00A96DBD">
          <w:rPr>
            <w:rStyle w:val="Hyperlink"/>
            <w:lang w:val="en"/>
          </w:rPr>
          <w:t>. 2729</w:t>
        </w:r>
      </w:hyperlink>
      <w:r w:rsidRPr="00A96DBD">
        <w:rPr>
          <w:lang w:val="en"/>
        </w:rPr>
        <w:t xml:space="preserve">, 180 L.Ed.2d 708 (2011)).This Court's precedents do not recognize such a tradition for a category called "professional speech." This Court has afforded less protection for professional speech in two circumstances—neither of which turned on the fact that professionals were speaking. First, our precedents have applied more deferential review to some laws that require professionals to disclose factual, noncontroversial information in their "commercial speech." See, </w:t>
      </w:r>
      <w:r w:rsidRPr="00A96DBD">
        <w:rPr>
          <w:i/>
          <w:iCs/>
          <w:lang w:val="en"/>
        </w:rPr>
        <w:t xml:space="preserve">e.g., </w:t>
      </w:r>
      <w:proofErr w:type="spellStart"/>
      <w:r w:rsidRPr="00A96DBD">
        <w:rPr>
          <w:i/>
          <w:iCs/>
          <w:lang w:val="en"/>
        </w:rPr>
        <w:t>Zauderer</w:t>
      </w:r>
      <w:proofErr w:type="spellEnd"/>
      <w:r w:rsidRPr="00A96DBD">
        <w:rPr>
          <w:i/>
          <w:iCs/>
          <w:lang w:val="en"/>
        </w:rPr>
        <w:t xml:space="preserve"> v. Office of Disciplinary Counsel of Supreme Court of Ohio,</w:t>
      </w:r>
      <w:r w:rsidRPr="00A96DBD">
        <w:rPr>
          <w:lang w:val="en"/>
        </w:rPr>
        <w:t xml:space="preserve"> </w:t>
      </w:r>
      <w:hyperlink r:id="rId14" w:history="1">
        <w:r w:rsidRPr="00A96DBD">
          <w:rPr>
            <w:rStyle w:val="Hyperlink"/>
            <w:lang w:val="en"/>
          </w:rPr>
          <w:t>471 U.S. 626</w:t>
        </w:r>
      </w:hyperlink>
      <w:r w:rsidRPr="00A96DBD">
        <w:rPr>
          <w:lang w:val="en"/>
        </w:rPr>
        <w:t xml:space="preserve">, 651, 105 </w:t>
      </w:r>
      <w:proofErr w:type="spellStart"/>
      <w:r w:rsidRPr="00A96DBD">
        <w:rPr>
          <w:lang w:val="en"/>
        </w:rPr>
        <w:t>S.Ct</w:t>
      </w:r>
      <w:proofErr w:type="spellEnd"/>
      <w:r w:rsidRPr="00A96DBD">
        <w:rPr>
          <w:lang w:val="en"/>
        </w:rPr>
        <w:t xml:space="preserve">. 2265, 85 L.Ed.2d 652 (1985); </w:t>
      </w:r>
      <w:proofErr w:type="spellStart"/>
      <w:r w:rsidRPr="00A96DBD">
        <w:rPr>
          <w:i/>
          <w:iCs/>
          <w:lang w:val="en"/>
        </w:rPr>
        <w:t>Milavetz</w:t>
      </w:r>
      <w:proofErr w:type="spellEnd"/>
      <w:r w:rsidRPr="00A96DBD">
        <w:rPr>
          <w:i/>
          <w:iCs/>
          <w:lang w:val="en"/>
        </w:rPr>
        <w:t xml:space="preserve">, Gallop &amp; </w:t>
      </w:r>
      <w:proofErr w:type="spellStart"/>
      <w:r w:rsidRPr="00A96DBD">
        <w:rPr>
          <w:i/>
          <w:iCs/>
          <w:lang w:val="en"/>
        </w:rPr>
        <w:t>Milavetz</w:t>
      </w:r>
      <w:proofErr w:type="spellEnd"/>
      <w:r w:rsidRPr="00A96DBD">
        <w:rPr>
          <w:i/>
          <w:iCs/>
          <w:lang w:val="en"/>
        </w:rPr>
        <w:t>, P.A. v. United States,</w:t>
      </w:r>
      <w:r w:rsidRPr="00A96DBD">
        <w:rPr>
          <w:lang w:val="en"/>
        </w:rPr>
        <w:t xml:space="preserve"> </w:t>
      </w:r>
      <w:hyperlink r:id="rId15" w:history="1">
        <w:r w:rsidRPr="00A96DBD">
          <w:rPr>
            <w:rStyle w:val="Hyperlink"/>
            <w:lang w:val="en"/>
          </w:rPr>
          <w:t>559 U.S. 229</w:t>
        </w:r>
      </w:hyperlink>
      <w:r w:rsidRPr="00A96DBD">
        <w:rPr>
          <w:lang w:val="en"/>
        </w:rPr>
        <w:t xml:space="preserve">, 250, </w:t>
      </w:r>
      <w:hyperlink r:id="rId16" w:history="1">
        <w:r w:rsidRPr="00A96DBD">
          <w:rPr>
            <w:rStyle w:val="Hyperlink"/>
            <w:lang w:val="en"/>
          </w:rPr>
          <w:t xml:space="preserve">130 </w:t>
        </w:r>
        <w:proofErr w:type="spellStart"/>
        <w:r w:rsidRPr="00A96DBD">
          <w:rPr>
            <w:rStyle w:val="Hyperlink"/>
            <w:lang w:val="en"/>
          </w:rPr>
          <w:t>S.Ct</w:t>
        </w:r>
        <w:proofErr w:type="spellEnd"/>
        <w:r w:rsidRPr="00A96DBD">
          <w:rPr>
            <w:rStyle w:val="Hyperlink"/>
            <w:lang w:val="en"/>
          </w:rPr>
          <w:t>. 1324</w:t>
        </w:r>
      </w:hyperlink>
      <w:r w:rsidRPr="00A96DBD">
        <w:rPr>
          <w:lang w:val="en"/>
        </w:rPr>
        <w:t xml:space="preserve">, 176 L.Ed.2d 79 (2010); </w:t>
      </w:r>
      <w:proofErr w:type="spellStart"/>
      <w:r w:rsidRPr="00A96DBD">
        <w:rPr>
          <w:i/>
          <w:iCs/>
          <w:lang w:val="en"/>
        </w:rPr>
        <w:t>Ohralik</w:t>
      </w:r>
      <w:proofErr w:type="spellEnd"/>
      <w:r w:rsidRPr="00A96DBD">
        <w:rPr>
          <w:i/>
          <w:iCs/>
          <w:lang w:val="en"/>
        </w:rPr>
        <w:t xml:space="preserve"> v. Ohio State Bar Assn.,</w:t>
      </w:r>
      <w:r w:rsidRPr="00A96DBD">
        <w:rPr>
          <w:lang w:val="en"/>
        </w:rPr>
        <w:t xml:space="preserve"> </w:t>
      </w:r>
      <w:hyperlink r:id="rId17" w:history="1">
        <w:r w:rsidRPr="00A96DBD">
          <w:rPr>
            <w:rStyle w:val="Hyperlink"/>
            <w:lang w:val="en"/>
          </w:rPr>
          <w:t>436 U.S. 447</w:t>
        </w:r>
      </w:hyperlink>
      <w:r w:rsidRPr="00A96DBD">
        <w:rPr>
          <w:lang w:val="en"/>
        </w:rPr>
        <w:t xml:space="preserve">, 455-456, 98 </w:t>
      </w:r>
      <w:proofErr w:type="spellStart"/>
      <w:r w:rsidRPr="00A96DBD">
        <w:rPr>
          <w:lang w:val="en"/>
        </w:rPr>
        <w:t>S.Ct</w:t>
      </w:r>
      <w:proofErr w:type="spellEnd"/>
      <w:r w:rsidRPr="00A96DBD">
        <w:rPr>
          <w:lang w:val="en"/>
        </w:rPr>
        <w:t xml:space="preserve">. 1912, 56 L.Ed.2d 444 (1978). Second, under our precedents, States may regulate professional conduct, even though that conduct incidentally involves speech. See, </w:t>
      </w:r>
      <w:r w:rsidRPr="00A96DBD">
        <w:rPr>
          <w:i/>
          <w:iCs/>
          <w:lang w:val="en"/>
        </w:rPr>
        <w:t>e.g., id.,</w:t>
      </w:r>
      <w:r w:rsidRPr="00A96DBD">
        <w:rPr>
          <w:lang w:val="en"/>
        </w:rPr>
        <w:t xml:space="preserve"> at 456, 98 </w:t>
      </w:r>
      <w:proofErr w:type="spellStart"/>
      <w:r w:rsidRPr="00A96DBD">
        <w:rPr>
          <w:lang w:val="en"/>
        </w:rPr>
        <w:t>S.Ct</w:t>
      </w:r>
      <w:proofErr w:type="spellEnd"/>
      <w:r w:rsidRPr="00A96DBD">
        <w:rPr>
          <w:lang w:val="en"/>
        </w:rPr>
        <w:t xml:space="preserve">. 1912; </w:t>
      </w:r>
      <w:r w:rsidRPr="00A96DBD">
        <w:rPr>
          <w:i/>
          <w:iCs/>
          <w:lang w:val="en"/>
        </w:rPr>
        <w:t>Planned Parenthood of Southeastern Pa. v. Casey,</w:t>
      </w:r>
      <w:r w:rsidRPr="00A96DBD">
        <w:rPr>
          <w:lang w:val="en"/>
        </w:rPr>
        <w:t xml:space="preserve"> </w:t>
      </w:r>
      <w:hyperlink r:id="rId18" w:history="1">
        <w:r w:rsidRPr="00A96DBD">
          <w:rPr>
            <w:rStyle w:val="Hyperlink"/>
            <w:lang w:val="en"/>
          </w:rPr>
          <w:t>505 U.S. 833</w:t>
        </w:r>
      </w:hyperlink>
      <w:r w:rsidRPr="00A96DBD">
        <w:rPr>
          <w:lang w:val="en"/>
        </w:rPr>
        <w:t xml:space="preserve">, 884, 112 </w:t>
      </w:r>
      <w:proofErr w:type="spellStart"/>
      <w:r w:rsidRPr="00A96DBD">
        <w:rPr>
          <w:lang w:val="en"/>
        </w:rPr>
        <w:t>S.Ct</w:t>
      </w:r>
      <w:proofErr w:type="spellEnd"/>
      <w:r w:rsidRPr="00A96DBD">
        <w:rPr>
          <w:lang w:val="en"/>
        </w:rPr>
        <w:t>. 2791, 120 L.Ed.2d 674 (1992) (opinion of O'Connor, KENNEDY, and Souter, JJ.). But neither line of precedents is implicated here.</w:t>
      </w:r>
    </w:p>
    <w:p w14:paraId="750E62ED" w14:textId="77777777" w:rsidR="00A96DBD" w:rsidRPr="00A96DBD" w:rsidRDefault="00A96DBD" w:rsidP="00A96DBD">
      <w:pPr>
        <w:pStyle w:val="FootnoteText"/>
        <w:jc w:val="both"/>
        <w:rPr>
          <w:lang w:val="en"/>
        </w:rPr>
      </w:pPr>
      <w:r w:rsidRPr="00A96DBD">
        <w:rPr>
          <w:lang w:val="en"/>
        </w:rPr>
        <w:t>Tellingly, many facilities that provide the exact same services as covered facilities—such as general practice clinics, see § 123471(a)—are not required to provide the licensed notice. The licensed notice regulates speech as speech.</w:t>
      </w:r>
    </w:p>
    <w:p w14:paraId="3AC99F46" w14:textId="10D047AD" w:rsidR="00A96DBD" w:rsidRPr="00611944" w:rsidRDefault="00A96DBD" w:rsidP="00A96DBD">
      <w:pPr>
        <w:pStyle w:val="FootnoteText"/>
        <w:jc w:val="both"/>
      </w:pPr>
      <w:r w:rsidRPr="00A96DBD">
        <w:rPr>
          <w:lang w:val="en"/>
        </w:rPr>
        <w:t xml:space="preserve">Outside of the two contexts discussed above—disclosures under </w:t>
      </w:r>
      <w:proofErr w:type="spellStart"/>
      <w:r w:rsidRPr="00A96DBD">
        <w:rPr>
          <w:i/>
          <w:iCs/>
          <w:lang w:val="en"/>
        </w:rPr>
        <w:t>Zauderer</w:t>
      </w:r>
      <w:proofErr w:type="spellEnd"/>
      <w:r w:rsidRPr="00A96DBD">
        <w:rPr>
          <w:lang w:val="en"/>
        </w:rPr>
        <w:t xml:space="preserve"> and professional conduct—this Court's precedents have long protected the First Amendment rights of professionals. For example, this Court has applied strict scrutiny to content-based laws that regulate the noncommercial speech of lawyers, see </w:t>
      </w:r>
      <w:r w:rsidRPr="00A96DBD">
        <w:rPr>
          <w:i/>
          <w:iCs/>
          <w:lang w:val="en"/>
        </w:rPr>
        <w:t>Reed,</w:t>
      </w:r>
      <w:r w:rsidRPr="00A96DBD">
        <w:rPr>
          <w:lang w:val="en"/>
        </w:rPr>
        <w:t xml:space="preserve"> 576 U.S., at ___, 135 </w:t>
      </w:r>
      <w:proofErr w:type="spellStart"/>
      <w:r w:rsidRPr="00A96DBD">
        <w:rPr>
          <w:lang w:val="en"/>
        </w:rPr>
        <w:t>S.Ct</w:t>
      </w:r>
      <w:proofErr w:type="spellEnd"/>
      <w:r w:rsidRPr="00A96DBD">
        <w:rPr>
          <w:lang w:val="en"/>
        </w:rPr>
        <w:t xml:space="preserve">., at 2228 (discussing </w:t>
      </w:r>
      <w:r w:rsidRPr="00A96DBD">
        <w:rPr>
          <w:i/>
          <w:iCs/>
          <w:lang w:val="en"/>
        </w:rPr>
        <w:t>Button, supra,</w:t>
      </w:r>
      <w:r w:rsidRPr="00A96DBD">
        <w:rPr>
          <w:lang w:val="en"/>
        </w:rPr>
        <w:t xml:space="preserve"> at 438, 83 </w:t>
      </w:r>
      <w:proofErr w:type="spellStart"/>
      <w:r w:rsidRPr="00A96DBD">
        <w:rPr>
          <w:lang w:val="en"/>
        </w:rPr>
        <w:t>S.Ct</w:t>
      </w:r>
      <w:proofErr w:type="spellEnd"/>
      <w:r w:rsidRPr="00A96DBD">
        <w:rPr>
          <w:lang w:val="en"/>
        </w:rPr>
        <w:t xml:space="preserve">. 328); </w:t>
      </w:r>
      <w:r w:rsidRPr="00A96DBD">
        <w:rPr>
          <w:i/>
          <w:iCs/>
          <w:lang w:val="en"/>
        </w:rPr>
        <w:t>In re Primus,</w:t>
      </w:r>
      <w:r w:rsidRPr="00A96DBD">
        <w:rPr>
          <w:lang w:val="en"/>
        </w:rPr>
        <w:t xml:space="preserve"> </w:t>
      </w:r>
      <w:hyperlink r:id="rId19" w:history="1">
        <w:r w:rsidRPr="00A96DBD">
          <w:rPr>
            <w:rStyle w:val="Hyperlink"/>
            <w:lang w:val="en"/>
          </w:rPr>
          <w:t>436 U.S. 412</w:t>
        </w:r>
      </w:hyperlink>
      <w:r w:rsidRPr="00A96DBD">
        <w:rPr>
          <w:lang w:val="en"/>
        </w:rPr>
        <w:t xml:space="preserve">, 432, 98 </w:t>
      </w:r>
      <w:proofErr w:type="spellStart"/>
      <w:r w:rsidRPr="00A96DBD">
        <w:rPr>
          <w:lang w:val="en"/>
        </w:rPr>
        <w:t>S.Ct</w:t>
      </w:r>
      <w:proofErr w:type="spellEnd"/>
      <w:r w:rsidRPr="00A96DBD">
        <w:rPr>
          <w:lang w:val="en"/>
        </w:rPr>
        <w:t xml:space="preserve">. 1893, 56 L.Ed.2d 417 (1978); professional fundraisers, see </w:t>
      </w:r>
      <w:r w:rsidRPr="00A96DBD">
        <w:rPr>
          <w:i/>
          <w:iCs/>
          <w:lang w:val="en"/>
        </w:rPr>
        <w:t>Riley,</w:t>
      </w:r>
      <w:r w:rsidRPr="00A96DBD">
        <w:rPr>
          <w:lang w:val="en"/>
        </w:rPr>
        <w:t xml:space="preserve"> 487 U.S., at 798, 108 </w:t>
      </w:r>
      <w:proofErr w:type="spellStart"/>
      <w:r w:rsidRPr="00A96DBD">
        <w:rPr>
          <w:lang w:val="en"/>
        </w:rPr>
        <w:t>S.Ct</w:t>
      </w:r>
      <w:proofErr w:type="spellEnd"/>
      <w:r w:rsidRPr="00A96DBD">
        <w:rPr>
          <w:lang w:val="en"/>
        </w:rPr>
        <w:t xml:space="preserve">. 2667; and organizations that provided specialized advice about international law, see </w:t>
      </w:r>
      <w:r w:rsidRPr="00A96DBD">
        <w:rPr>
          <w:i/>
          <w:iCs/>
          <w:lang w:val="en"/>
        </w:rPr>
        <w:t>Holder v. Humanitarian Law Project,</w:t>
      </w:r>
      <w:r w:rsidRPr="00A96DBD">
        <w:rPr>
          <w:lang w:val="en"/>
        </w:rPr>
        <w:t xml:space="preserve"> </w:t>
      </w:r>
      <w:hyperlink r:id="rId20" w:history="1">
        <w:r w:rsidRPr="00A96DBD">
          <w:rPr>
            <w:rStyle w:val="Hyperlink"/>
            <w:lang w:val="en"/>
          </w:rPr>
          <w:t>561 U.S. 1</w:t>
        </w:r>
      </w:hyperlink>
      <w:r w:rsidRPr="00A96DBD">
        <w:rPr>
          <w:lang w:val="en"/>
        </w:rPr>
        <w:t xml:space="preserve">, 27-28, </w:t>
      </w:r>
      <w:hyperlink r:id="rId21" w:history="1">
        <w:r w:rsidRPr="00A96DBD">
          <w:rPr>
            <w:rStyle w:val="Hyperlink"/>
            <w:lang w:val="en"/>
          </w:rPr>
          <w:t xml:space="preserve">130 </w:t>
        </w:r>
        <w:proofErr w:type="spellStart"/>
        <w:r w:rsidRPr="00A96DBD">
          <w:rPr>
            <w:rStyle w:val="Hyperlink"/>
            <w:lang w:val="en"/>
          </w:rPr>
          <w:t>S.Ct</w:t>
        </w:r>
        <w:proofErr w:type="spellEnd"/>
        <w:r w:rsidRPr="00A96DBD">
          <w:rPr>
            <w:rStyle w:val="Hyperlink"/>
            <w:lang w:val="en"/>
          </w:rPr>
          <w:t>. 2705</w:t>
        </w:r>
      </w:hyperlink>
      <w:r w:rsidRPr="00A96DBD">
        <w:rPr>
          <w:lang w:val="en"/>
        </w:rPr>
        <w:t xml:space="preserve">, 177 L.Ed.2d 355 (2010). And the Court emphasized that the lawyer's statements in </w:t>
      </w:r>
      <w:proofErr w:type="spellStart"/>
      <w:r w:rsidRPr="00A96DBD">
        <w:rPr>
          <w:i/>
          <w:iCs/>
          <w:lang w:val="en"/>
        </w:rPr>
        <w:t>Zauderer</w:t>
      </w:r>
      <w:proofErr w:type="spellEnd"/>
      <w:r w:rsidRPr="00A96DBD">
        <w:rPr>
          <w:lang w:val="en"/>
        </w:rPr>
        <w:t xml:space="preserve"> would have been "fully protected" if they were made in a context other than advertising. 471 U.S., at 637, n. 7, 105 </w:t>
      </w:r>
      <w:proofErr w:type="spellStart"/>
      <w:r w:rsidRPr="00A96DBD">
        <w:rPr>
          <w:lang w:val="en"/>
        </w:rPr>
        <w:t>S.Ct</w:t>
      </w:r>
      <w:proofErr w:type="spellEnd"/>
      <w:r w:rsidRPr="00A96DBD">
        <w:rPr>
          <w:lang w:val="en"/>
        </w:rPr>
        <w:t xml:space="preserve">. 2265. Moreover, this Court has stressed the danger of content-based regulations "in the fields of medicine and public health, where information can save lives." </w:t>
      </w:r>
      <w:r w:rsidRPr="00611944">
        <w:rPr>
          <w:i/>
          <w:iCs/>
        </w:rPr>
        <w:t>Sorrell, supra,</w:t>
      </w:r>
      <w:r w:rsidRPr="00611944">
        <w:t xml:space="preserve"> at 566, </w:t>
      </w:r>
      <w:hyperlink r:id="rId22" w:history="1">
        <w:r w:rsidRPr="00611944">
          <w:rPr>
            <w:rStyle w:val="Hyperlink"/>
          </w:rPr>
          <w:t xml:space="preserve">131 </w:t>
        </w:r>
        <w:proofErr w:type="spellStart"/>
        <w:r w:rsidRPr="00611944">
          <w:rPr>
            <w:rStyle w:val="Hyperlink"/>
          </w:rPr>
          <w:t>S.Ct</w:t>
        </w:r>
        <w:proofErr w:type="spellEnd"/>
        <w:r w:rsidRPr="00611944">
          <w:rPr>
            <w:rStyle w:val="Hyperlink"/>
          </w:rPr>
          <w:t>. 2653</w:t>
        </w:r>
      </w:hyperlink>
      <w:r w:rsidRPr="00611944">
        <w:t>”</w:t>
      </w:r>
    </w:p>
  </w:footnote>
  <w:footnote w:id="14">
    <w:p w14:paraId="61821285" w14:textId="672D5377" w:rsidR="00B030EF" w:rsidRPr="00B030EF" w:rsidRDefault="00B030EF">
      <w:pPr>
        <w:pStyle w:val="FootnoteText"/>
      </w:pPr>
      <w:r>
        <w:rPr>
          <w:rStyle w:val="FootnoteReference"/>
        </w:rPr>
        <w:footnoteRef/>
      </w:r>
      <w:r w:rsidRPr="00B030EF">
        <w:t xml:space="preserve"> </w:t>
      </w:r>
      <w:r>
        <w:t>“</w:t>
      </w:r>
      <w:r w:rsidRPr="00B030EF">
        <w:t xml:space="preserve">The Supreme Court has consistently rejected attempts to set aside the dangers of content-based speech regulation in professional settings: “As with other kinds of speech, regulating the content of professionals’ speech ‘pose[s] the inherent risk that the Government seeks not to advance a legitimate regulatory goal, but to suppress unpopular ideas or information.’” Nat’l USCA11 Case: 19-10604 Date Filed: 11/20/2020 Page: 7 of 47 Inst. of Fam. &amp; Life </w:t>
      </w:r>
      <w:proofErr w:type="spellStart"/>
      <w:r w:rsidRPr="00B030EF">
        <w:t>Advocs</w:t>
      </w:r>
      <w:proofErr w:type="spellEnd"/>
      <w:r w:rsidRPr="00B030EF">
        <w:t>. v. Becerra, 138 S. Ct. 2361, 2374 (2018) (alteration in original) (quoting Turner, 512 U.S. at 641</w:t>
      </w:r>
      <w:r>
        <w:t>0”</w:t>
      </w:r>
    </w:p>
  </w:footnote>
  <w:footnote w:id="15">
    <w:p w14:paraId="5F612701" w14:textId="647CC0D7" w:rsidR="006C3E3C" w:rsidRPr="006C3E3C" w:rsidRDefault="006C3E3C">
      <w:pPr>
        <w:pStyle w:val="FootnoteText"/>
        <w:rPr>
          <w:lang w:val="es-PR"/>
        </w:rPr>
      </w:pPr>
      <w:r>
        <w:rPr>
          <w:rStyle w:val="FootnoteReference"/>
        </w:rPr>
        <w:footnoteRef/>
      </w:r>
      <w:r>
        <w:rPr>
          <w:lang w:val="es-PR"/>
        </w:rPr>
        <w:t xml:space="preserve"> Importante tener en cuenta que las partes demandadas han pedido al tribunal de circuito revisión de la decisión </w:t>
      </w:r>
      <w:r w:rsidRPr="006C3E3C">
        <w:rPr>
          <w:i/>
          <w:iCs/>
          <w:lang w:val="es-PR"/>
        </w:rPr>
        <w:t xml:space="preserve">en </w:t>
      </w:r>
      <w:proofErr w:type="spellStart"/>
      <w:proofErr w:type="gramStart"/>
      <w:r w:rsidRPr="006C3E3C">
        <w:rPr>
          <w:i/>
          <w:iCs/>
          <w:lang w:val="es-PR"/>
        </w:rPr>
        <w:t>banc</w:t>
      </w:r>
      <w:proofErr w:type="spellEnd"/>
      <w:r>
        <w:rPr>
          <w:lang w:val="es-PR"/>
        </w:rPr>
        <w:t xml:space="preserve"> .</w:t>
      </w:r>
      <w:proofErr w:type="gramEnd"/>
    </w:p>
  </w:footnote>
  <w:footnote w:id="16">
    <w:p w14:paraId="686D105E" w14:textId="1EA683DE" w:rsidR="00B030EF" w:rsidRPr="00B030EF" w:rsidRDefault="00B030EF">
      <w:pPr>
        <w:pStyle w:val="FootnoteText"/>
      </w:pPr>
      <w:r>
        <w:rPr>
          <w:rStyle w:val="FootnoteReference"/>
        </w:rPr>
        <w:footnoteRef/>
      </w:r>
      <w:r w:rsidRPr="00B030EF">
        <w:t xml:space="preserve"> We understand and appreciate that the therapy is highly controversial. But the First Amendment has no </w:t>
      </w:r>
      <w:proofErr w:type="spellStart"/>
      <w:r w:rsidRPr="00B030EF">
        <w:t>carveout</w:t>
      </w:r>
      <w:proofErr w:type="spellEnd"/>
      <w:r w:rsidRPr="00B030EF">
        <w:t xml:space="preserve"> for controversial speech. We hold that the challenged ordinances violate the First Amendment because they are content-based regulations of speech that cannot survive strict scrutiny. </w:t>
      </w:r>
      <w:r w:rsidRPr="00B030EF">
        <w:rPr>
          <w:i/>
        </w:rPr>
        <w:t>Otto v. City of Boca Raton</w:t>
      </w:r>
      <w:r w:rsidRPr="00B030EF">
        <w:t>, Fla., 981 F.3d 854, 859 (11th Cir. 2020</w:t>
      </w:r>
    </w:p>
  </w:footnote>
  <w:footnote w:id="17">
    <w:p w14:paraId="1EBD1B0D" w14:textId="397033DF" w:rsidR="00B030EF" w:rsidRPr="00B030EF" w:rsidRDefault="00B030EF" w:rsidP="00DE281A">
      <w:pPr>
        <w:pStyle w:val="FootnoteText"/>
        <w:jc w:val="both"/>
      </w:pPr>
      <w:r>
        <w:rPr>
          <w:rStyle w:val="FootnoteReference"/>
        </w:rPr>
        <w:footnoteRef/>
      </w:r>
      <w:r w:rsidRPr="00B030EF">
        <w:t xml:space="preserve"> Defendants say that the ordinances “safeguard […] the physical and psychological well-being of minors.” Together with their amici, they present a series of reports and studies setting out harms. But when examined closely, these documents offer assertions rather than evidence, at least regarding the effects of purely speech-based SOCE. Indeed, a report from the American Psychological Association, relied on by the defendants, concedes that “</w:t>
      </w:r>
      <w:proofErr w:type="spellStart"/>
      <w:r w:rsidRPr="00B030EF">
        <w:t>nonaversive</w:t>
      </w:r>
      <w:proofErr w:type="spellEnd"/>
      <w:r w:rsidRPr="00B030EF">
        <w:t xml:space="preserve"> and recent approaches to SOCE have not been rigorously evaluated.” In fact, it found a “complete lack” of “rigorous recent prospective research” on SOCE. As for speech-based SOCE, the report notes that recent research indicates that those who have participated have mixed views: “there are individuals who perceive they have been harmed and others who perceive they have benefited from </w:t>
      </w:r>
      <w:proofErr w:type="spellStart"/>
      <w:r w:rsidRPr="00B030EF">
        <w:t>nonaversive</w:t>
      </w:r>
      <w:proofErr w:type="spellEnd"/>
      <w:r w:rsidRPr="00B030EF">
        <w:t xml:space="preserve"> SOCE.” What’s more, because of this “complete lack” of rigorous recent research, the report concludes that it has “no clear indication of the prevalence of harmful outcomes among people who have undergone” SOCE</w:t>
      </w:r>
    </w:p>
  </w:footnote>
  <w:footnote w:id="18">
    <w:p w14:paraId="155163F8" w14:textId="0BCBEE16" w:rsidR="00DE281A" w:rsidRPr="00DE281A" w:rsidRDefault="00DE281A" w:rsidP="00DE281A">
      <w:pPr>
        <w:pStyle w:val="FootnoteText"/>
        <w:jc w:val="both"/>
      </w:pPr>
      <w:r>
        <w:rPr>
          <w:rStyle w:val="FootnoteReference"/>
        </w:rPr>
        <w:footnoteRef/>
      </w:r>
      <w:r w:rsidRPr="00DE281A">
        <w:t xml:space="preserve"> </w:t>
      </w:r>
      <w:r>
        <w:t>“</w:t>
      </w:r>
      <w:r w:rsidRPr="00DE281A">
        <w:rPr>
          <w:iCs/>
        </w:rPr>
        <w:t xml:space="preserve">It is not uncommon for professional organizations to do an about-face in response to new evidence or new attitudes, but one example stands out as we consider this case. In the first three printings of the </w:t>
      </w:r>
      <w:r w:rsidRPr="00DE281A">
        <w:rPr>
          <w:i/>
          <w:iCs/>
        </w:rPr>
        <w:t>Diagnostic and Statistical Manual of Mental Disorders</w:t>
      </w:r>
      <w:r w:rsidRPr="00DE281A">
        <w:rPr>
          <w:iCs/>
        </w:rPr>
        <w:t>, the American Psychiatric Association considered homosexuality a paraphilia, disorder, or disturbance.10 Only in 1987 was homosexuality completely delisted from the Manual.11 The Association’s abandoned position is, to put it mildly, broadly disfavored today. But the change itself shows why we cannot rely on professional organizations’ judgments—it would have been horribly wrong to allow the old professional consensus against homosexuality to justify a ban on counseling that affirmed it. Neutral principles work both ways, so we cannot allow a new consensus to justify restrictions on speech. Professional opinions and cultural attitudes may have changed, but the First Amendment has not</w:t>
      </w:r>
      <w:r>
        <w:rPr>
          <w:iCs/>
        </w:rPr>
        <w:t>”</w:t>
      </w:r>
    </w:p>
  </w:footnote>
  <w:footnote w:id="19">
    <w:p w14:paraId="754D8B19" w14:textId="77777777" w:rsidR="00B46B11" w:rsidRPr="005B7E3D" w:rsidRDefault="00B46B11" w:rsidP="00DE281A">
      <w:pPr>
        <w:pStyle w:val="FootnoteText"/>
        <w:jc w:val="both"/>
        <w:rPr>
          <w:lang w:val="es-PR"/>
        </w:rPr>
      </w:pPr>
      <w:r>
        <w:rPr>
          <w:rStyle w:val="FootnoteReference"/>
        </w:rPr>
        <w:footnoteRef/>
      </w:r>
      <w:r w:rsidRPr="005B7E3D">
        <w:rPr>
          <w:lang w:val="es-PR"/>
        </w:rPr>
        <w:t>En un estudio publicado por la revista “</w:t>
      </w:r>
      <w:proofErr w:type="spellStart"/>
      <w:r w:rsidRPr="005B7E3D">
        <w:rPr>
          <w:i/>
          <w:lang w:val="es-PR"/>
        </w:rPr>
        <w:t>Pediatrics</w:t>
      </w:r>
      <w:proofErr w:type="spellEnd"/>
      <w:r w:rsidRPr="005B7E3D">
        <w:rPr>
          <w:i/>
          <w:lang w:val="es-PR"/>
        </w:rPr>
        <w:t>”</w:t>
      </w:r>
      <w:r w:rsidRPr="005B7E3D">
        <w:rPr>
          <w:lang w:val="es-PR"/>
        </w:rPr>
        <w:t xml:space="preserve"> en el 2009</w:t>
      </w:r>
      <w:r w:rsidRPr="005B7E3D">
        <w:rPr>
          <w:i/>
          <w:lang w:val="es-PR"/>
        </w:rPr>
        <w:t xml:space="preserve">, </w:t>
      </w:r>
      <w:r w:rsidRPr="005B7E3D">
        <w:rPr>
          <w:lang w:val="es-PR"/>
        </w:rPr>
        <w:t>los y las jóvenes adultos lesbianas, gay y bisexuales que reportaron niveles más altos de rechazo familiar durante su adolescencia, fueron 8.4 veces más propensos a manifestar intentos de suicidio, 5.9 veces más propensos a reportar altos niveles de depresión, 3.4 veces más propensos al uso de drogas ilegales y 3.4 veces más propensos a practicar intimidad sin protección, al compararse con  jóvenes que han reportado poco o ningún tipo de rechazo familiar</w:t>
      </w:r>
      <w:r>
        <w:rPr>
          <w:lang w:val="es-PR"/>
        </w:rPr>
        <w:t>.</w:t>
      </w:r>
    </w:p>
  </w:footnote>
  <w:footnote w:id="20">
    <w:p w14:paraId="386AA3B0" w14:textId="59FC1D71" w:rsidR="0065578D" w:rsidRDefault="0065578D">
      <w:pPr>
        <w:pStyle w:val="FootnoteText"/>
      </w:pPr>
      <w:r>
        <w:rPr>
          <w:rStyle w:val="FootnoteReference"/>
        </w:rPr>
        <w:footnoteRef/>
      </w:r>
      <w:r>
        <w:t xml:space="preserve"> </w:t>
      </w:r>
      <w:r w:rsidR="009D4F77">
        <w:t xml:space="preserve">Cf. </w:t>
      </w:r>
      <w:proofErr w:type="spellStart"/>
      <w:r w:rsidR="009D4F77">
        <w:t>Código</w:t>
      </w:r>
      <w:proofErr w:type="spellEnd"/>
      <w:r w:rsidR="009D4F77">
        <w:t xml:space="preserve"> Civil (Ley 55-2020</w:t>
      </w:r>
      <w:proofErr w:type="gramStart"/>
      <w:r w:rsidR="009D4F77">
        <w:t>)  608,609,619</w:t>
      </w:r>
      <w:proofErr w:type="gramEnd"/>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08869" w14:textId="5A9B9E1C" w:rsidR="00B46B11" w:rsidRDefault="00B46B11">
    <w:pPr>
      <w:pStyle w:val="Normal1"/>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162BD0">
      <w:rPr>
        <w:noProof/>
        <w:color w:val="000000"/>
      </w:rPr>
      <w:t>16</w:t>
    </w:r>
    <w:r>
      <w:rPr>
        <w:color w:val="000000"/>
      </w:rPr>
      <w:fldChar w:fldCharType="end"/>
    </w:r>
  </w:p>
  <w:p w14:paraId="781DF656" w14:textId="77777777" w:rsidR="00B46B11" w:rsidRDefault="00B46B11">
    <w:pPr>
      <w:pStyle w:val="Normal1"/>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9D2E3" w14:textId="14D97A82" w:rsidR="00B46B11" w:rsidRDefault="00B46B11">
    <w:pPr>
      <w:pStyle w:val="Header"/>
    </w:pPr>
    <w:r>
      <w:tab/>
    </w:r>
    <w:r>
      <w:tab/>
    </w:r>
  </w:p>
  <w:p w14:paraId="737C1CD6" w14:textId="77777777" w:rsidR="00B46B11" w:rsidRDefault="00B46B11">
    <w:pPr>
      <w:pStyle w:val="Normal1"/>
      <w:pBdr>
        <w:top w:val="nil"/>
        <w:left w:val="nil"/>
        <w:bottom w:val="nil"/>
        <w:right w:val="nil"/>
        <w:between w:val="nil"/>
      </w:pBdr>
      <w:tabs>
        <w:tab w:val="center" w:pos="4320"/>
        <w:tab w:val="right" w:pos="8640"/>
      </w:tabs>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B11"/>
    <w:rsid w:val="0001423F"/>
    <w:rsid w:val="000266A3"/>
    <w:rsid w:val="000318E5"/>
    <w:rsid w:val="00034DA9"/>
    <w:rsid w:val="00050D62"/>
    <w:rsid w:val="00051533"/>
    <w:rsid w:val="00095A21"/>
    <w:rsid w:val="00096DA3"/>
    <w:rsid w:val="000A41D7"/>
    <w:rsid w:val="000B47A1"/>
    <w:rsid w:val="000B4CA2"/>
    <w:rsid w:val="000C66A6"/>
    <w:rsid w:val="000F2293"/>
    <w:rsid w:val="0010003D"/>
    <w:rsid w:val="00101925"/>
    <w:rsid w:val="00107FA8"/>
    <w:rsid w:val="00140B19"/>
    <w:rsid w:val="00145268"/>
    <w:rsid w:val="00162BD0"/>
    <w:rsid w:val="0016779F"/>
    <w:rsid w:val="001716D0"/>
    <w:rsid w:val="00195B64"/>
    <w:rsid w:val="00196D1F"/>
    <w:rsid w:val="001A1CE5"/>
    <w:rsid w:val="001B583D"/>
    <w:rsid w:val="001F341F"/>
    <w:rsid w:val="001F4ADA"/>
    <w:rsid w:val="002173FC"/>
    <w:rsid w:val="002423DE"/>
    <w:rsid w:val="00252CD5"/>
    <w:rsid w:val="00257274"/>
    <w:rsid w:val="00261556"/>
    <w:rsid w:val="00264349"/>
    <w:rsid w:val="00295BD5"/>
    <w:rsid w:val="002B19D6"/>
    <w:rsid w:val="00327311"/>
    <w:rsid w:val="0033048D"/>
    <w:rsid w:val="003307C5"/>
    <w:rsid w:val="003358E8"/>
    <w:rsid w:val="00345974"/>
    <w:rsid w:val="00381660"/>
    <w:rsid w:val="003914CB"/>
    <w:rsid w:val="003A5746"/>
    <w:rsid w:val="003B40AC"/>
    <w:rsid w:val="003C58F3"/>
    <w:rsid w:val="003C5C72"/>
    <w:rsid w:val="003D3D13"/>
    <w:rsid w:val="00404CF9"/>
    <w:rsid w:val="00422C00"/>
    <w:rsid w:val="004242B8"/>
    <w:rsid w:val="00446662"/>
    <w:rsid w:val="0045028D"/>
    <w:rsid w:val="004549C0"/>
    <w:rsid w:val="00481A1E"/>
    <w:rsid w:val="00481D7B"/>
    <w:rsid w:val="004B1E89"/>
    <w:rsid w:val="004B3612"/>
    <w:rsid w:val="004C6F74"/>
    <w:rsid w:val="004D4D68"/>
    <w:rsid w:val="00522023"/>
    <w:rsid w:val="00540374"/>
    <w:rsid w:val="005477F8"/>
    <w:rsid w:val="00560D63"/>
    <w:rsid w:val="00563D9B"/>
    <w:rsid w:val="0056771F"/>
    <w:rsid w:val="0057636A"/>
    <w:rsid w:val="00583462"/>
    <w:rsid w:val="00586A46"/>
    <w:rsid w:val="00593129"/>
    <w:rsid w:val="005A26F9"/>
    <w:rsid w:val="005A2EAC"/>
    <w:rsid w:val="005A6DDD"/>
    <w:rsid w:val="005B0974"/>
    <w:rsid w:val="005B141E"/>
    <w:rsid w:val="005C1B77"/>
    <w:rsid w:val="005D70BC"/>
    <w:rsid w:val="005D7BEE"/>
    <w:rsid w:val="00611944"/>
    <w:rsid w:val="00646D11"/>
    <w:rsid w:val="00647442"/>
    <w:rsid w:val="00651287"/>
    <w:rsid w:val="0065578D"/>
    <w:rsid w:val="0065785C"/>
    <w:rsid w:val="00657A5A"/>
    <w:rsid w:val="006748BC"/>
    <w:rsid w:val="00676864"/>
    <w:rsid w:val="00683BAF"/>
    <w:rsid w:val="00692914"/>
    <w:rsid w:val="0069439C"/>
    <w:rsid w:val="006A1603"/>
    <w:rsid w:val="006B2A67"/>
    <w:rsid w:val="006C3E3C"/>
    <w:rsid w:val="006C6A85"/>
    <w:rsid w:val="006D4822"/>
    <w:rsid w:val="00706C14"/>
    <w:rsid w:val="0071246E"/>
    <w:rsid w:val="0072031C"/>
    <w:rsid w:val="0072244E"/>
    <w:rsid w:val="007479AF"/>
    <w:rsid w:val="00751604"/>
    <w:rsid w:val="007532C9"/>
    <w:rsid w:val="007548A2"/>
    <w:rsid w:val="00765ED2"/>
    <w:rsid w:val="00782BF8"/>
    <w:rsid w:val="00791276"/>
    <w:rsid w:val="007B39FF"/>
    <w:rsid w:val="007D627A"/>
    <w:rsid w:val="007F4893"/>
    <w:rsid w:val="00841B77"/>
    <w:rsid w:val="008701A9"/>
    <w:rsid w:val="00887B04"/>
    <w:rsid w:val="00887D6B"/>
    <w:rsid w:val="0089263D"/>
    <w:rsid w:val="008A034E"/>
    <w:rsid w:val="008A4EEB"/>
    <w:rsid w:val="008D59EC"/>
    <w:rsid w:val="008E2510"/>
    <w:rsid w:val="008E567D"/>
    <w:rsid w:val="00931FFA"/>
    <w:rsid w:val="00932370"/>
    <w:rsid w:val="00946BF9"/>
    <w:rsid w:val="00947700"/>
    <w:rsid w:val="00987EDF"/>
    <w:rsid w:val="009A7945"/>
    <w:rsid w:val="009B41D8"/>
    <w:rsid w:val="009C10D2"/>
    <w:rsid w:val="009D0104"/>
    <w:rsid w:val="009D0A46"/>
    <w:rsid w:val="009D4F77"/>
    <w:rsid w:val="009E1D16"/>
    <w:rsid w:val="00A17FE3"/>
    <w:rsid w:val="00A369DA"/>
    <w:rsid w:val="00A36A2F"/>
    <w:rsid w:val="00A7101F"/>
    <w:rsid w:val="00A733F4"/>
    <w:rsid w:val="00A7454C"/>
    <w:rsid w:val="00A765CB"/>
    <w:rsid w:val="00A83D2C"/>
    <w:rsid w:val="00A96DBD"/>
    <w:rsid w:val="00AA7657"/>
    <w:rsid w:val="00AB2419"/>
    <w:rsid w:val="00AB4400"/>
    <w:rsid w:val="00AC2DC8"/>
    <w:rsid w:val="00AC3CCF"/>
    <w:rsid w:val="00AD54C4"/>
    <w:rsid w:val="00AD699E"/>
    <w:rsid w:val="00B022F0"/>
    <w:rsid w:val="00B030EF"/>
    <w:rsid w:val="00B065DE"/>
    <w:rsid w:val="00B33DC0"/>
    <w:rsid w:val="00B46B11"/>
    <w:rsid w:val="00B60A0D"/>
    <w:rsid w:val="00B7182B"/>
    <w:rsid w:val="00B7259E"/>
    <w:rsid w:val="00B82D37"/>
    <w:rsid w:val="00B86696"/>
    <w:rsid w:val="00B87321"/>
    <w:rsid w:val="00BA773F"/>
    <w:rsid w:val="00BD7A93"/>
    <w:rsid w:val="00BE684D"/>
    <w:rsid w:val="00BE73D7"/>
    <w:rsid w:val="00BF695D"/>
    <w:rsid w:val="00C06131"/>
    <w:rsid w:val="00C07944"/>
    <w:rsid w:val="00C17084"/>
    <w:rsid w:val="00C2344E"/>
    <w:rsid w:val="00C27864"/>
    <w:rsid w:val="00C31143"/>
    <w:rsid w:val="00C51656"/>
    <w:rsid w:val="00C609DD"/>
    <w:rsid w:val="00C63CC9"/>
    <w:rsid w:val="00C679C7"/>
    <w:rsid w:val="00C71C39"/>
    <w:rsid w:val="00C95571"/>
    <w:rsid w:val="00CA60CC"/>
    <w:rsid w:val="00CA64F4"/>
    <w:rsid w:val="00CC129F"/>
    <w:rsid w:val="00CC262B"/>
    <w:rsid w:val="00CD087E"/>
    <w:rsid w:val="00CD0EE9"/>
    <w:rsid w:val="00CE005E"/>
    <w:rsid w:val="00CE514F"/>
    <w:rsid w:val="00CF01D7"/>
    <w:rsid w:val="00CF1AEE"/>
    <w:rsid w:val="00D05EC8"/>
    <w:rsid w:val="00D2119B"/>
    <w:rsid w:val="00D31046"/>
    <w:rsid w:val="00D34A03"/>
    <w:rsid w:val="00D57BD4"/>
    <w:rsid w:val="00D6277B"/>
    <w:rsid w:val="00D75303"/>
    <w:rsid w:val="00DA68BD"/>
    <w:rsid w:val="00DE281A"/>
    <w:rsid w:val="00DE3994"/>
    <w:rsid w:val="00DE52CE"/>
    <w:rsid w:val="00DF41D3"/>
    <w:rsid w:val="00DF5A2A"/>
    <w:rsid w:val="00E22E69"/>
    <w:rsid w:val="00E4429B"/>
    <w:rsid w:val="00E47E59"/>
    <w:rsid w:val="00E51D14"/>
    <w:rsid w:val="00E67672"/>
    <w:rsid w:val="00E7240F"/>
    <w:rsid w:val="00EC12D9"/>
    <w:rsid w:val="00EC3749"/>
    <w:rsid w:val="00EC79B7"/>
    <w:rsid w:val="00EF4663"/>
    <w:rsid w:val="00EF498C"/>
    <w:rsid w:val="00F07C73"/>
    <w:rsid w:val="00F30042"/>
    <w:rsid w:val="00F31492"/>
    <w:rsid w:val="00F37F43"/>
    <w:rsid w:val="00F634A4"/>
    <w:rsid w:val="00F64FE6"/>
    <w:rsid w:val="00F71FCA"/>
    <w:rsid w:val="00F82C78"/>
    <w:rsid w:val="00F96E6B"/>
    <w:rsid w:val="00FE1649"/>
    <w:rsid w:val="00FF6B14"/>
    <w:rsid w:val="00FF6E4E"/>
    <w:rsid w:val="00FF7419"/>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5E9F0"/>
  <w15:chartTrackingRefBased/>
  <w15:docId w15:val="{5FB549BB-1C85-9341-84E4-A1C833E3E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B11"/>
    <w:rPr>
      <w:rFonts w:ascii="Times New Roman" w:eastAsia="Times New Roman" w:hAnsi="Times New Roman"/>
      <w:sz w:val="24"/>
      <w:szCs w:val="24"/>
      <w:lang w:val="es-E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46B11"/>
    <w:rPr>
      <w:rFonts w:ascii="Times New Roman" w:eastAsia="Times New Roman" w:hAnsi="Times New Roman"/>
      <w:sz w:val="24"/>
      <w:szCs w:val="24"/>
      <w:lang w:val="es-ES" w:eastAsia="en-US"/>
    </w:rPr>
  </w:style>
  <w:style w:type="character" w:styleId="Hyperlink">
    <w:name w:val="Hyperlink"/>
    <w:uiPriority w:val="99"/>
    <w:unhideWhenUsed/>
    <w:rsid w:val="00B46B11"/>
    <w:rPr>
      <w:strike w:val="0"/>
      <w:dstrike w:val="0"/>
      <w:color w:val="06357A"/>
      <w:u w:val="none"/>
      <w:effect w:val="none"/>
      <w:shd w:val="clear" w:color="auto" w:fill="auto"/>
    </w:rPr>
  </w:style>
  <w:style w:type="paragraph" w:styleId="FootnoteText">
    <w:name w:val="footnote text"/>
    <w:basedOn w:val="Normal"/>
    <w:link w:val="FootnoteTextChar"/>
    <w:uiPriority w:val="99"/>
    <w:rsid w:val="00B46B11"/>
    <w:rPr>
      <w:sz w:val="20"/>
      <w:szCs w:val="20"/>
      <w:lang w:val="en-US"/>
    </w:rPr>
  </w:style>
  <w:style w:type="character" w:customStyle="1" w:styleId="FootnoteTextChar">
    <w:name w:val="Footnote Text Char"/>
    <w:link w:val="FootnoteText"/>
    <w:uiPriority w:val="99"/>
    <w:rsid w:val="00B46B11"/>
    <w:rPr>
      <w:rFonts w:ascii="Times New Roman" w:eastAsia="Times New Roman" w:hAnsi="Times New Roman" w:cs="Times New Roman"/>
      <w:sz w:val="20"/>
      <w:szCs w:val="20"/>
    </w:rPr>
  </w:style>
  <w:style w:type="character" w:styleId="FootnoteReference">
    <w:name w:val="footnote reference"/>
    <w:uiPriority w:val="99"/>
    <w:rsid w:val="00B46B11"/>
    <w:rPr>
      <w:vertAlign w:val="superscript"/>
    </w:rPr>
  </w:style>
  <w:style w:type="paragraph" w:customStyle="1" w:styleId="xmsonormal">
    <w:name w:val="x_msonormal"/>
    <w:basedOn w:val="Normal"/>
    <w:rsid w:val="00B46B11"/>
    <w:pPr>
      <w:spacing w:before="100" w:beforeAutospacing="1" w:after="100" w:afterAutospacing="1"/>
    </w:pPr>
    <w:rPr>
      <w:lang w:val="en-US"/>
    </w:rPr>
  </w:style>
  <w:style w:type="paragraph" w:styleId="Header">
    <w:name w:val="header"/>
    <w:basedOn w:val="Normal"/>
    <w:link w:val="HeaderChar"/>
    <w:uiPriority w:val="99"/>
    <w:unhideWhenUsed/>
    <w:rsid w:val="00B46B11"/>
    <w:pPr>
      <w:tabs>
        <w:tab w:val="center" w:pos="4680"/>
        <w:tab w:val="right" w:pos="9360"/>
      </w:tabs>
    </w:pPr>
  </w:style>
  <w:style w:type="character" w:customStyle="1" w:styleId="HeaderChar">
    <w:name w:val="Header Char"/>
    <w:link w:val="Header"/>
    <w:uiPriority w:val="99"/>
    <w:rsid w:val="00B46B11"/>
    <w:rPr>
      <w:rFonts w:ascii="Times New Roman" w:eastAsia="Times New Roman" w:hAnsi="Times New Roman" w:cs="Times New Roman"/>
      <w:sz w:val="24"/>
      <w:szCs w:val="24"/>
      <w:lang w:val="es-ES"/>
    </w:rPr>
  </w:style>
  <w:style w:type="character" w:styleId="LineNumber">
    <w:name w:val="line number"/>
    <w:basedOn w:val="DefaultParagraphFont"/>
    <w:uiPriority w:val="99"/>
    <w:semiHidden/>
    <w:unhideWhenUsed/>
    <w:rsid w:val="00B46B11"/>
  </w:style>
  <w:style w:type="paragraph" w:styleId="BalloonText">
    <w:name w:val="Balloon Text"/>
    <w:basedOn w:val="Normal"/>
    <w:link w:val="BalloonTextChar"/>
    <w:uiPriority w:val="99"/>
    <w:semiHidden/>
    <w:unhideWhenUsed/>
    <w:rsid w:val="00C516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656"/>
    <w:rPr>
      <w:rFonts w:ascii="Segoe UI" w:eastAsia="Times New Roman" w:hAnsi="Segoe UI" w:cs="Segoe UI"/>
      <w:sz w:val="18"/>
      <w:szCs w:val="18"/>
      <w:lang w:val="es-ES" w:eastAsia="en-US"/>
    </w:rPr>
  </w:style>
  <w:style w:type="character" w:customStyle="1" w:styleId="UnresolvedMention1">
    <w:name w:val="Unresolved Mention1"/>
    <w:basedOn w:val="DefaultParagraphFont"/>
    <w:uiPriority w:val="99"/>
    <w:semiHidden/>
    <w:unhideWhenUsed/>
    <w:rsid w:val="00A96DBD"/>
    <w:rPr>
      <w:color w:val="605E5C"/>
      <w:shd w:val="clear" w:color="auto" w:fill="E1DFDD"/>
    </w:rPr>
  </w:style>
  <w:style w:type="paragraph" w:styleId="Footer">
    <w:name w:val="footer"/>
    <w:basedOn w:val="Normal"/>
    <w:link w:val="FooterChar"/>
    <w:uiPriority w:val="99"/>
    <w:unhideWhenUsed/>
    <w:rsid w:val="00AB2419"/>
    <w:pPr>
      <w:tabs>
        <w:tab w:val="center" w:pos="4680"/>
        <w:tab w:val="right" w:pos="9360"/>
      </w:tabs>
    </w:pPr>
  </w:style>
  <w:style w:type="character" w:customStyle="1" w:styleId="FooterChar">
    <w:name w:val="Footer Char"/>
    <w:basedOn w:val="DefaultParagraphFont"/>
    <w:link w:val="Footer"/>
    <w:uiPriority w:val="99"/>
    <w:rsid w:val="00AB2419"/>
    <w:rPr>
      <w:rFonts w:ascii="Times New Roman" w:eastAsia="Times New Roman" w:hAnsi="Times New Roman"/>
      <w:sz w:val="24"/>
      <w:szCs w:val="24"/>
      <w:lang w:val="es-ES" w:eastAsia="en-US"/>
    </w:rPr>
  </w:style>
  <w:style w:type="paragraph" w:styleId="Title">
    <w:name w:val="Title"/>
    <w:basedOn w:val="Normal"/>
    <w:link w:val="TitleChar"/>
    <w:qFormat/>
    <w:rsid w:val="00611944"/>
    <w:pPr>
      <w:jc w:val="center"/>
    </w:pPr>
    <w:rPr>
      <w:sz w:val="28"/>
      <w:lang w:val="en-US"/>
    </w:rPr>
  </w:style>
  <w:style w:type="character" w:customStyle="1" w:styleId="TitleChar">
    <w:name w:val="Title Char"/>
    <w:basedOn w:val="DefaultParagraphFont"/>
    <w:link w:val="Title"/>
    <w:rsid w:val="00611944"/>
    <w:rPr>
      <w:rFonts w:ascii="Times New Roman" w:eastAsia="Times New Roman" w:hAnsi="Times New Roman"/>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pa.org/search?query=&amp;fq=ContributorFilt:%22Terepka,%20Angelica%22&amp;sort=ContentDateSort%20desc&amp;_ga=2.256489103.527141279.1616064076-2008386888.161606407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apa.org/search?query=&amp;fq=ContributorFilt:%22Terepka,%20Angelica%22&amp;sort=ContentDateSort%20desc&amp;_ga=2.256489103.527141279.1616064076-2008386888.1616064076" TargetMode="External"/><Relationship Id="rId13" Type="http://schemas.openxmlformats.org/officeDocument/2006/relationships/hyperlink" Target="https://www.leagle.com/cite/131%20S.Ct.%202729" TargetMode="External"/><Relationship Id="rId18" Type="http://schemas.openxmlformats.org/officeDocument/2006/relationships/hyperlink" Target="https://www.leagle.com/cite/505%20U.S.%20833" TargetMode="External"/><Relationship Id="rId3" Type="http://schemas.openxmlformats.org/officeDocument/2006/relationships/hyperlink" Target="https://www.apa.org/about/policy/sexual-orientation" TargetMode="External"/><Relationship Id="rId21" Type="http://schemas.openxmlformats.org/officeDocument/2006/relationships/hyperlink" Target="https://www.leagle.com/cite/130%20S.Ct.%202705" TargetMode="External"/><Relationship Id="rId7" Type="http://schemas.openxmlformats.org/officeDocument/2006/relationships/hyperlink" Target="http://www" TargetMode="External"/><Relationship Id="rId12" Type="http://schemas.openxmlformats.org/officeDocument/2006/relationships/hyperlink" Target="https://www.leagle.com/cite/564%20U.S.%20786" TargetMode="External"/><Relationship Id="rId17" Type="http://schemas.openxmlformats.org/officeDocument/2006/relationships/hyperlink" Target="https://www.leagle.com/cite/436%20U.S.%20447" TargetMode="External"/><Relationship Id="rId2" Type="http://schemas.openxmlformats.org/officeDocument/2006/relationships/hyperlink" Target="https://www.counseling.org/news/updates/by-year/2013/2013/01/16/ethical-issues-related-to-conversion-or-reparative-therapy" TargetMode="External"/><Relationship Id="rId16" Type="http://schemas.openxmlformats.org/officeDocument/2006/relationships/hyperlink" Target="https://www.leagle.com/cite/130%20S.Ct.%201324" TargetMode="External"/><Relationship Id="rId20" Type="http://schemas.openxmlformats.org/officeDocument/2006/relationships/hyperlink" Target="https://www.leagle.com/cite/561%20U.S.%201" TargetMode="External"/><Relationship Id="rId1" Type="http://schemas.openxmlformats.org/officeDocument/2006/relationships/hyperlink" Target="http://www.apa.org/pi/lgbc/publications/therapeutic-resp.html" TargetMode="External"/><Relationship Id="rId6" Type="http://schemas.openxmlformats.org/officeDocument/2006/relationships/hyperlink" Target="https://undocs.org/A/HRC/44/53" TargetMode="External"/><Relationship Id="rId11" Type="http://schemas.openxmlformats.org/officeDocument/2006/relationships/hyperlink" Target="https://www.leagle.com/cite/132%20S.Ct.%202537" TargetMode="External"/><Relationship Id="rId5" Type="http://schemas.openxmlformats.org/officeDocument/2006/relationships/hyperlink" Target="https://undocs.org/A/HRC/44/53" TargetMode="External"/><Relationship Id="rId15" Type="http://schemas.openxmlformats.org/officeDocument/2006/relationships/hyperlink" Target="https://www.leagle.com/cite/559%20U.S.%20229" TargetMode="External"/><Relationship Id="rId10" Type="http://schemas.openxmlformats.org/officeDocument/2006/relationships/hyperlink" Target="https://www.leagle.com/cite/518%20U.S.%20727" TargetMode="External"/><Relationship Id="rId19" Type="http://schemas.openxmlformats.org/officeDocument/2006/relationships/hyperlink" Target="https://www.leagle.com/cite/436%20U.S.%20412" TargetMode="External"/><Relationship Id="rId4" Type="http://schemas.openxmlformats.org/officeDocument/2006/relationships/hyperlink" Target="https://undocs.org/A/HRC/44/53" TargetMode="External"/><Relationship Id="rId9" Type="http://schemas.openxmlformats.org/officeDocument/2006/relationships/hyperlink" Target="https://www.apadivisions.org/division-44/publications/newsletters/division/2014/10/diversity" TargetMode="External"/><Relationship Id="rId14" Type="http://schemas.openxmlformats.org/officeDocument/2006/relationships/hyperlink" Target="https://www.leagle.com/cite/471%20U.S.%20626" TargetMode="External"/><Relationship Id="rId22" Type="http://schemas.openxmlformats.org/officeDocument/2006/relationships/hyperlink" Target="https://www.leagle.com/cite/131%20S.Ct.%20265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F6D28-FBDF-4286-9170-52214A0E4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3768</Words>
  <Characters>21483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25201</CharactersWithSpaces>
  <SharedDoc>false</SharedDoc>
  <HLinks>
    <vt:vector size="18" baseType="variant">
      <vt:variant>
        <vt:i4>2818174</vt:i4>
      </vt:variant>
      <vt:variant>
        <vt:i4>6</vt:i4>
      </vt:variant>
      <vt:variant>
        <vt:i4>0</vt:i4>
      </vt:variant>
      <vt:variant>
        <vt:i4>5</vt:i4>
      </vt:variant>
      <vt:variant>
        <vt:lpwstr>http://www/</vt:lpwstr>
      </vt:variant>
      <vt:variant>
        <vt:lpwstr/>
      </vt:variant>
      <vt:variant>
        <vt:i4>3407975</vt:i4>
      </vt:variant>
      <vt:variant>
        <vt:i4>3</vt:i4>
      </vt:variant>
      <vt:variant>
        <vt:i4>0</vt:i4>
      </vt:variant>
      <vt:variant>
        <vt:i4>5</vt:i4>
      </vt:variant>
      <vt:variant>
        <vt:lpwstr>https://www.counseling.org/news/updates/by-year/2013/2013/01/16/ethical-issues-related-to-conversion-or-reparative-therapy</vt:lpwstr>
      </vt:variant>
      <vt:variant>
        <vt:lpwstr/>
      </vt:variant>
      <vt:variant>
        <vt:i4>65616</vt:i4>
      </vt:variant>
      <vt:variant>
        <vt:i4>0</vt:i4>
      </vt:variant>
      <vt:variant>
        <vt:i4>0</vt:i4>
      </vt:variant>
      <vt:variant>
        <vt:i4>5</vt:i4>
      </vt:variant>
      <vt:variant>
        <vt:lpwstr>http://www.apa.org/pi/lgbc/publications/therapeutic-resp.html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Yadira Saavedra Perez</dc:creator>
  <cp:keywords/>
  <cp:lastModifiedBy>Carlos Sanchez</cp:lastModifiedBy>
  <cp:revision>2</cp:revision>
  <cp:lastPrinted>2021-04-26T12:53:00Z</cp:lastPrinted>
  <dcterms:created xsi:type="dcterms:W3CDTF">2021-05-01T00:39:00Z</dcterms:created>
  <dcterms:modified xsi:type="dcterms:W3CDTF">2021-05-01T00:39:00Z</dcterms:modified>
</cp:coreProperties>
</file>