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bookmarkStart w:id="0" w:name="_GoBack"/>
      <w:bookmarkEnd w:id="0"/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D3DFC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>Tel. (507) 357-4879 E</w:t>
      </w:r>
      <w:r w:rsidRPr="00956A21">
        <w:rPr>
          <w:rFonts w:cs="Arial"/>
          <w:sz w:val="16"/>
          <w:szCs w:val="16"/>
        </w:rPr>
        <w:t>xt. 3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BF2C78" w:rsidRPr="00BF2C78" w:rsidRDefault="00BF2C78" w:rsidP="00480FC7">
      <w:pPr>
        <w:tabs>
          <w:tab w:val="left" w:pos="4608"/>
          <w:tab w:val="right" w:pos="9360"/>
        </w:tabs>
        <w:rPr>
          <w:rFonts w:cs="Arial"/>
          <w:i/>
          <w:sz w:val="16"/>
          <w:szCs w:val="16"/>
        </w:rPr>
      </w:pPr>
    </w:p>
    <w:p w:rsidR="001807EB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July 18, 2017 regular meeting of the Le Sueur County SWCD Board of Supervisors.  Le Sueur County SWCD building, Le Center, MN.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Members present:</w:t>
      </w:r>
      <w:r>
        <w:rPr>
          <w:rFonts w:ascii="Comic Sans MS" w:hAnsi="Comic Sans MS"/>
          <w:sz w:val="24"/>
          <w:szCs w:val="24"/>
        </w:rPr>
        <w:tab/>
        <w:t>Chairman, Jim Struck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Secretary, Earle Traxler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Treasurer, Cletus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PR&amp;I, </w:t>
      </w:r>
      <w:proofErr w:type="spellStart"/>
      <w:r>
        <w:rPr>
          <w:rFonts w:ascii="Comic Sans MS" w:hAnsi="Comic Sans MS"/>
          <w:sz w:val="24"/>
          <w:szCs w:val="24"/>
        </w:rPr>
        <w:t>Glendon</w:t>
      </w:r>
      <w:proofErr w:type="spellEnd"/>
      <w:r>
        <w:rPr>
          <w:rFonts w:ascii="Comic Sans MS" w:hAnsi="Comic Sans MS"/>
          <w:sz w:val="24"/>
          <w:szCs w:val="24"/>
        </w:rPr>
        <w:t xml:space="preserve"> Braun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Members absent:</w:t>
      </w:r>
      <w:r>
        <w:rPr>
          <w:rFonts w:ascii="Comic Sans MS" w:hAnsi="Comic Sans MS"/>
          <w:sz w:val="24"/>
          <w:szCs w:val="24"/>
        </w:rPr>
        <w:tab/>
        <w:t>Vice-Chairman, Greg Entinger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Others present:</w:t>
      </w:r>
      <w:r>
        <w:rPr>
          <w:rFonts w:ascii="Comic Sans MS" w:hAnsi="Comic Sans MS"/>
          <w:sz w:val="24"/>
          <w:szCs w:val="24"/>
        </w:rPr>
        <w:tab/>
        <w:t>District Manager, Mike Schultz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Ditch Specialist, Nik Kadel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District Technician, Joe Jirik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Conservation Corps, Becky Picha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District Conservationist, Steve Breaker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Farm Bill Technician, Jack Bushman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Program Specialist, Sue Prchal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Pledge of Allegiance was recited.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Secretary’s report from June 13, 2017 was read and approved.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Treasurer’s report was read.  Motion by Braun,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approve the June 30, 2017 treasurer’s report and to pay bills.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Struck, second by Braun to encumber $4050.00 for Earle </w:t>
      </w:r>
      <w:proofErr w:type="spellStart"/>
      <w:r>
        <w:rPr>
          <w:rFonts w:ascii="Comic Sans MS" w:hAnsi="Comic Sans MS"/>
          <w:sz w:val="24"/>
          <w:szCs w:val="24"/>
        </w:rPr>
        <w:t>Traxler’s</w:t>
      </w:r>
      <w:proofErr w:type="spellEnd"/>
      <w:r>
        <w:rPr>
          <w:rFonts w:ascii="Comic Sans MS" w:hAnsi="Comic Sans MS"/>
          <w:sz w:val="24"/>
          <w:szCs w:val="24"/>
        </w:rPr>
        <w:t xml:space="preserve"> 45 acre cover crop cost-share.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Affirmative:  Braun, Struck,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Abstained:  Traxler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Motion carried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Traxler, second by Braun to encumber $7200.00 for Jim </w:t>
      </w:r>
      <w:proofErr w:type="spellStart"/>
      <w:r>
        <w:rPr>
          <w:rFonts w:ascii="Comic Sans MS" w:hAnsi="Comic Sans MS"/>
          <w:sz w:val="24"/>
          <w:szCs w:val="24"/>
        </w:rPr>
        <w:t>Struck’s</w:t>
      </w:r>
      <w:proofErr w:type="spellEnd"/>
      <w:r>
        <w:rPr>
          <w:rFonts w:ascii="Comic Sans MS" w:hAnsi="Comic Sans MS"/>
          <w:sz w:val="24"/>
          <w:szCs w:val="24"/>
        </w:rPr>
        <w:t xml:space="preserve"> 80 acre cover crop cost-share.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Affirmative:  Braun, Traxler,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Abstained:  Struck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by Braun, sec</w:t>
      </w:r>
      <w:r w:rsidR="00211302">
        <w:rPr>
          <w:rFonts w:ascii="Comic Sans MS" w:hAnsi="Comic Sans MS"/>
          <w:sz w:val="24"/>
          <w:szCs w:val="24"/>
        </w:rPr>
        <w:t>ond by Traxler to approve Jean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 w:rsidR="003D414B">
        <w:rPr>
          <w:rFonts w:ascii="Comic Sans MS" w:hAnsi="Comic Sans MS"/>
          <w:sz w:val="24"/>
          <w:szCs w:val="24"/>
        </w:rPr>
        <w:t xml:space="preserve"> S</w:t>
      </w:r>
      <w:r>
        <w:rPr>
          <w:rFonts w:ascii="Comic Sans MS" w:hAnsi="Comic Sans MS"/>
          <w:sz w:val="24"/>
          <w:szCs w:val="24"/>
        </w:rPr>
        <w:t>and Creek cover crop cost-share in the amount of $1020.00 for 51 acres.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Struck, Braun, Traxler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Abstained: 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board signed letters to legislators Klobuchar, </w:t>
      </w:r>
      <w:r w:rsidR="00885A0D">
        <w:rPr>
          <w:rFonts w:ascii="Comic Sans MS" w:hAnsi="Comic Sans MS"/>
          <w:sz w:val="24"/>
          <w:szCs w:val="24"/>
        </w:rPr>
        <w:t xml:space="preserve">Franken and </w:t>
      </w:r>
      <w:proofErr w:type="spellStart"/>
      <w:r w:rsidR="00885A0D">
        <w:rPr>
          <w:rFonts w:ascii="Comic Sans MS" w:hAnsi="Comic Sans MS"/>
          <w:sz w:val="24"/>
          <w:szCs w:val="24"/>
        </w:rPr>
        <w:t>Walz</w:t>
      </w:r>
      <w:proofErr w:type="spellEnd"/>
      <w:r w:rsidR="00885A0D">
        <w:rPr>
          <w:rFonts w:ascii="Comic Sans MS" w:hAnsi="Comic Sans MS"/>
          <w:sz w:val="24"/>
          <w:szCs w:val="24"/>
        </w:rPr>
        <w:t xml:space="preserve"> regarding technical funding for NRCS.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Traxler,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order a roll up cover, weather tech floor mats for the F150 pick up and to get SWCD decals put on.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Traxler,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sign the FY18 Buffer Cost-Share Grant with BWSR in the amount of $30,000.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Buffer enforcement dollars were discussed.  Le Sueur County will be receiving $71,147 in 2017 and $88,934 in 2018.  Nik Kadel will be the buffer enforcer.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will be a workshop with the County Commissioners on August 22, 2017 regarding buffer enforcement.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>, second by Traxler to sign the Farm Bill Assistance Grant with BWSR in the amount of $58,500.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Motion carried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Motion by Traxler, second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 xml:space="preserve"> to hire </w:t>
      </w:r>
      <w:proofErr w:type="spellStart"/>
      <w:r>
        <w:rPr>
          <w:rFonts w:ascii="Comic Sans MS" w:hAnsi="Comic Sans MS"/>
          <w:sz w:val="24"/>
          <w:szCs w:val="24"/>
        </w:rPr>
        <w:t>Stasney</w:t>
      </w:r>
      <w:proofErr w:type="spellEnd"/>
      <w:r>
        <w:rPr>
          <w:rFonts w:ascii="Comic Sans MS" w:hAnsi="Comic Sans MS"/>
          <w:sz w:val="24"/>
          <w:szCs w:val="24"/>
        </w:rPr>
        <w:t xml:space="preserve"> Renovations to install new air conditioning units in the building.  An estimate was received for $7900.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885A0D" w:rsidRDefault="00885A0D" w:rsidP="00885A0D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Clean Water Fund grant for German/Jefferson was discussed.  The grant will target 14 projects within the watershed.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staff discussed items they would like to have at the Le Sueur County Fair in August.  A cover crop demo, the </w:t>
      </w:r>
      <w:proofErr w:type="spellStart"/>
      <w:r>
        <w:rPr>
          <w:rFonts w:ascii="Comic Sans MS" w:hAnsi="Comic Sans MS"/>
          <w:sz w:val="24"/>
          <w:szCs w:val="24"/>
        </w:rPr>
        <w:t>truax</w:t>
      </w:r>
      <w:proofErr w:type="spellEnd"/>
      <w:r>
        <w:rPr>
          <w:rFonts w:ascii="Comic Sans MS" w:hAnsi="Comic Sans MS"/>
          <w:sz w:val="24"/>
          <w:szCs w:val="24"/>
        </w:rPr>
        <w:t xml:space="preserve"> drill and the gator were some of the ideas.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SWCD Governance workshop was discussed.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Steve gave the NRCS report.  Motion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>, second by Traxler to sign the Memorandum of Understa</w:t>
      </w:r>
      <w:r w:rsidR="00E75AB9">
        <w:rPr>
          <w:rFonts w:ascii="Comic Sans MS" w:hAnsi="Comic Sans MS"/>
          <w:sz w:val="24"/>
          <w:szCs w:val="24"/>
        </w:rPr>
        <w:t>nding between NRCS and the SWCD and an Operation Agreement.  He discussed CRP, construction and EQIP.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E75AB9" w:rsidRDefault="00E75AB9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  <w:t xml:space="preserve">The 2018 budget was reviewed.  Motion by </w:t>
      </w:r>
      <w:proofErr w:type="spellStart"/>
      <w:r>
        <w:rPr>
          <w:rFonts w:ascii="Comic Sans MS" w:hAnsi="Comic Sans MS"/>
          <w:sz w:val="24"/>
          <w:szCs w:val="24"/>
        </w:rPr>
        <w:t>Gregor</w:t>
      </w:r>
      <w:proofErr w:type="spellEnd"/>
      <w:r>
        <w:rPr>
          <w:rFonts w:ascii="Comic Sans MS" w:hAnsi="Comic Sans MS"/>
          <w:sz w:val="24"/>
          <w:szCs w:val="24"/>
        </w:rPr>
        <w:t>, second by Traxler to accept the 2018 budget.</w:t>
      </w:r>
      <w:r w:rsidR="009F69DE">
        <w:rPr>
          <w:rFonts w:ascii="Comic Sans MS" w:hAnsi="Comic Sans MS"/>
          <w:sz w:val="24"/>
          <w:szCs w:val="24"/>
        </w:rPr>
        <w:t xml:space="preserve">  Hourly salaries are as follows:  District Manager $39.34; District Technician $26.28; Program Specialist $35.90; Ditch Specialist $21.48; Farm Bill Technician $19.33; Janitor $8425/year.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Affirmative:  All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Opposed:  None</w:t>
      </w:r>
    </w:p>
    <w:p w:rsidR="00E75AB9" w:rsidRDefault="00E75AB9" w:rsidP="00E75AB9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Motion carried</w:t>
      </w:r>
    </w:p>
    <w:p w:rsidR="00E75AB9" w:rsidRDefault="00E75AB9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E75AB9" w:rsidRDefault="00E75AB9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being no further business, meeting adjourned at 11:55 a.m.</w:t>
      </w:r>
    </w:p>
    <w:p w:rsidR="003D414B" w:rsidRDefault="003D414B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3D414B" w:rsidRDefault="003D414B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3D414B" w:rsidRDefault="003D414B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              ________________________________</w:t>
      </w:r>
    </w:p>
    <w:p w:rsidR="003D414B" w:rsidRDefault="003D414B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District Secretary</w:t>
      </w:r>
    </w:p>
    <w:p w:rsidR="00E75AB9" w:rsidRDefault="00D91A3B" w:rsidP="00806EA4">
      <w:pPr>
        <w:ind w:left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885A0D" w:rsidRDefault="00885A0D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Default="00806EA4" w:rsidP="00806EA4">
      <w:pPr>
        <w:ind w:left="0"/>
        <w:jc w:val="both"/>
        <w:rPr>
          <w:rFonts w:ascii="Comic Sans MS" w:hAnsi="Comic Sans MS"/>
          <w:sz w:val="24"/>
          <w:szCs w:val="24"/>
        </w:rPr>
      </w:pPr>
    </w:p>
    <w:p w:rsidR="00806EA4" w:rsidRPr="00806EA4" w:rsidRDefault="00806EA4" w:rsidP="00E207EE">
      <w:pPr>
        <w:ind w:left="0"/>
        <w:jc w:val="both"/>
        <w:rPr>
          <w:rFonts w:ascii="Comic Sans MS" w:hAnsi="Comic Sans MS"/>
          <w:sz w:val="24"/>
          <w:szCs w:val="24"/>
        </w:rPr>
      </w:pPr>
    </w:p>
    <w:sectPr w:rsidR="00806EA4" w:rsidRPr="00806EA4" w:rsidSect="00E75A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4B" w:rsidRDefault="003D414B" w:rsidP="000A1DDC">
      <w:r>
        <w:separator/>
      </w:r>
    </w:p>
  </w:endnote>
  <w:endnote w:type="continuationSeparator" w:id="0">
    <w:p w:rsidR="003D414B" w:rsidRDefault="003D414B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Default="003D4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Default="003D4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Default="003D4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4B" w:rsidRDefault="003D414B" w:rsidP="000A1DDC">
      <w:r>
        <w:separator/>
      </w:r>
    </w:p>
  </w:footnote>
  <w:footnote w:type="continuationSeparator" w:id="0">
    <w:p w:rsidR="003D414B" w:rsidRDefault="003D414B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Default="003D4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Pr="003A1DB3" w:rsidRDefault="003D414B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4B" w:rsidRDefault="003D4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A1DDC"/>
    <w:rsid w:val="000D5CA0"/>
    <w:rsid w:val="00151AA1"/>
    <w:rsid w:val="00156182"/>
    <w:rsid w:val="001807EB"/>
    <w:rsid w:val="00193B44"/>
    <w:rsid w:val="00211302"/>
    <w:rsid w:val="0022772D"/>
    <w:rsid w:val="00331730"/>
    <w:rsid w:val="00392A26"/>
    <w:rsid w:val="003A1DB3"/>
    <w:rsid w:val="003A5C8A"/>
    <w:rsid w:val="003D414B"/>
    <w:rsid w:val="004130AF"/>
    <w:rsid w:val="00451D0C"/>
    <w:rsid w:val="00480FC7"/>
    <w:rsid w:val="004B7238"/>
    <w:rsid w:val="005104CC"/>
    <w:rsid w:val="006A1056"/>
    <w:rsid w:val="006B25BD"/>
    <w:rsid w:val="006C71A8"/>
    <w:rsid w:val="00806EA4"/>
    <w:rsid w:val="008508F1"/>
    <w:rsid w:val="00885A0D"/>
    <w:rsid w:val="008E178F"/>
    <w:rsid w:val="008E74EA"/>
    <w:rsid w:val="00956A21"/>
    <w:rsid w:val="00966FDA"/>
    <w:rsid w:val="009A405E"/>
    <w:rsid w:val="009D68DE"/>
    <w:rsid w:val="009F69DE"/>
    <w:rsid w:val="00A143E3"/>
    <w:rsid w:val="00A2379D"/>
    <w:rsid w:val="00AA6A4D"/>
    <w:rsid w:val="00B2144C"/>
    <w:rsid w:val="00B52817"/>
    <w:rsid w:val="00BA2573"/>
    <w:rsid w:val="00BD4BAE"/>
    <w:rsid w:val="00BF0D31"/>
    <w:rsid w:val="00BF2C78"/>
    <w:rsid w:val="00CF2DC1"/>
    <w:rsid w:val="00D91A3B"/>
    <w:rsid w:val="00DA4D84"/>
    <w:rsid w:val="00E16DEA"/>
    <w:rsid w:val="00E207EE"/>
    <w:rsid w:val="00E67C20"/>
    <w:rsid w:val="00E67E47"/>
    <w:rsid w:val="00E75AB9"/>
    <w:rsid w:val="00E76393"/>
    <w:rsid w:val="00EC6067"/>
    <w:rsid w:val="00EE3F8D"/>
    <w:rsid w:val="00F72861"/>
    <w:rsid w:val="00F9142C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011123B3-6961-4C7D-9554-A3BECE0A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1762-1A89-4AF7-BD2E-C7301846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Schultz, Michael</cp:lastModifiedBy>
  <cp:revision>2</cp:revision>
  <cp:lastPrinted>2020-05-14T12:31:00Z</cp:lastPrinted>
  <dcterms:created xsi:type="dcterms:W3CDTF">2021-01-14T17:07:00Z</dcterms:created>
  <dcterms:modified xsi:type="dcterms:W3CDTF">2021-01-14T17:07:00Z</dcterms:modified>
</cp:coreProperties>
</file>