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395" w:rsidRDefault="00BC2395" w:rsidP="00BC2395">
      <w:pPr>
        <w:rPr>
          <w:rFonts w:ascii="Papyrus" w:hAnsi="Papyrus"/>
          <w:b/>
          <w:bCs/>
          <w:i/>
          <w:iCs/>
          <w:color w:val="4F81BD"/>
          <w:sz w:val="44"/>
          <w:szCs w:val="44"/>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p>
    <w:p w:rsidR="00BC2395" w:rsidRDefault="00BC2395" w:rsidP="00BC2395">
      <w:pPr>
        <w:rPr>
          <w:rFonts w:ascii="Papyrus" w:hAnsi="Papyrus"/>
          <w:b/>
          <w:bCs/>
          <w:i/>
          <w:iCs/>
          <w:color w:val="4F81BD"/>
          <w:sz w:val="44"/>
          <w:szCs w:val="44"/>
        </w:rPr>
      </w:pPr>
      <w:r>
        <w:rPr>
          <w:b/>
          <w:sz w:val="28"/>
          <w:szCs w:val="28"/>
        </w:rPr>
        <w:t>Fast Red</w:t>
      </w:r>
      <w:r w:rsidR="00C408EC">
        <w:rPr>
          <w:b/>
          <w:sz w:val="28"/>
          <w:szCs w:val="28"/>
        </w:rPr>
        <w:t xml:space="preserve"> </w:t>
      </w:r>
      <w:r w:rsidR="00C408EC" w:rsidRPr="00C408EC">
        <w:rPr>
          <w:b/>
        </w:rPr>
        <w:t>(Alk Phos. Chromogen)</w:t>
      </w:r>
      <w:r w:rsidR="00C408EC">
        <w:rPr>
          <w:b/>
          <w:sz w:val="28"/>
          <w:szCs w:val="28"/>
        </w:rPr>
        <w:t xml:space="preserve"> </w:t>
      </w:r>
    </w:p>
    <w:p w:rsidR="00BC2395" w:rsidRDefault="00BC2395" w:rsidP="00BC2395">
      <w:r>
        <w:rPr>
          <w:b/>
        </w:rPr>
        <w:t>Catalog number:</w:t>
      </w:r>
      <w:r w:rsidR="004276E2">
        <w:t xml:space="preserve"> AR-8210</w:t>
      </w:r>
      <w:r>
        <w:t xml:space="preserve">    Reagent B buffer </w:t>
      </w:r>
      <w:r w:rsidR="00C408EC">
        <w:t>+ Substrate   10 X 5 ml</w:t>
      </w:r>
    </w:p>
    <w:p w:rsidR="00BC2395" w:rsidRDefault="00BC2395" w:rsidP="00BC2395">
      <w:r>
        <w:t xml:space="preserve">                     </w:t>
      </w:r>
      <w:r w:rsidR="00576797">
        <w:t xml:space="preserve">                           </w:t>
      </w:r>
      <w:r>
        <w:t xml:space="preserve"> Reagent C chromogen</w:t>
      </w:r>
      <w:r w:rsidR="00C408EC">
        <w:t xml:space="preserve">               10</w:t>
      </w:r>
      <w:r>
        <w:t xml:space="preserve"> tablets</w:t>
      </w:r>
    </w:p>
    <w:p w:rsidR="00BC2395" w:rsidRDefault="00BC2395" w:rsidP="00BC2395">
      <w:pPr>
        <w:rPr>
          <w:u w:val="single"/>
        </w:rPr>
      </w:pPr>
      <w:r>
        <w:t xml:space="preserve">                                                      </w:t>
      </w:r>
    </w:p>
    <w:p w:rsidR="00BC2395" w:rsidRDefault="00BC2395" w:rsidP="00BC2395">
      <w:pPr>
        <w:rPr>
          <w:u w:val="single"/>
        </w:rPr>
      </w:pPr>
      <w:r>
        <w:rPr>
          <w:b/>
        </w:rPr>
        <w:t>Description</w:t>
      </w:r>
      <w:r>
        <w:t xml:space="preserve">: </w:t>
      </w:r>
      <w:r w:rsidR="00C408EC">
        <w:t>This</w:t>
      </w:r>
      <w:r>
        <w:rPr>
          <w:bCs/>
        </w:rPr>
        <w:t xml:space="preserve"> </w:t>
      </w:r>
      <w:r w:rsidR="00C408EC">
        <w:rPr>
          <w:bCs/>
        </w:rPr>
        <w:t xml:space="preserve">two component </w:t>
      </w:r>
      <w:r>
        <w:rPr>
          <w:bCs/>
        </w:rPr>
        <w:t>chromogen system</w:t>
      </w:r>
      <w:r w:rsidR="00734E59">
        <w:rPr>
          <w:bCs/>
        </w:rPr>
        <w:t xml:space="preserve"> is used in </w:t>
      </w:r>
      <w:r>
        <w:rPr>
          <w:bCs/>
        </w:rPr>
        <w:t xml:space="preserve">Immunohistochemistry (IHC) and Immunocytochemistry (ICC) with alkaline phosphatase. This chromogen system gives red color and is very compatible with hematoxylin counter stains. This chromogen is </w:t>
      </w:r>
      <w:r w:rsidR="00C408EC" w:rsidRPr="00C408EC">
        <w:rPr>
          <w:bCs/>
        </w:rPr>
        <w:t>soluble in organic solvents therefore it is compatible with aqueous mounting mediums</w:t>
      </w:r>
      <w:r w:rsidR="00AA0DA8">
        <w:rPr>
          <w:bCs/>
        </w:rPr>
        <w:t xml:space="preserve"> only.</w:t>
      </w:r>
    </w:p>
    <w:p w:rsidR="00BC2395" w:rsidRDefault="00BC2395" w:rsidP="00BC2395">
      <w:r>
        <w:rPr>
          <w:b/>
        </w:rPr>
        <w:t>Intended Use</w:t>
      </w:r>
      <w:r>
        <w:t>: Immunohistochemistry (IHC) and Immunocytchemistry (ICC)</w:t>
      </w:r>
    </w:p>
    <w:p w:rsidR="00BC2395" w:rsidRDefault="00BC2395" w:rsidP="00BC2395">
      <w:pPr>
        <w:rPr>
          <w:b/>
        </w:rPr>
      </w:pPr>
      <w:r>
        <w:rPr>
          <w:b/>
        </w:rPr>
        <w:t>Storage:  2-8°C</w:t>
      </w:r>
    </w:p>
    <w:p w:rsidR="00BC2395" w:rsidRDefault="00BC2395" w:rsidP="00BC2395">
      <w:pPr>
        <w:rPr>
          <w:b/>
        </w:rPr>
      </w:pPr>
      <w:r>
        <w:rPr>
          <w:b/>
        </w:rPr>
        <w:t xml:space="preserve">Mixing of Reagent: </w:t>
      </w:r>
    </w:p>
    <w:p w:rsidR="00BC2395" w:rsidRPr="00AA0DA8" w:rsidRDefault="00BC2395" w:rsidP="00AA0DA8">
      <w:pPr>
        <w:ind w:left="360"/>
        <w:rPr>
          <w:i/>
          <w:sz w:val="22"/>
          <w:szCs w:val="22"/>
        </w:rPr>
      </w:pPr>
      <w:r w:rsidRPr="00AA0DA8">
        <w:rPr>
          <w:b/>
          <w:sz w:val="22"/>
          <w:szCs w:val="22"/>
        </w:rPr>
        <w:t xml:space="preserve"> </w:t>
      </w:r>
      <w:r w:rsidR="00C408EC" w:rsidRPr="00AA0DA8">
        <w:rPr>
          <w:sz w:val="22"/>
          <w:szCs w:val="22"/>
        </w:rPr>
        <w:t>Add one tablet</w:t>
      </w:r>
      <w:r w:rsidRPr="00AA0DA8">
        <w:rPr>
          <w:sz w:val="22"/>
          <w:szCs w:val="22"/>
        </w:rPr>
        <w:t xml:space="preserve"> </w:t>
      </w:r>
      <w:r w:rsidR="00AA0DA8" w:rsidRPr="00AA0DA8">
        <w:rPr>
          <w:sz w:val="22"/>
          <w:szCs w:val="22"/>
        </w:rPr>
        <w:t>of chromogen to 5 ml of buffer + substrate provided. Mix well till all chromogen is dissolved, vortex if necessary.</w:t>
      </w:r>
    </w:p>
    <w:p w:rsidR="00BC2395" w:rsidRPr="00AA0DA8" w:rsidRDefault="00AA0DA8" w:rsidP="00AA0DA8">
      <w:pPr>
        <w:ind w:left="360"/>
        <w:rPr>
          <w:i/>
          <w:sz w:val="22"/>
          <w:szCs w:val="22"/>
        </w:rPr>
      </w:pPr>
      <w:r w:rsidRPr="00AA0DA8">
        <w:rPr>
          <w:sz w:val="22"/>
          <w:szCs w:val="22"/>
        </w:rPr>
        <w:t xml:space="preserve"> </w:t>
      </w:r>
      <w:r w:rsidR="00BC2395" w:rsidRPr="00AA0DA8">
        <w:rPr>
          <w:sz w:val="22"/>
          <w:szCs w:val="22"/>
        </w:rPr>
        <w:t xml:space="preserve">(This ready to use reagent is good for several hours. </w:t>
      </w:r>
      <w:r w:rsidR="00BC2395" w:rsidRPr="00AA0DA8">
        <w:rPr>
          <w:i/>
          <w:sz w:val="22"/>
          <w:szCs w:val="22"/>
        </w:rPr>
        <w:t>The unused solution can be discarded according to city, county, state, province or country’s regulations.</w:t>
      </w:r>
    </w:p>
    <w:p w:rsidR="00BC2395" w:rsidRDefault="00BC2395" w:rsidP="00BC2395">
      <w:pPr>
        <w:jc w:val="both"/>
      </w:pPr>
      <w:r>
        <w:rPr>
          <w:b/>
        </w:rPr>
        <w:t xml:space="preserve">Application: </w:t>
      </w:r>
      <w:r>
        <w:t xml:space="preserve">IHC, ICC </w:t>
      </w:r>
    </w:p>
    <w:p w:rsidR="00BC2395" w:rsidRDefault="00BC2395" w:rsidP="00BC2395">
      <w:pPr>
        <w:pStyle w:val="ListParagraph"/>
        <w:numPr>
          <w:ilvl w:val="0"/>
          <w:numId w:val="9"/>
        </w:numPr>
        <w:jc w:val="both"/>
        <w:rPr>
          <w:sz w:val="22"/>
          <w:szCs w:val="22"/>
        </w:rPr>
      </w:pPr>
      <w:r>
        <w:rPr>
          <w:sz w:val="22"/>
          <w:szCs w:val="22"/>
        </w:rPr>
        <w:t>After alkaline phosphatase reagent, wash slide with buffer and distilled/ deionized water.</w:t>
      </w:r>
    </w:p>
    <w:p w:rsidR="00BC2395" w:rsidRDefault="00BC2395" w:rsidP="00BC2395">
      <w:pPr>
        <w:pStyle w:val="ListParagraph"/>
        <w:numPr>
          <w:ilvl w:val="0"/>
          <w:numId w:val="9"/>
        </w:numPr>
        <w:jc w:val="both"/>
        <w:rPr>
          <w:sz w:val="22"/>
          <w:szCs w:val="22"/>
        </w:rPr>
      </w:pPr>
      <w:r>
        <w:rPr>
          <w:sz w:val="22"/>
          <w:szCs w:val="22"/>
        </w:rPr>
        <w:t xml:space="preserve">Add few drops of ready to use Fast Red reagent; incubate at RT </w:t>
      </w:r>
      <w:r w:rsidR="00AA0DA8">
        <w:rPr>
          <w:sz w:val="22"/>
          <w:szCs w:val="22"/>
        </w:rPr>
        <w:t>15-25</w:t>
      </w:r>
      <w:r>
        <w:rPr>
          <w:sz w:val="22"/>
          <w:szCs w:val="22"/>
        </w:rPr>
        <w:t xml:space="preserve"> minutes.</w:t>
      </w:r>
    </w:p>
    <w:p w:rsidR="00BC2395" w:rsidRDefault="00BC2395" w:rsidP="00BC2395">
      <w:pPr>
        <w:pStyle w:val="ListParagraph"/>
        <w:jc w:val="both"/>
        <w:rPr>
          <w:b/>
          <w:i/>
          <w:sz w:val="18"/>
          <w:szCs w:val="18"/>
        </w:rPr>
      </w:pPr>
      <w:r>
        <w:rPr>
          <w:b/>
          <w:i/>
          <w:sz w:val="18"/>
          <w:szCs w:val="18"/>
        </w:rPr>
        <w:t xml:space="preserve">The optimum time </w:t>
      </w:r>
      <w:r w:rsidR="00AA0DA8">
        <w:rPr>
          <w:b/>
          <w:i/>
          <w:sz w:val="18"/>
          <w:szCs w:val="18"/>
        </w:rPr>
        <w:t>of incubation for Fast red should</w:t>
      </w:r>
      <w:r>
        <w:rPr>
          <w:b/>
          <w:i/>
          <w:sz w:val="18"/>
          <w:szCs w:val="18"/>
        </w:rPr>
        <w:t xml:space="preserve"> be determined by the individual lab.</w:t>
      </w:r>
    </w:p>
    <w:p w:rsidR="00BC2395" w:rsidRDefault="00BC2395" w:rsidP="00BC2395">
      <w:pPr>
        <w:pStyle w:val="ListParagraph"/>
        <w:numPr>
          <w:ilvl w:val="0"/>
          <w:numId w:val="9"/>
        </w:numPr>
        <w:jc w:val="both"/>
        <w:rPr>
          <w:sz w:val="22"/>
          <w:szCs w:val="22"/>
        </w:rPr>
      </w:pPr>
      <w:r>
        <w:rPr>
          <w:sz w:val="22"/>
          <w:szCs w:val="22"/>
        </w:rPr>
        <w:t xml:space="preserve">Wash slides 2-5X with buffer, followed by rinsing with distilled/deionized water. </w:t>
      </w:r>
    </w:p>
    <w:p w:rsidR="00BC2395" w:rsidRDefault="00BC2395" w:rsidP="00BC2395">
      <w:pPr>
        <w:pStyle w:val="ListParagraph"/>
        <w:numPr>
          <w:ilvl w:val="0"/>
          <w:numId w:val="9"/>
        </w:numPr>
        <w:jc w:val="both"/>
        <w:rPr>
          <w:sz w:val="22"/>
          <w:szCs w:val="22"/>
        </w:rPr>
      </w:pPr>
      <w:r>
        <w:rPr>
          <w:sz w:val="22"/>
          <w:szCs w:val="22"/>
        </w:rPr>
        <w:t xml:space="preserve">Add counterstain compatible with red color. We use hematoxylin for 30-60 seconds, followed by washing with tap water, buffer with pH over 7 to convert </w:t>
      </w:r>
      <w:r w:rsidR="00AA0DA8">
        <w:rPr>
          <w:sz w:val="22"/>
          <w:szCs w:val="22"/>
        </w:rPr>
        <w:t xml:space="preserve">hematoxylin </w:t>
      </w:r>
      <w:r>
        <w:rPr>
          <w:sz w:val="22"/>
          <w:szCs w:val="22"/>
        </w:rPr>
        <w:t xml:space="preserve">purple </w:t>
      </w:r>
      <w:r w:rsidR="00AA0DA8">
        <w:rPr>
          <w:sz w:val="22"/>
          <w:szCs w:val="22"/>
        </w:rPr>
        <w:t>color to blue color.</w:t>
      </w:r>
      <w:r>
        <w:rPr>
          <w:sz w:val="22"/>
          <w:szCs w:val="22"/>
        </w:rPr>
        <w:t xml:space="preserve"> </w:t>
      </w:r>
    </w:p>
    <w:p w:rsidR="00BC2395" w:rsidRDefault="00BC2395" w:rsidP="00BC2395">
      <w:pPr>
        <w:pStyle w:val="ListParagraph"/>
        <w:numPr>
          <w:ilvl w:val="0"/>
          <w:numId w:val="9"/>
        </w:numPr>
        <w:jc w:val="both"/>
        <w:rPr>
          <w:sz w:val="22"/>
          <w:szCs w:val="22"/>
        </w:rPr>
      </w:pPr>
      <w:r>
        <w:rPr>
          <w:sz w:val="22"/>
          <w:szCs w:val="22"/>
        </w:rPr>
        <w:t xml:space="preserve">The slide can be mounted </w:t>
      </w:r>
      <w:r w:rsidR="00AA0DA8">
        <w:rPr>
          <w:sz w:val="22"/>
          <w:szCs w:val="22"/>
        </w:rPr>
        <w:t>with aqueous mounting medium</w:t>
      </w:r>
      <w:r>
        <w:rPr>
          <w:sz w:val="22"/>
          <w:szCs w:val="22"/>
        </w:rPr>
        <w:t>.</w:t>
      </w:r>
    </w:p>
    <w:p w:rsidR="00BC2395" w:rsidRDefault="00BC2395" w:rsidP="00BC2395">
      <w:pPr>
        <w:pStyle w:val="ListParagraph"/>
        <w:numPr>
          <w:ilvl w:val="0"/>
          <w:numId w:val="9"/>
        </w:numPr>
        <w:jc w:val="both"/>
        <w:rPr>
          <w:b/>
          <w:i/>
          <w:sz w:val="22"/>
          <w:szCs w:val="22"/>
        </w:rPr>
      </w:pPr>
      <w:r>
        <w:rPr>
          <w:b/>
          <w:i/>
          <w:sz w:val="22"/>
          <w:szCs w:val="22"/>
        </w:rPr>
        <w:t xml:space="preserve">Wash the slide with distilled/deionized water. The slide can be mounted with aqueous mounting medium (we use ImmunoHistoMount cat. # AR-6503; see data sheet) </w:t>
      </w:r>
    </w:p>
    <w:p w:rsidR="004317F4" w:rsidRPr="00AA0DA8" w:rsidRDefault="00AA0DA8" w:rsidP="00AA0DA8">
      <w:pPr>
        <w:pStyle w:val="ListParagraph"/>
        <w:pBdr>
          <w:bottom w:val="single" w:sz="6" w:space="1" w:color="auto"/>
        </w:pBdr>
        <w:jc w:val="both"/>
        <w:rPr>
          <w:i/>
          <w:sz w:val="20"/>
          <w:szCs w:val="20"/>
        </w:rPr>
      </w:pPr>
      <w:r>
        <w:rPr>
          <w:i/>
          <w:sz w:val="20"/>
          <w:szCs w:val="20"/>
        </w:rPr>
        <w:t xml:space="preserve">              </w:t>
      </w:r>
    </w:p>
    <w:p w:rsidR="00BC2395" w:rsidRDefault="004317F4" w:rsidP="00BC2395">
      <w:pPr>
        <w:jc w:val="both"/>
        <w:rPr>
          <w:i/>
          <w:sz w:val="18"/>
          <w:szCs w:val="18"/>
        </w:rPr>
      </w:pPr>
      <w:r w:rsidRPr="00AA0DA8">
        <w:rPr>
          <w:i/>
          <w:sz w:val="20"/>
          <w:szCs w:val="20"/>
        </w:rPr>
        <w:t>.</w:t>
      </w:r>
      <w:r w:rsidR="00BC2395">
        <w:rPr>
          <w:b/>
          <w:sz w:val="18"/>
          <w:szCs w:val="18"/>
        </w:rPr>
        <w:t>Limitation and warranty:</w:t>
      </w:r>
      <w:r w:rsidR="00BC2395">
        <w:rPr>
          <w:sz w:val="18"/>
          <w:szCs w:val="18"/>
        </w:rPr>
        <w:t xml:space="preserve"> Our warranty is limited to the actual price paid for the product. We are not liable for any property damage, personnel injury, time, effort or economic loss due to our product.</w:t>
      </w:r>
    </w:p>
    <w:p w:rsidR="00BC2395" w:rsidRDefault="00BC2395" w:rsidP="00BC2395">
      <w:pPr>
        <w:jc w:val="both"/>
        <w:rPr>
          <w:sz w:val="18"/>
          <w:szCs w:val="18"/>
        </w:rPr>
      </w:pPr>
      <w:r>
        <w:rPr>
          <w:b/>
          <w:sz w:val="18"/>
          <w:szCs w:val="18"/>
        </w:rPr>
        <w:t xml:space="preserve">MSDS: </w:t>
      </w:r>
      <w:r>
        <w:rPr>
          <w:sz w:val="18"/>
          <w:szCs w:val="18"/>
        </w:rPr>
        <w:t>Avoid skin and eye contact with all laboratory</w:t>
      </w:r>
      <w:r w:rsidR="00AA0DA8">
        <w:rPr>
          <w:sz w:val="18"/>
          <w:szCs w:val="18"/>
        </w:rPr>
        <w:t xml:space="preserve"> products. Use appropriate laboratory </w:t>
      </w:r>
      <w:r>
        <w:rPr>
          <w:sz w:val="18"/>
          <w:szCs w:val="18"/>
        </w:rPr>
        <w:t xml:space="preserve">gear, lab coat , gloves and  safety </w:t>
      </w:r>
      <w:r w:rsidR="00AA0DA8">
        <w:rPr>
          <w:sz w:val="18"/>
          <w:szCs w:val="18"/>
        </w:rPr>
        <w:t xml:space="preserve">glasses. Do not ingest any laboratory </w:t>
      </w:r>
      <w:r>
        <w:rPr>
          <w:sz w:val="18"/>
          <w:szCs w:val="18"/>
        </w:rPr>
        <w:t>products. This product is not approved for administration in human or animals.</w:t>
      </w:r>
    </w:p>
    <w:p w:rsidR="00BC2395" w:rsidRDefault="00BC2395" w:rsidP="00BC2395">
      <w:pPr>
        <w:jc w:val="both"/>
        <w:rPr>
          <w:sz w:val="18"/>
          <w:szCs w:val="18"/>
        </w:rPr>
      </w:pPr>
      <w:r>
        <w:rPr>
          <w:sz w:val="18"/>
          <w:szCs w:val="18"/>
        </w:rPr>
        <w:t>----------------------------------------------------------------------------------------------------------------------------------------</w:t>
      </w:r>
    </w:p>
    <w:p w:rsidR="003800C8" w:rsidRDefault="003800C8" w:rsidP="003800C8">
      <w:pPr>
        <w:rPr>
          <w:b/>
          <w:sz w:val="18"/>
          <w:szCs w:val="18"/>
        </w:rPr>
      </w:pPr>
      <w:r>
        <w:rPr>
          <w:b/>
          <w:sz w:val="18"/>
          <w:szCs w:val="18"/>
        </w:rPr>
        <w:t>For research use only; not for use in diagnostic procedures. FOR IN VITRO LABORATORY USE ONLY</w:t>
      </w:r>
    </w:p>
    <w:p w:rsidR="003800C8" w:rsidRDefault="003800C8" w:rsidP="003800C8">
      <w:pPr>
        <w:rPr>
          <w:b/>
          <w:sz w:val="18"/>
          <w:szCs w:val="18"/>
        </w:rPr>
      </w:pPr>
      <w:r>
        <w:rPr>
          <w:b/>
          <w:sz w:val="18"/>
          <w:szCs w:val="18"/>
        </w:rPr>
        <w:t>“</w:t>
      </w:r>
      <w:r>
        <w:rPr>
          <w:b/>
          <w:i/>
          <w:sz w:val="18"/>
          <w:szCs w:val="18"/>
        </w:rPr>
        <w:t>In vitro</w:t>
      </w:r>
      <w:r>
        <w:rPr>
          <w:b/>
          <w:sz w:val="18"/>
          <w:szCs w:val="18"/>
        </w:rPr>
        <w:t xml:space="preserve"> laboratory products for research”</w:t>
      </w:r>
    </w:p>
    <w:p w:rsidR="003800C8" w:rsidRDefault="003800C8" w:rsidP="003800C8">
      <w:pPr>
        <w:jc w:val="both"/>
        <w:rPr>
          <w:sz w:val="20"/>
          <w:szCs w:val="20"/>
        </w:rPr>
      </w:pPr>
      <w:r>
        <w:rPr>
          <w:sz w:val="20"/>
          <w:szCs w:val="20"/>
        </w:rPr>
        <w:t>Fluoroshield is a trademark of ImmunoBioScience corp.</w:t>
      </w:r>
    </w:p>
    <w:p w:rsidR="003800C8" w:rsidRDefault="003800C8" w:rsidP="003800C8">
      <w:pPr>
        <w:rPr>
          <w:sz w:val="20"/>
          <w:szCs w:val="20"/>
        </w:rPr>
      </w:pPr>
      <w:r>
        <w:rPr>
          <w:sz w:val="20"/>
          <w:szCs w:val="20"/>
        </w:rPr>
        <w:t xml:space="preserve">Phone:  + 1 425 367 4601; Fax: + </w:t>
      </w:r>
      <w:r w:rsidR="00336256">
        <w:rPr>
          <w:sz w:val="20"/>
          <w:szCs w:val="20"/>
        </w:rPr>
        <w:t>1 425</w:t>
      </w:r>
      <w:r>
        <w:rPr>
          <w:sz w:val="20"/>
          <w:szCs w:val="20"/>
        </w:rPr>
        <w:t xml:space="preserve"> 367 4817; cell (mobile) phone:  + 1 425 314 0199</w:t>
      </w:r>
    </w:p>
    <w:p w:rsidR="003800C8" w:rsidRDefault="003800C8" w:rsidP="003800C8">
      <w:pPr>
        <w:rPr>
          <w:sz w:val="20"/>
          <w:szCs w:val="20"/>
        </w:rPr>
      </w:pPr>
      <w:r>
        <w:rPr>
          <w:sz w:val="20"/>
          <w:szCs w:val="20"/>
        </w:rPr>
        <w:t>Marketing phone:  + 1 650 343 IBSC (4272); e-mail:anitaIBSC@aol.com</w:t>
      </w:r>
    </w:p>
    <w:p w:rsidR="003800C8" w:rsidRDefault="003800C8" w:rsidP="003800C8">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3800C8" w:rsidRDefault="003800C8" w:rsidP="003800C8">
      <w:pPr>
        <w:rPr>
          <w:sz w:val="20"/>
          <w:szCs w:val="20"/>
        </w:rPr>
      </w:pPr>
      <w:r>
        <w:rPr>
          <w:sz w:val="20"/>
          <w:szCs w:val="20"/>
        </w:rPr>
        <w:t>Country of origin: USA</w:t>
      </w:r>
    </w:p>
    <w:p w:rsidR="00064B0F" w:rsidRPr="00BC2395" w:rsidRDefault="00064B0F" w:rsidP="003800C8">
      <w:pPr>
        <w:rPr>
          <w:szCs w:val="20"/>
        </w:rPr>
      </w:pPr>
    </w:p>
    <w:sectPr w:rsidR="00064B0F" w:rsidRPr="00BC2395"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E7D80"/>
    <w:multiLevelType w:val="hybridMultilevel"/>
    <w:tmpl w:val="03A8AB6E"/>
    <w:lvl w:ilvl="0" w:tplc="69D8F9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5"/>
  </w:num>
  <w:num w:numId="6">
    <w:abstractNumId w:val="4"/>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1183E"/>
    <w:rsid w:val="00012F67"/>
    <w:rsid w:val="000212C7"/>
    <w:rsid w:val="000214B7"/>
    <w:rsid w:val="00045B1D"/>
    <w:rsid w:val="000473F1"/>
    <w:rsid w:val="00057564"/>
    <w:rsid w:val="0005774B"/>
    <w:rsid w:val="00064B0F"/>
    <w:rsid w:val="000A39AF"/>
    <w:rsid w:val="000D60FF"/>
    <w:rsid w:val="000E6340"/>
    <w:rsid w:val="001145D9"/>
    <w:rsid w:val="00116D0A"/>
    <w:rsid w:val="00121AFF"/>
    <w:rsid w:val="001220F5"/>
    <w:rsid w:val="00130740"/>
    <w:rsid w:val="0013599A"/>
    <w:rsid w:val="001523E7"/>
    <w:rsid w:val="0015289C"/>
    <w:rsid w:val="00217757"/>
    <w:rsid w:val="002209E8"/>
    <w:rsid w:val="00236EC5"/>
    <w:rsid w:val="00246C92"/>
    <w:rsid w:val="00252140"/>
    <w:rsid w:val="0025355D"/>
    <w:rsid w:val="0025442D"/>
    <w:rsid w:val="00265EEA"/>
    <w:rsid w:val="002B6BD3"/>
    <w:rsid w:val="002C07E3"/>
    <w:rsid w:val="002E1C0E"/>
    <w:rsid w:val="002E2B22"/>
    <w:rsid w:val="00312510"/>
    <w:rsid w:val="00314312"/>
    <w:rsid w:val="00326587"/>
    <w:rsid w:val="0032729D"/>
    <w:rsid w:val="00336256"/>
    <w:rsid w:val="00344218"/>
    <w:rsid w:val="00363B0A"/>
    <w:rsid w:val="003800C8"/>
    <w:rsid w:val="00383D5E"/>
    <w:rsid w:val="003C7E0B"/>
    <w:rsid w:val="003D2898"/>
    <w:rsid w:val="003E258D"/>
    <w:rsid w:val="003E4B61"/>
    <w:rsid w:val="003E7F0B"/>
    <w:rsid w:val="003F782F"/>
    <w:rsid w:val="004276E2"/>
    <w:rsid w:val="004317F4"/>
    <w:rsid w:val="00431BA8"/>
    <w:rsid w:val="0044542F"/>
    <w:rsid w:val="00473C5C"/>
    <w:rsid w:val="00481F52"/>
    <w:rsid w:val="004B7327"/>
    <w:rsid w:val="004C6489"/>
    <w:rsid w:val="004D1F6C"/>
    <w:rsid w:val="0050659B"/>
    <w:rsid w:val="00536094"/>
    <w:rsid w:val="00560024"/>
    <w:rsid w:val="00576797"/>
    <w:rsid w:val="00580880"/>
    <w:rsid w:val="00583E9E"/>
    <w:rsid w:val="005876AD"/>
    <w:rsid w:val="005A626D"/>
    <w:rsid w:val="005B2F2B"/>
    <w:rsid w:val="005B4607"/>
    <w:rsid w:val="005E6042"/>
    <w:rsid w:val="005E7E3B"/>
    <w:rsid w:val="00626CCB"/>
    <w:rsid w:val="006325B2"/>
    <w:rsid w:val="00651F50"/>
    <w:rsid w:val="00652985"/>
    <w:rsid w:val="00656BDC"/>
    <w:rsid w:val="006C0512"/>
    <w:rsid w:val="00734E59"/>
    <w:rsid w:val="007371B0"/>
    <w:rsid w:val="00752C15"/>
    <w:rsid w:val="00765AEA"/>
    <w:rsid w:val="007A04D4"/>
    <w:rsid w:val="007A31C2"/>
    <w:rsid w:val="007A691B"/>
    <w:rsid w:val="007B1DB4"/>
    <w:rsid w:val="007B2A8A"/>
    <w:rsid w:val="007C1391"/>
    <w:rsid w:val="007C307E"/>
    <w:rsid w:val="007D2DFC"/>
    <w:rsid w:val="007F4988"/>
    <w:rsid w:val="00813B1E"/>
    <w:rsid w:val="0085143D"/>
    <w:rsid w:val="00857EAE"/>
    <w:rsid w:val="00863A73"/>
    <w:rsid w:val="00881D76"/>
    <w:rsid w:val="0089144C"/>
    <w:rsid w:val="00892B22"/>
    <w:rsid w:val="008A2927"/>
    <w:rsid w:val="008B474F"/>
    <w:rsid w:val="008D002D"/>
    <w:rsid w:val="008D497C"/>
    <w:rsid w:val="008E2C6D"/>
    <w:rsid w:val="008E408D"/>
    <w:rsid w:val="008F3D03"/>
    <w:rsid w:val="00901083"/>
    <w:rsid w:val="00924D03"/>
    <w:rsid w:val="00927784"/>
    <w:rsid w:val="00942432"/>
    <w:rsid w:val="00976004"/>
    <w:rsid w:val="0099681E"/>
    <w:rsid w:val="009A0813"/>
    <w:rsid w:val="009F3DFA"/>
    <w:rsid w:val="00A118BE"/>
    <w:rsid w:val="00A24CD6"/>
    <w:rsid w:val="00A50B68"/>
    <w:rsid w:val="00A91878"/>
    <w:rsid w:val="00AA0DA8"/>
    <w:rsid w:val="00AB1F02"/>
    <w:rsid w:val="00AE07BF"/>
    <w:rsid w:val="00AE1994"/>
    <w:rsid w:val="00AE33D9"/>
    <w:rsid w:val="00B40D20"/>
    <w:rsid w:val="00B4226A"/>
    <w:rsid w:val="00B60D6B"/>
    <w:rsid w:val="00B83046"/>
    <w:rsid w:val="00B97926"/>
    <w:rsid w:val="00BC2395"/>
    <w:rsid w:val="00C04ACA"/>
    <w:rsid w:val="00C14DCA"/>
    <w:rsid w:val="00C25D76"/>
    <w:rsid w:val="00C408EC"/>
    <w:rsid w:val="00C642B6"/>
    <w:rsid w:val="00CD3A97"/>
    <w:rsid w:val="00CE26CC"/>
    <w:rsid w:val="00D03AEF"/>
    <w:rsid w:val="00D07CCD"/>
    <w:rsid w:val="00D841D8"/>
    <w:rsid w:val="00DA2BB8"/>
    <w:rsid w:val="00DA317C"/>
    <w:rsid w:val="00DB44F3"/>
    <w:rsid w:val="00DD0E93"/>
    <w:rsid w:val="00E007AB"/>
    <w:rsid w:val="00E14622"/>
    <w:rsid w:val="00E30404"/>
    <w:rsid w:val="00E414B0"/>
    <w:rsid w:val="00E711A0"/>
    <w:rsid w:val="00E768F9"/>
    <w:rsid w:val="00E966A4"/>
    <w:rsid w:val="00EA665B"/>
    <w:rsid w:val="00EA6E9D"/>
    <w:rsid w:val="00ED7CD2"/>
    <w:rsid w:val="00ED7D49"/>
    <w:rsid w:val="00EF3BCB"/>
    <w:rsid w:val="00EF7F1C"/>
    <w:rsid w:val="00F34A53"/>
    <w:rsid w:val="00F36B7F"/>
    <w:rsid w:val="00F37D91"/>
    <w:rsid w:val="00F8792A"/>
    <w:rsid w:val="00F929B0"/>
    <w:rsid w:val="00F93466"/>
    <w:rsid w:val="00FB4058"/>
    <w:rsid w:val="00FB6524"/>
    <w:rsid w:val="00FF42A1"/>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83912538">
      <w:bodyDiv w:val="1"/>
      <w:marLeft w:val="0"/>
      <w:marRight w:val="0"/>
      <w:marTop w:val="0"/>
      <w:marBottom w:val="0"/>
      <w:divBdr>
        <w:top w:val="none" w:sz="0" w:space="0" w:color="auto"/>
        <w:left w:val="none" w:sz="0" w:space="0" w:color="auto"/>
        <w:bottom w:val="none" w:sz="0" w:space="0" w:color="auto"/>
        <w:right w:val="none" w:sz="0" w:space="0" w:color="auto"/>
      </w:divBdr>
    </w:div>
    <w:div w:id="902718150">
      <w:bodyDiv w:val="1"/>
      <w:marLeft w:val="0"/>
      <w:marRight w:val="0"/>
      <w:marTop w:val="0"/>
      <w:marBottom w:val="0"/>
      <w:divBdr>
        <w:top w:val="none" w:sz="0" w:space="0" w:color="auto"/>
        <w:left w:val="none" w:sz="0" w:space="0" w:color="auto"/>
        <w:bottom w:val="none" w:sz="0" w:space="0" w:color="auto"/>
        <w:right w:val="none" w:sz="0" w:space="0" w:color="auto"/>
      </w:divBdr>
    </w:div>
    <w:div w:id="107362643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59809751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EDECF-1F22-42F8-84E7-CB6857AB3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2012-10-05T20:14:00Z</cp:lastPrinted>
  <dcterms:created xsi:type="dcterms:W3CDTF">2013-02-18T23:06:00Z</dcterms:created>
  <dcterms:modified xsi:type="dcterms:W3CDTF">2013-02-18T23:07:00Z</dcterms:modified>
</cp:coreProperties>
</file>